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3AEC" w:rsidRDefault="009A3AEC" w:rsidP="009A3AEC">
      <w:pPr>
        <w:jc w:val="center"/>
        <w:rPr>
          <w:b/>
          <w:sz w:val="56"/>
          <w:szCs w:val="56"/>
        </w:rPr>
      </w:pPr>
      <w:r w:rsidRPr="009A3AEC">
        <w:rPr>
          <w:b/>
          <w:noProof/>
          <w:sz w:val="56"/>
          <w:szCs w:val="56"/>
          <w:lang w:eastAsia="en-GB"/>
        </w:rPr>
        <w:drawing>
          <wp:anchor distT="0" distB="0" distL="114300" distR="114300" simplePos="0" relativeHeight="251659264" behindDoc="0" locked="0" layoutInCell="1" allowOverlap="1">
            <wp:simplePos x="0" y="0"/>
            <wp:positionH relativeFrom="column">
              <wp:posOffset>1309255</wp:posOffset>
            </wp:positionH>
            <wp:positionV relativeFrom="paragraph">
              <wp:posOffset>-311727</wp:posOffset>
            </wp:positionV>
            <wp:extent cx="3034145" cy="1101436"/>
            <wp:effectExtent l="0" t="0" r="0" b="0"/>
            <wp:wrapNone/>
            <wp:docPr id="2"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6570" cy="1104265"/>
                    </a:xfrm>
                    <a:prstGeom prst="rect">
                      <a:avLst/>
                    </a:prstGeom>
                    <a:noFill/>
                    <a:ln>
                      <a:noFill/>
                    </a:ln>
                  </pic:spPr>
                </pic:pic>
              </a:graphicData>
            </a:graphic>
          </wp:anchor>
        </w:drawing>
      </w:r>
    </w:p>
    <w:p w:rsidR="009A3AEC" w:rsidRDefault="009A3AEC" w:rsidP="009A3AEC">
      <w:pPr>
        <w:jc w:val="center"/>
        <w:rPr>
          <w:b/>
          <w:sz w:val="56"/>
          <w:szCs w:val="56"/>
        </w:rPr>
      </w:pPr>
    </w:p>
    <w:p w:rsidR="00ED364F" w:rsidRDefault="009A3AEC" w:rsidP="009A3AEC">
      <w:pPr>
        <w:jc w:val="center"/>
        <w:rPr>
          <w:b/>
          <w:sz w:val="56"/>
          <w:szCs w:val="56"/>
        </w:rPr>
      </w:pPr>
      <w:r w:rsidRPr="009A3AEC">
        <w:rPr>
          <w:b/>
          <w:sz w:val="56"/>
          <w:szCs w:val="56"/>
        </w:rPr>
        <w:t xml:space="preserve">Application of RNA </w:t>
      </w:r>
      <w:r w:rsidR="00ED364F">
        <w:rPr>
          <w:b/>
          <w:sz w:val="56"/>
          <w:szCs w:val="56"/>
        </w:rPr>
        <w:t xml:space="preserve">Chemical </w:t>
      </w:r>
      <w:r w:rsidRPr="009A3AEC">
        <w:rPr>
          <w:b/>
          <w:sz w:val="56"/>
          <w:szCs w:val="56"/>
        </w:rPr>
        <w:t xml:space="preserve">Modifications to Modulate </w:t>
      </w:r>
    </w:p>
    <w:p w:rsidR="009A3AEC" w:rsidRPr="009A3AEC" w:rsidRDefault="009A3AEC" w:rsidP="009A3AEC">
      <w:pPr>
        <w:jc w:val="center"/>
        <w:rPr>
          <w:b/>
          <w:sz w:val="56"/>
          <w:szCs w:val="56"/>
        </w:rPr>
      </w:pPr>
      <w:r w:rsidRPr="009A3AEC">
        <w:rPr>
          <w:b/>
          <w:sz w:val="56"/>
          <w:szCs w:val="56"/>
        </w:rPr>
        <w:t>RNAi in Insects</w:t>
      </w:r>
    </w:p>
    <w:p w:rsidR="009A3AEC" w:rsidRPr="00ED364F" w:rsidRDefault="009A3AEC" w:rsidP="009A3AEC">
      <w:pPr>
        <w:jc w:val="center"/>
        <w:rPr>
          <w:sz w:val="28"/>
          <w:szCs w:val="28"/>
        </w:rPr>
      </w:pPr>
    </w:p>
    <w:p w:rsidR="009A3AEC" w:rsidRDefault="009A3AEC" w:rsidP="009A3AEC">
      <w:pPr>
        <w:jc w:val="center"/>
        <w:rPr>
          <w:sz w:val="32"/>
          <w:szCs w:val="32"/>
        </w:rPr>
        <w:sectPr w:rsidR="009A3AEC" w:rsidSect="0007444A">
          <w:footerReference w:type="even" r:id="rId9"/>
          <w:footerReference w:type="default" r:id="rId10"/>
          <w:type w:val="continuous"/>
          <w:pgSz w:w="11906" w:h="16838"/>
          <w:pgMar w:top="1440" w:right="1440" w:bottom="1440" w:left="1440" w:header="708" w:footer="708" w:gutter="0"/>
          <w:cols w:space="708"/>
          <w:titlePg/>
          <w:docGrid w:linePitch="360"/>
        </w:sectPr>
      </w:pPr>
    </w:p>
    <w:p w:rsidR="009A3AEC" w:rsidRDefault="009A3AEC" w:rsidP="009A3AEC">
      <w:pPr>
        <w:jc w:val="center"/>
        <w:rPr>
          <w:sz w:val="32"/>
          <w:szCs w:val="32"/>
        </w:rPr>
      </w:pPr>
      <w:r>
        <w:rPr>
          <w:sz w:val="32"/>
          <w:szCs w:val="32"/>
        </w:rPr>
        <w:lastRenderedPageBreak/>
        <w:t xml:space="preserve">By: </w:t>
      </w:r>
      <w:r w:rsidRPr="00E81B61">
        <w:rPr>
          <w:sz w:val="32"/>
          <w:szCs w:val="32"/>
        </w:rPr>
        <w:t>John D</w:t>
      </w:r>
      <w:r>
        <w:rPr>
          <w:sz w:val="32"/>
          <w:szCs w:val="32"/>
        </w:rPr>
        <w:t>avid</w:t>
      </w:r>
      <w:r w:rsidRPr="00E81B61">
        <w:rPr>
          <w:sz w:val="32"/>
          <w:szCs w:val="32"/>
        </w:rPr>
        <w:t xml:space="preserve"> Howard</w:t>
      </w:r>
    </w:p>
    <w:p w:rsidR="009A3AEC" w:rsidRPr="00ED364F" w:rsidRDefault="009A3AEC" w:rsidP="009A3AEC">
      <w:pPr>
        <w:jc w:val="center"/>
        <w:rPr>
          <w:sz w:val="28"/>
          <w:szCs w:val="28"/>
        </w:rPr>
      </w:pPr>
    </w:p>
    <w:p w:rsidR="003653B0" w:rsidRPr="0061796B" w:rsidRDefault="009A3AEC" w:rsidP="009A3AEC">
      <w:pPr>
        <w:jc w:val="center"/>
        <w:rPr>
          <w:sz w:val="24"/>
          <w:szCs w:val="24"/>
        </w:rPr>
      </w:pPr>
      <w:r w:rsidRPr="0061796B">
        <w:rPr>
          <w:sz w:val="24"/>
          <w:szCs w:val="24"/>
        </w:rPr>
        <w:t xml:space="preserve">A thesis submitted in partial fulfilment of the </w:t>
      </w:r>
    </w:p>
    <w:p w:rsidR="009A3AEC" w:rsidRPr="0061796B" w:rsidRDefault="009A3AEC" w:rsidP="009A3AEC">
      <w:pPr>
        <w:jc w:val="center"/>
        <w:rPr>
          <w:sz w:val="24"/>
          <w:szCs w:val="24"/>
        </w:rPr>
      </w:pPr>
      <w:r w:rsidRPr="0061796B">
        <w:rPr>
          <w:sz w:val="24"/>
          <w:szCs w:val="24"/>
        </w:rPr>
        <w:t>requirements for the degree of</w:t>
      </w:r>
    </w:p>
    <w:p w:rsidR="009A3AEC" w:rsidRPr="0061796B" w:rsidRDefault="009A3AEC" w:rsidP="009A3AEC">
      <w:pPr>
        <w:jc w:val="center"/>
        <w:rPr>
          <w:sz w:val="24"/>
          <w:szCs w:val="24"/>
        </w:rPr>
      </w:pPr>
      <w:r w:rsidRPr="0061796B">
        <w:rPr>
          <w:sz w:val="24"/>
          <w:szCs w:val="24"/>
        </w:rPr>
        <w:t xml:space="preserve">Doctor of Philosophy </w:t>
      </w:r>
    </w:p>
    <w:p w:rsidR="009A3AEC" w:rsidRPr="0061796B" w:rsidRDefault="009A3AEC" w:rsidP="009A3AEC">
      <w:pPr>
        <w:jc w:val="center"/>
        <w:rPr>
          <w:sz w:val="20"/>
          <w:szCs w:val="20"/>
        </w:rPr>
      </w:pPr>
    </w:p>
    <w:p w:rsidR="0061796B" w:rsidRPr="0061796B" w:rsidRDefault="0061796B" w:rsidP="009A3AEC">
      <w:pPr>
        <w:jc w:val="center"/>
        <w:rPr>
          <w:sz w:val="24"/>
          <w:szCs w:val="24"/>
        </w:rPr>
      </w:pPr>
      <w:r w:rsidRPr="0061796B">
        <w:rPr>
          <w:sz w:val="24"/>
          <w:szCs w:val="24"/>
        </w:rPr>
        <w:t>September, 2019</w:t>
      </w:r>
    </w:p>
    <w:p w:rsidR="0061796B" w:rsidRPr="0061796B" w:rsidRDefault="0061796B" w:rsidP="009A3AEC">
      <w:pPr>
        <w:jc w:val="center"/>
        <w:rPr>
          <w:sz w:val="20"/>
          <w:szCs w:val="20"/>
        </w:rPr>
      </w:pPr>
    </w:p>
    <w:p w:rsidR="009A3AEC" w:rsidRPr="0061796B" w:rsidRDefault="009A3AEC" w:rsidP="009A3AEC">
      <w:pPr>
        <w:jc w:val="center"/>
        <w:rPr>
          <w:sz w:val="24"/>
          <w:szCs w:val="24"/>
        </w:rPr>
      </w:pPr>
      <w:r w:rsidRPr="0061796B">
        <w:rPr>
          <w:sz w:val="24"/>
          <w:szCs w:val="24"/>
        </w:rPr>
        <w:t>The University of Sheffield</w:t>
      </w:r>
    </w:p>
    <w:p w:rsidR="009A3AEC" w:rsidRPr="0061796B" w:rsidRDefault="009A3AEC" w:rsidP="009A3AEC">
      <w:pPr>
        <w:jc w:val="center"/>
        <w:rPr>
          <w:sz w:val="24"/>
          <w:szCs w:val="24"/>
        </w:rPr>
      </w:pPr>
      <w:r w:rsidRPr="0061796B">
        <w:rPr>
          <w:sz w:val="24"/>
          <w:szCs w:val="24"/>
        </w:rPr>
        <w:t>Faculty of Engineering, Department of Chemical &amp; Biological Engineering</w:t>
      </w:r>
    </w:p>
    <w:p w:rsidR="009A3AEC" w:rsidRPr="00ED364F" w:rsidRDefault="009A3AEC" w:rsidP="009A3AEC">
      <w:pPr>
        <w:jc w:val="center"/>
        <w:rPr>
          <w:sz w:val="16"/>
          <w:szCs w:val="16"/>
        </w:rPr>
      </w:pPr>
    </w:p>
    <w:p w:rsidR="009A3AEC" w:rsidRDefault="009A3AEC" w:rsidP="009A3AEC">
      <w:pPr>
        <w:jc w:val="center"/>
        <w:rPr>
          <w:b/>
          <w:sz w:val="28"/>
          <w:szCs w:val="28"/>
        </w:rPr>
      </w:pPr>
      <w:r w:rsidRPr="00E81B61">
        <w:rPr>
          <w:b/>
          <w:sz w:val="28"/>
          <w:szCs w:val="28"/>
        </w:rPr>
        <w:t>Supervisors:</w:t>
      </w:r>
    </w:p>
    <w:p w:rsidR="009A3AEC" w:rsidRPr="009A3AEC" w:rsidRDefault="009A3AEC" w:rsidP="009A3AEC">
      <w:pPr>
        <w:jc w:val="center"/>
        <w:rPr>
          <w:b/>
        </w:rPr>
      </w:pPr>
    </w:p>
    <w:p w:rsidR="009A3AEC" w:rsidRPr="009A3AEC" w:rsidRDefault="009A3AEC" w:rsidP="009A3AEC">
      <w:pPr>
        <w:jc w:val="center"/>
        <w:rPr>
          <w:b/>
        </w:rPr>
        <w:sectPr w:rsidR="009A3AEC" w:rsidRPr="009A3AEC" w:rsidSect="00A75E8D">
          <w:type w:val="continuous"/>
          <w:pgSz w:w="11906" w:h="16838"/>
          <w:pgMar w:top="1440" w:right="1440" w:bottom="1440" w:left="1440" w:header="708" w:footer="708" w:gutter="0"/>
          <w:cols w:space="708"/>
          <w:docGrid w:linePitch="360"/>
        </w:sectPr>
      </w:pPr>
    </w:p>
    <w:p w:rsidR="009A3AEC" w:rsidRPr="009D5B8B" w:rsidRDefault="00CC0295" w:rsidP="009A3AEC">
      <w:pPr>
        <w:jc w:val="center"/>
      </w:pPr>
      <w:r>
        <w:lastRenderedPageBreak/>
        <w:t xml:space="preserve">Prof </w:t>
      </w:r>
      <w:r w:rsidR="009A3AEC">
        <w:t>M</w:t>
      </w:r>
      <w:r w:rsidR="009A3AEC" w:rsidRPr="009D5B8B">
        <w:t>ark Dickman</w:t>
      </w:r>
    </w:p>
    <w:p w:rsidR="009A3AEC" w:rsidRDefault="009A3AEC" w:rsidP="009A3AEC">
      <w:pPr>
        <w:jc w:val="center"/>
        <w:rPr>
          <w:b/>
        </w:rPr>
      </w:pPr>
      <w:r w:rsidRPr="00E81B61">
        <w:rPr>
          <w:b/>
        </w:rPr>
        <w:t>Department of</w:t>
      </w:r>
      <w:r>
        <w:rPr>
          <w:b/>
        </w:rPr>
        <w:t xml:space="preserve"> </w:t>
      </w:r>
    </w:p>
    <w:p w:rsidR="009A3AEC" w:rsidRDefault="009A3AEC" w:rsidP="009A3AEC">
      <w:pPr>
        <w:jc w:val="center"/>
        <w:rPr>
          <w:b/>
        </w:rPr>
      </w:pPr>
      <w:r w:rsidRPr="00E81B61">
        <w:rPr>
          <w:b/>
        </w:rPr>
        <w:t xml:space="preserve">Chemical &amp; </w:t>
      </w:r>
      <w:r>
        <w:rPr>
          <w:b/>
        </w:rPr>
        <w:t>Biological Engineering</w:t>
      </w:r>
    </w:p>
    <w:p w:rsidR="009A3AEC" w:rsidRDefault="009A3AEC" w:rsidP="009A3AEC">
      <w:pPr>
        <w:jc w:val="center"/>
        <w:rPr>
          <w:b/>
        </w:rPr>
      </w:pPr>
      <w:r>
        <w:rPr>
          <w:b/>
        </w:rPr>
        <w:t>University of Sheffield</w:t>
      </w:r>
    </w:p>
    <w:p w:rsidR="009A3AEC" w:rsidRPr="00F00CA7" w:rsidRDefault="009A3AEC" w:rsidP="009A3AEC">
      <w:pPr>
        <w:jc w:val="center"/>
        <w:rPr>
          <w:b/>
        </w:rPr>
      </w:pPr>
    </w:p>
    <w:p w:rsidR="009A3AEC" w:rsidRDefault="009A3AEC" w:rsidP="009A3AEC">
      <w:pPr>
        <w:jc w:val="center"/>
        <w:rPr>
          <w:b/>
        </w:rPr>
      </w:pPr>
    </w:p>
    <w:p w:rsidR="009A3AEC" w:rsidRDefault="00CC0295" w:rsidP="009A3AEC">
      <w:pPr>
        <w:jc w:val="center"/>
      </w:pPr>
      <w:r>
        <w:t xml:space="preserve">Dr </w:t>
      </w:r>
      <w:r w:rsidR="009A3AEC">
        <w:t>David Portwood</w:t>
      </w:r>
    </w:p>
    <w:p w:rsidR="009A3AEC" w:rsidRDefault="009A3AEC" w:rsidP="009A3AEC">
      <w:pPr>
        <w:jc w:val="center"/>
        <w:rPr>
          <w:b/>
        </w:rPr>
      </w:pPr>
      <w:r w:rsidRPr="00D36550">
        <w:rPr>
          <w:b/>
        </w:rPr>
        <w:t>Syngenta</w:t>
      </w:r>
    </w:p>
    <w:p w:rsidR="009A3AEC" w:rsidRDefault="009A3AEC" w:rsidP="009A3AEC">
      <w:pPr>
        <w:jc w:val="center"/>
        <w:rPr>
          <w:b/>
        </w:rPr>
      </w:pPr>
      <w:r>
        <w:rPr>
          <w:b/>
        </w:rPr>
        <w:t>Jealott’s Hill International Research Centre</w:t>
      </w:r>
    </w:p>
    <w:p w:rsidR="009A3AEC" w:rsidRPr="00D36550" w:rsidRDefault="009A3AEC" w:rsidP="009A3AEC">
      <w:pPr>
        <w:jc w:val="center"/>
        <w:rPr>
          <w:b/>
        </w:rPr>
      </w:pPr>
      <w:r>
        <w:rPr>
          <w:b/>
        </w:rPr>
        <w:t>Bracknell, Berkshire</w:t>
      </w:r>
    </w:p>
    <w:p w:rsidR="009A3AEC" w:rsidRPr="009D5B8B" w:rsidRDefault="00CC0295" w:rsidP="009A3AEC">
      <w:pPr>
        <w:jc w:val="center"/>
      </w:pPr>
      <w:r>
        <w:lastRenderedPageBreak/>
        <w:t xml:space="preserve">Dr </w:t>
      </w:r>
      <w:r w:rsidR="009A3AEC" w:rsidRPr="009D5B8B">
        <w:t>Stephen Brown</w:t>
      </w:r>
    </w:p>
    <w:p w:rsidR="009A3AEC" w:rsidRDefault="009A3AEC" w:rsidP="009A3AEC">
      <w:pPr>
        <w:jc w:val="center"/>
        <w:rPr>
          <w:b/>
        </w:rPr>
      </w:pPr>
      <w:r w:rsidRPr="00E81B61">
        <w:rPr>
          <w:b/>
        </w:rPr>
        <w:t>Department of</w:t>
      </w:r>
      <w:r>
        <w:rPr>
          <w:b/>
        </w:rPr>
        <w:t xml:space="preserve"> </w:t>
      </w:r>
    </w:p>
    <w:p w:rsidR="009A3AEC" w:rsidRDefault="009A3AEC" w:rsidP="009A3AEC">
      <w:pPr>
        <w:jc w:val="center"/>
        <w:rPr>
          <w:b/>
        </w:rPr>
      </w:pPr>
      <w:r w:rsidRPr="00E81B61">
        <w:rPr>
          <w:b/>
        </w:rPr>
        <w:t>Biomedical Science</w:t>
      </w:r>
    </w:p>
    <w:p w:rsidR="009A3AEC" w:rsidRDefault="009A3AEC" w:rsidP="009A3AEC">
      <w:pPr>
        <w:jc w:val="center"/>
        <w:rPr>
          <w:b/>
        </w:rPr>
      </w:pPr>
      <w:r>
        <w:rPr>
          <w:b/>
        </w:rPr>
        <w:t>University of Sheffield</w:t>
      </w:r>
    </w:p>
    <w:p w:rsidR="009A3AEC" w:rsidRDefault="009A3AEC" w:rsidP="009A3AEC">
      <w:pPr>
        <w:jc w:val="center"/>
        <w:rPr>
          <w:b/>
        </w:rPr>
      </w:pPr>
    </w:p>
    <w:p w:rsidR="009A3AEC" w:rsidRDefault="009A3AEC" w:rsidP="009A3AEC">
      <w:pPr>
        <w:jc w:val="center"/>
      </w:pPr>
    </w:p>
    <w:p w:rsidR="009A3AEC" w:rsidRDefault="00CC0295" w:rsidP="009A3AEC">
      <w:pPr>
        <w:jc w:val="center"/>
      </w:pPr>
      <w:r>
        <w:t xml:space="preserve">Dr </w:t>
      </w:r>
      <w:r w:rsidR="009A3AEC">
        <w:t>Peter Kilby</w:t>
      </w:r>
    </w:p>
    <w:p w:rsidR="009A3AEC" w:rsidRDefault="009A3AEC" w:rsidP="009A3AEC">
      <w:pPr>
        <w:jc w:val="center"/>
        <w:rPr>
          <w:b/>
        </w:rPr>
      </w:pPr>
      <w:r w:rsidRPr="00D36550">
        <w:rPr>
          <w:b/>
        </w:rPr>
        <w:t>Syngenta</w:t>
      </w:r>
    </w:p>
    <w:p w:rsidR="009A3AEC" w:rsidRDefault="009A3AEC" w:rsidP="009A3AEC">
      <w:pPr>
        <w:jc w:val="center"/>
        <w:rPr>
          <w:b/>
        </w:rPr>
      </w:pPr>
      <w:r>
        <w:rPr>
          <w:b/>
        </w:rPr>
        <w:t>Jealott’s Hill International Research Centre</w:t>
      </w:r>
    </w:p>
    <w:p w:rsidR="009A3AEC" w:rsidRDefault="009A3AEC" w:rsidP="009A3AEC">
      <w:pPr>
        <w:jc w:val="center"/>
        <w:rPr>
          <w:b/>
        </w:rPr>
        <w:sectPr w:rsidR="009A3AEC" w:rsidSect="00A75E8D">
          <w:type w:val="continuous"/>
          <w:pgSz w:w="11906" w:h="16838"/>
          <w:pgMar w:top="1440" w:right="1440" w:bottom="1440" w:left="1440" w:header="708" w:footer="708" w:gutter="0"/>
          <w:cols w:num="2" w:space="708"/>
          <w:docGrid w:linePitch="360"/>
        </w:sectPr>
      </w:pPr>
      <w:r>
        <w:rPr>
          <w:b/>
        </w:rPr>
        <w:t>Bracknell, Berkshire</w:t>
      </w:r>
    </w:p>
    <w:p w:rsidR="009A3AEC" w:rsidRDefault="009A3AEC" w:rsidP="009A3AEC">
      <w:pPr>
        <w:jc w:val="center"/>
        <w:rPr>
          <w:b/>
        </w:rPr>
      </w:pPr>
    </w:p>
    <w:p w:rsidR="009A3AEC" w:rsidRDefault="009A3AEC" w:rsidP="009A3AEC">
      <w:pPr>
        <w:jc w:val="center"/>
        <w:rPr>
          <w:b/>
        </w:rPr>
      </w:pPr>
    </w:p>
    <w:p w:rsidR="009A3AEC" w:rsidRDefault="009A3AEC" w:rsidP="009A3AEC">
      <w:pPr>
        <w:jc w:val="center"/>
        <w:rPr>
          <w:b/>
        </w:rPr>
      </w:pPr>
      <w:r w:rsidRPr="009A3AEC">
        <w:rPr>
          <w:b/>
          <w:noProof/>
          <w:lang w:eastAsia="en-GB"/>
        </w:rPr>
        <w:drawing>
          <wp:inline distT="0" distB="0" distL="0" distR="0">
            <wp:extent cx="5731510" cy="862899"/>
            <wp:effectExtent l="19050" t="0" r="2540" b="0"/>
            <wp:docPr id="3"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39200" cy="1295400"/>
                      <a:chOff x="152400" y="5410200"/>
                      <a:chExt cx="8839200" cy="1295400"/>
                    </a:xfrm>
                  </a:grpSpPr>
                  <a:sp>
                    <a:nvSpPr>
                      <a:cNvPr id="7" name="Rectangle 6"/>
                      <a:cNvSpPr/>
                    </a:nvSpPr>
                    <a:spPr>
                      <a:xfrm>
                        <a:off x="152400" y="5410200"/>
                        <a:ext cx="8839200" cy="1295400"/>
                      </a:xfrm>
                      <a:prstGeom prst="rect">
                        <a:avLst/>
                      </a:prstGeom>
                      <a:solidFill>
                        <a:schemeClr val="bg1"/>
                      </a:solidFill>
                      <a:ln>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pic>
                    <a:nvPicPr>
                      <a:cNvPr id="39938" name="Picture 2" descr="http://www.hays.co.uk/cs/groups/hays_common/@uk/@content/documents/webassets/hays_1477603.jpg"/>
                      <a:cNvPicPr>
                        <a:picLocks noChangeAspect="1" noChangeArrowheads="1"/>
                      </a:cNvPicPr>
                    </a:nvPicPr>
                    <a:blipFill>
                      <a:blip r:embed="rId11" cstate="print"/>
                      <a:srcRect/>
                      <a:stretch>
                        <a:fillRect/>
                      </a:stretch>
                    </a:blipFill>
                    <a:spPr bwMode="auto">
                      <a:xfrm>
                        <a:off x="152400" y="5410200"/>
                        <a:ext cx="2590800" cy="1263015"/>
                      </a:xfrm>
                      <a:prstGeom prst="rect">
                        <a:avLst/>
                      </a:prstGeom>
                      <a:noFill/>
                    </a:spPr>
                  </a:pic>
                  <a:pic>
                    <a:nvPicPr>
                      <a:cNvPr id="39940" name="Picture 4" descr="http://www.bbsrc.ac.uk/bbsrc/cache/file/7E11510F-C921-45E0-9DD33B1A8C2C47F8_source.jpg"/>
                      <a:cNvPicPr>
                        <a:picLocks noChangeAspect="1" noChangeArrowheads="1"/>
                      </a:cNvPicPr>
                    </a:nvPicPr>
                    <a:blipFill>
                      <a:blip r:embed="rId12" cstate="print"/>
                      <a:srcRect/>
                      <a:stretch>
                        <a:fillRect/>
                      </a:stretch>
                    </a:blipFill>
                    <a:spPr bwMode="auto">
                      <a:xfrm>
                        <a:off x="3124200" y="5715000"/>
                        <a:ext cx="2895600" cy="622554"/>
                      </a:xfrm>
                      <a:prstGeom prst="rect">
                        <a:avLst/>
                      </a:prstGeom>
                      <a:noFill/>
                    </a:spPr>
                  </a:pic>
                  <a:pic>
                    <a:nvPicPr>
                      <a:cNvPr id="39942" name="Picture 6" descr="http://www.syngenta.com/global/corporate/SiteCollectionImages/ImageLibrary/FlagsAndLogos/logo-cmyk-lowres.jpg?type=image&amp;lo=/global/corporate/SiteCollectionImages/ImageLibrary/FlagsAndLogos/logo-cmyk-lowres.jpg&amp;hi=/global/corporate/SiteCollectionImages/ImageLibrary/FlagsAndLogos/logo-cmyk-highres.jpg"/>
                      <a:cNvPicPr>
                        <a:picLocks noChangeAspect="1" noChangeArrowheads="1"/>
                      </a:cNvPicPr>
                    </a:nvPicPr>
                    <a:blipFill>
                      <a:blip r:embed="rId13" cstate="print"/>
                      <a:srcRect/>
                      <a:stretch>
                        <a:fillRect/>
                      </a:stretch>
                    </a:blipFill>
                    <a:spPr bwMode="auto">
                      <a:xfrm>
                        <a:off x="6324600" y="5638800"/>
                        <a:ext cx="2667000" cy="800101"/>
                      </a:xfrm>
                      <a:prstGeom prst="rect">
                        <a:avLst/>
                      </a:prstGeom>
                      <a:noFill/>
                    </a:spPr>
                  </a:pic>
                </lc:lockedCanvas>
              </a:graphicData>
            </a:graphic>
          </wp:inline>
        </w:drawing>
      </w:r>
    </w:p>
    <w:p w:rsidR="00ED364F" w:rsidRDefault="00ED364F">
      <w:pPr>
        <w:spacing w:after="200"/>
        <w:jc w:val="left"/>
        <w:rPr>
          <w:b/>
          <w:sz w:val="28"/>
          <w:szCs w:val="28"/>
        </w:rPr>
      </w:pPr>
      <w:r>
        <w:rPr>
          <w:b/>
          <w:sz w:val="28"/>
          <w:szCs w:val="28"/>
        </w:rPr>
        <w:lastRenderedPageBreak/>
        <w:br w:type="page"/>
      </w:r>
    </w:p>
    <w:p w:rsidR="000441D9" w:rsidRDefault="000441D9" w:rsidP="000441D9">
      <w:pPr>
        <w:spacing w:after="200"/>
        <w:jc w:val="center"/>
        <w:rPr>
          <w:b/>
          <w:sz w:val="28"/>
          <w:szCs w:val="28"/>
        </w:rPr>
      </w:pPr>
      <w:r w:rsidRPr="000441D9">
        <w:rPr>
          <w:b/>
          <w:sz w:val="28"/>
          <w:szCs w:val="28"/>
        </w:rPr>
        <w:lastRenderedPageBreak/>
        <w:t>Declaration of Originality and Disclaimer</w:t>
      </w:r>
    </w:p>
    <w:p w:rsidR="000441D9" w:rsidRDefault="000441D9" w:rsidP="000441D9">
      <w:pPr>
        <w:spacing w:after="200"/>
        <w:jc w:val="center"/>
        <w:rPr>
          <w:b/>
          <w:sz w:val="28"/>
          <w:szCs w:val="28"/>
        </w:rPr>
      </w:pPr>
    </w:p>
    <w:p w:rsidR="000441D9" w:rsidRDefault="000441D9" w:rsidP="000441D9">
      <w:pPr>
        <w:spacing w:after="200"/>
        <w:rPr>
          <w:sz w:val="24"/>
          <w:szCs w:val="24"/>
        </w:rPr>
      </w:pPr>
      <w:r w:rsidRPr="000441D9">
        <w:rPr>
          <w:sz w:val="24"/>
          <w:szCs w:val="24"/>
        </w:rPr>
        <w:t>In accordance with the University regulations, I hereby declare that this thesis has been composed solely by myself, and has not been submitted in part or in whole for any other degree or personal qualification</w:t>
      </w:r>
      <w:r>
        <w:rPr>
          <w:sz w:val="24"/>
          <w:szCs w:val="24"/>
        </w:rPr>
        <w:t>.</w:t>
      </w:r>
      <w:r w:rsidR="00432B59">
        <w:rPr>
          <w:sz w:val="24"/>
          <w:szCs w:val="24"/>
        </w:rPr>
        <w:t xml:space="preserve"> I</w:t>
      </w:r>
      <w:r w:rsidR="00432B59" w:rsidRPr="000441D9">
        <w:rPr>
          <w:sz w:val="24"/>
          <w:szCs w:val="24"/>
        </w:rPr>
        <w:t>t is entirely my own work,</w:t>
      </w:r>
      <w:r w:rsidR="00432B59">
        <w:rPr>
          <w:sz w:val="24"/>
          <w:szCs w:val="24"/>
        </w:rPr>
        <w:t xml:space="preserve"> other than one replicate of one live insect feeding assay conducted</w:t>
      </w:r>
      <w:r w:rsidR="00CD6D0F">
        <w:rPr>
          <w:sz w:val="24"/>
          <w:szCs w:val="24"/>
        </w:rPr>
        <w:t xml:space="preserve"> by our collaborators at Syngenta in Ghent (credited in the text)</w:t>
      </w:r>
      <w:r w:rsidR="00432B59">
        <w:rPr>
          <w:sz w:val="24"/>
          <w:szCs w:val="24"/>
        </w:rPr>
        <w:t xml:space="preserve"> using </w:t>
      </w:r>
      <w:r w:rsidR="00CD6D0F">
        <w:rPr>
          <w:sz w:val="24"/>
          <w:szCs w:val="24"/>
        </w:rPr>
        <w:t>dsRNA s</w:t>
      </w:r>
      <w:r w:rsidR="00432B59">
        <w:rPr>
          <w:sz w:val="24"/>
          <w:szCs w:val="24"/>
        </w:rPr>
        <w:t>amples I synthesised in Sheffield</w:t>
      </w:r>
      <w:r w:rsidR="00CD6D0F">
        <w:rPr>
          <w:sz w:val="24"/>
          <w:szCs w:val="24"/>
        </w:rPr>
        <w:t>.</w:t>
      </w:r>
      <w:r w:rsidR="00432B59">
        <w:rPr>
          <w:sz w:val="24"/>
          <w:szCs w:val="24"/>
        </w:rPr>
        <w:t xml:space="preserve"> </w:t>
      </w:r>
    </w:p>
    <w:p w:rsidR="000441D9" w:rsidRDefault="000441D9" w:rsidP="000441D9">
      <w:pPr>
        <w:spacing w:after="200"/>
        <w:rPr>
          <w:sz w:val="24"/>
          <w:szCs w:val="24"/>
        </w:rPr>
      </w:pPr>
    </w:p>
    <w:p w:rsidR="000441D9" w:rsidRPr="000441D9" w:rsidRDefault="000441D9" w:rsidP="000441D9">
      <w:pPr>
        <w:spacing w:after="200"/>
        <w:rPr>
          <w:rFonts w:eastAsiaTheme="majorEastAsia" w:cstheme="majorBidi"/>
          <w:b/>
          <w:bCs/>
          <w:sz w:val="24"/>
          <w:szCs w:val="24"/>
        </w:rPr>
      </w:pPr>
      <w:r w:rsidRPr="000441D9">
        <w:rPr>
          <w:sz w:val="24"/>
          <w:szCs w:val="24"/>
        </w:rPr>
        <w:t>Opinions expressed in this thesis are not necessarily endorsed by Syngenta</w:t>
      </w:r>
      <w:r>
        <w:rPr>
          <w:sz w:val="24"/>
          <w:szCs w:val="24"/>
        </w:rPr>
        <w:t>.</w:t>
      </w:r>
      <w:r w:rsidRPr="000441D9">
        <w:rPr>
          <w:sz w:val="24"/>
          <w:szCs w:val="24"/>
        </w:rPr>
        <w:br w:type="page"/>
      </w:r>
    </w:p>
    <w:p w:rsidR="00ED364F" w:rsidRDefault="00ED364F">
      <w:pPr>
        <w:spacing w:after="200"/>
        <w:jc w:val="left"/>
        <w:rPr>
          <w:rFonts w:eastAsiaTheme="majorEastAsia" w:cstheme="majorBidi"/>
          <w:b/>
          <w:bCs/>
          <w:sz w:val="28"/>
          <w:szCs w:val="28"/>
        </w:rPr>
      </w:pPr>
      <w:r>
        <w:lastRenderedPageBreak/>
        <w:br w:type="page"/>
      </w:r>
    </w:p>
    <w:p w:rsidR="00ED364F" w:rsidRDefault="000441D9" w:rsidP="000441D9">
      <w:pPr>
        <w:pStyle w:val="Heading1"/>
        <w:numPr>
          <w:ilvl w:val="0"/>
          <w:numId w:val="0"/>
        </w:numPr>
      </w:pPr>
      <w:bookmarkStart w:id="0" w:name="_Toc35333906"/>
      <w:r>
        <w:lastRenderedPageBreak/>
        <w:t>Acknowledgements</w:t>
      </w:r>
      <w:bookmarkEnd w:id="0"/>
    </w:p>
    <w:p w:rsidR="00F379C5" w:rsidRDefault="00F379C5" w:rsidP="00ED364F"/>
    <w:p w:rsidR="00F379C5" w:rsidRDefault="001A18DB" w:rsidP="00F379C5">
      <w:r>
        <w:t xml:space="preserve">Firstly, </w:t>
      </w:r>
      <w:r w:rsidR="00F379C5">
        <w:t xml:space="preserve">I would like to </w:t>
      </w:r>
      <w:r>
        <w:t xml:space="preserve">say a huge </w:t>
      </w:r>
      <w:r w:rsidR="00F379C5">
        <w:t>thank</w:t>
      </w:r>
      <w:r w:rsidR="00D07FCE">
        <w:t xml:space="preserve"> you</w:t>
      </w:r>
      <w:r w:rsidR="00F379C5">
        <w:t xml:space="preserve"> my academic supervisors </w:t>
      </w:r>
      <w:r>
        <w:t xml:space="preserve">Prof </w:t>
      </w:r>
      <w:r w:rsidR="00F379C5">
        <w:t>Mark</w:t>
      </w:r>
      <w:r>
        <w:t xml:space="preserve"> Dickman</w:t>
      </w:r>
      <w:r w:rsidR="00F379C5">
        <w:t xml:space="preserve"> and </w:t>
      </w:r>
      <w:r>
        <w:t xml:space="preserve">Dr </w:t>
      </w:r>
      <w:r w:rsidR="00F379C5">
        <w:t>Ste</w:t>
      </w:r>
      <w:r>
        <w:t>phen Brown</w:t>
      </w:r>
      <w:r w:rsidR="00F379C5">
        <w:t xml:space="preserve"> for </w:t>
      </w:r>
      <w:r>
        <w:t>all the</w:t>
      </w:r>
      <w:r w:rsidR="00F379C5">
        <w:t xml:space="preserve"> general guidance</w:t>
      </w:r>
      <w:r>
        <w:t>, support</w:t>
      </w:r>
      <w:r w:rsidR="00F379C5">
        <w:t xml:space="preserve"> and training they have provided throughout </w:t>
      </w:r>
      <w:r>
        <w:t>my PhD</w:t>
      </w:r>
      <w:r w:rsidR="00F379C5">
        <w:t xml:space="preserve">, and for </w:t>
      </w:r>
      <w:r>
        <w:t xml:space="preserve">their </w:t>
      </w:r>
      <w:r w:rsidR="00F379C5">
        <w:t>advice on and proof reading of th</w:t>
      </w:r>
      <w:r>
        <w:t>e</w:t>
      </w:r>
      <w:r w:rsidR="00F379C5">
        <w:t xml:space="preserve"> </w:t>
      </w:r>
      <w:r>
        <w:t>thesis</w:t>
      </w:r>
      <w:r w:rsidR="00F379C5">
        <w:t xml:space="preserve">. I would </w:t>
      </w:r>
      <w:r>
        <w:t xml:space="preserve">also </w:t>
      </w:r>
      <w:r w:rsidR="00F379C5">
        <w:t xml:space="preserve">like to thank my industrial supervisors </w:t>
      </w:r>
      <w:r>
        <w:t xml:space="preserve">Dr </w:t>
      </w:r>
      <w:r w:rsidR="00F379C5">
        <w:t>Peter</w:t>
      </w:r>
      <w:r>
        <w:t xml:space="preserve"> Kilby and Dr David Portwood</w:t>
      </w:r>
      <w:r w:rsidR="00F379C5">
        <w:t xml:space="preserve"> for their valuable input from an alternative</w:t>
      </w:r>
      <w:r>
        <w:t xml:space="preserve"> industry</w:t>
      </w:r>
      <w:r w:rsidR="00F379C5">
        <w:t xml:space="preserve"> perspective,</w:t>
      </w:r>
      <w:r>
        <w:t xml:space="preserve"> as well as Duncan Oliver, Wendy Maddelein and countless other people from Syngenta’s research centre in Ghent, for their help and expertise on live insect assays. Thanks must also go to</w:t>
      </w:r>
      <w:r w:rsidR="00F379C5">
        <w:t xml:space="preserve"> Syngenta</w:t>
      </w:r>
      <w:r>
        <w:t xml:space="preserve"> and BBSRC for providing the funding for the project</w:t>
      </w:r>
      <w:r w:rsidR="00F379C5">
        <w:t>.</w:t>
      </w:r>
    </w:p>
    <w:p w:rsidR="001A18DB" w:rsidRDefault="001A18DB" w:rsidP="00F379C5"/>
    <w:p w:rsidR="001A18DB" w:rsidRDefault="001A18DB" w:rsidP="00F379C5">
      <w:r>
        <w:t>I would also like to thank all my colleagues in the SRSF and the Dickman Group, for their additional support and for improving the working environment immeasurably. It’s been a privilege to be part of two labs that are so friendly and welcoming.</w:t>
      </w:r>
    </w:p>
    <w:p w:rsidR="001A18DB" w:rsidRDefault="001A18DB" w:rsidP="00F379C5"/>
    <w:p w:rsidR="001A18DB" w:rsidRDefault="001A18DB" w:rsidP="00F379C5">
      <w:r>
        <w:t>I’d further like to thank my parents, family and friends for their</w:t>
      </w:r>
      <w:r w:rsidR="00D262B9">
        <w:t xml:space="preserve"> past and continued support. On many occasions they were there exactly when needed when the biology inevitably went wrong, even though they maybe weren’t quite sure</w:t>
      </w:r>
      <w:r>
        <w:t xml:space="preserve"> </w:t>
      </w:r>
      <w:r w:rsidR="00D262B9">
        <w:t xml:space="preserve">what the problem was. </w:t>
      </w:r>
      <w:r w:rsidR="00D07FCE">
        <w:t>Thanks to a</w:t>
      </w:r>
      <w:r w:rsidR="00D262B9">
        <w:t xml:space="preserve">ll the folks </w:t>
      </w:r>
      <w:r w:rsidR="00D07FCE">
        <w:t>from</w:t>
      </w:r>
      <w:r w:rsidR="00D262B9">
        <w:t xml:space="preserve"> Medic’s Choir and climbing in particular, for </w:t>
      </w:r>
      <w:r w:rsidR="00D07FCE">
        <w:t>helping distract me with fun things when times got tough.</w:t>
      </w:r>
    </w:p>
    <w:p w:rsidR="00D262B9" w:rsidRDefault="00D262B9" w:rsidP="00F379C5"/>
    <w:p w:rsidR="00D07FCE" w:rsidRDefault="00D262B9" w:rsidP="00F379C5">
      <w:r>
        <w:t>Finally, very special mentions</w:t>
      </w:r>
      <w:r w:rsidR="00D07FCE">
        <w:t xml:space="preserve"> and very special thanks</w:t>
      </w:r>
      <w:r>
        <w:t xml:space="preserve"> must go to the most special of friends. Without the support of Christina Vanhinsbergh, Josie McQuillan, Hannes Maib, Jonny Coates, Aragorn Jones </w:t>
      </w:r>
      <w:r w:rsidR="00F379C5">
        <w:t>and</w:t>
      </w:r>
      <w:r w:rsidR="00D07FCE">
        <w:t xml:space="preserve"> Hannah Regan, this thesis might not exist. Thank you all for every second of this rollercoaster ride, and love to you all!</w:t>
      </w:r>
    </w:p>
    <w:p w:rsidR="00D07FCE" w:rsidRDefault="00D07FCE" w:rsidP="00F379C5"/>
    <w:p w:rsidR="00432B59" w:rsidRDefault="00432B59" w:rsidP="00F379C5"/>
    <w:p w:rsidR="00432B59" w:rsidRDefault="00432B59" w:rsidP="00F379C5"/>
    <w:p w:rsidR="00432B59" w:rsidRDefault="00432B59" w:rsidP="00F379C5"/>
    <w:p w:rsidR="00D07FCE" w:rsidRDefault="00D07FCE" w:rsidP="00D07FCE">
      <w:pPr>
        <w:jc w:val="center"/>
      </w:pPr>
      <w:r>
        <w:rPr>
          <w:noProof/>
          <w:lang w:eastAsia="en-GB"/>
        </w:rPr>
        <w:drawing>
          <wp:inline distT="0" distB="0" distL="0" distR="0">
            <wp:extent cx="3044190" cy="3044190"/>
            <wp:effectExtent l="19050" t="0" r="3810" b="0"/>
            <wp:docPr id="9" name="Picture 1" descr="C:\Users\John D Howard\Desktop\University\PhD\Thesis &amp; Papers - Data, Diagrams, Drafts\The Actual Thesis (OMFG WTF HOW)\Diagrams converted to pictures\NathanWPyle comic for acknowledgements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D Howard\Desktop\University\PhD\Thesis &amp; Papers - Data, Diagrams, Drafts\The Actual Thesis (OMFG WTF HOW)\Diagrams converted to pictures\NathanWPyle comic for acknowledgements page.jpg"/>
                    <pic:cNvPicPr>
                      <a:picLocks noChangeAspect="1" noChangeArrowheads="1"/>
                    </pic:cNvPicPr>
                  </pic:nvPicPr>
                  <pic:blipFill>
                    <a:blip r:embed="rId14" cstate="print"/>
                    <a:srcRect/>
                    <a:stretch>
                      <a:fillRect/>
                    </a:stretch>
                  </pic:blipFill>
                  <pic:spPr bwMode="auto">
                    <a:xfrm>
                      <a:off x="0" y="0"/>
                      <a:ext cx="3044865" cy="3044865"/>
                    </a:xfrm>
                    <a:prstGeom prst="rect">
                      <a:avLst/>
                    </a:prstGeom>
                    <a:noFill/>
                    <a:ln w="9525">
                      <a:noFill/>
                      <a:miter lim="800000"/>
                      <a:headEnd/>
                      <a:tailEnd/>
                    </a:ln>
                  </pic:spPr>
                </pic:pic>
              </a:graphicData>
            </a:graphic>
          </wp:inline>
        </w:drawing>
      </w:r>
    </w:p>
    <w:p w:rsidR="00D07FCE" w:rsidRDefault="00D07FCE" w:rsidP="00F379C5"/>
    <w:p w:rsidR="00ED364F" w:rsidRDefault="00ED364F" w:rsidP="00D07FCE">
      <w:pPr>
        <w:jc w:val="center"/>
        <w:rPr>
          <w:rFonts w:eastAsiaTheme="majorEastAsia" w:cstheme="majorBidi"/>
          <w:sz w:val="28"/>
          <w:szCs w:val="28"/>
        </w:rPr>
      </w:pPr>
      <w:r>
        <w:br w:type="page"/>
      </w:r>
    </w:p>
    <w:p w:rsidR="000441D9" w:rsidRDefault="000441D9" w:rsidP="000441D9">
      <w:pPr>
        <w:pStyle w:val="Heading1"/>
        <w:numPr>
          <w:ilvl w:val="0"/>
          <w:numId w:val="0"/>
        </w:numPr>
      </w:pPr>
    </w:p>
    <w:p w:rsidR="000441D9" w:rsidRDefault="000441D9" w:rsidP="000441D9">
      <w:pPr>
        <w:rPr>
          <w:rFonts w:eastAsiaTheme="majorEastAsia" w:cstheme="majorBidi"/>
          <w:sz w:val="28"/>
          <w:szCs w:val="28"/>
        </w:rPr>
      </w:pPr>
      <w:r>
        <w:br w:type="page"/>
      </w:r>
    </w:p>
    <w:p w:rsidR="00AD1DE4" w:rsidRDefault="00AD1DE4" w:rsidP="00432B59">
      <w:pPr>
        <w:pStyle w:val="Heading1"/>
        <w:numPr>
          <w:ilvl w:val="0"/>
          <w:numId w:val="0"/>
        </w:numPr>
        <w:spacing w:before="240" w:after="240"/>
      </w:pPr>
      <w:bookmarkStart w:id="1" w:name="_Toc35333907"/>
      <w:r>
        <w:lastRenderedPageBreak/>
        <w:t>Abstract</w:t>
      </w:r>
      <w:bookmarkEnd w:id="1"/>
    </w:p>
    <w:p w:rsidR="000441D9" w:rsidRDefault="000441D9" w:rsidP="000441D9">
      <w:pPr>
        <w:spacing w:line="360" w:lineRule="auto"/>
        <w:ind w:firstLine="284"/>
      </w:pPr>
      <w:r>
        <w:t>Global agriculture loses over $100 billion of produce annually to crop pests such as insects. M</w:t>
      </w:r>
      <w:r w:rsidRPr="00384FAF">
        <w:t>any of these</w:t>
      </w:r>
      <w:r>
        <w:t xml:space="preserve"> crop pests</w:t>
      </w:r>
      <w:r w:rsidRPr="00384FAF">
        <w:t xml:space="preserve"> either have no current means of control</w:t>
      </w:r>
      <w:r>
        <w:t>,</w:t>
      </w:r>
      <w:r w:rsidRPr="00384FAF">
        <w:t xml:space="preserve"> or have developed resistance against traditional chemical pesticides</w:t>
      </w:r>
      <w:r>
        <w:t xml:space="preserve">. Therefore, there is currently significant demand to develop new types of insecticide, capable of overcoming issues with resistance, or lack of target species selectivity. Long dsRNA based biocontrols are emerging as a novel alternative for sustainable insect management strategies. Long dsRNA based biocontrols are capable of inducing RNA interference (RNAi) in insects resulting in knockdown of a target mRNA and therefore reduced levels of its protein product. Targeting of the mRNA for a protein essential to the growth and survival of the insect results in mortality of the target insect. Therefore long dsRNA based biocontrols are emerging as novel </w:t>
      </w:r>
      <w:r w:rsidRPr="00C95D00">
        <w:t xml:space="preserve"> species-specific insecticide</w:t>
      </w:r>
      <w:r>
        <w:t>s</w:t>
      </w:r>
      <w:r w:rsidRPr="00C95D00">
        <w:t>.</w:t>
      </w:r>
      <w:r>
        <w:t xml:space="preserve"> This approach has successfully been demonstrated for a wide range of target mRNAs and target species. </w:t>
      </w:r>
    </w:p>
    <w:p w:rsidR="000441D9" w:rsidRDefault="000441D9" w:rsidP="000441D9">
      <w:pPr>
        <w:spacing w:line="360" w:lineRule="auto"/>
        <w:ind w:firstLine="284"/>
      </w:pPr>
      <w:r>
        <w:t>A major barrier to the technology, is degradation of the dsRNA by nucleases in the environment and within the insect before it can induce RNAi. Therapeutic siRNAs and DNA antisense oligonucleotides are ineffective in whole organism mammalian systems unless they contain chemically modified nucleotides which prevent their degradation in the bloodstream by extracellular nucleases, as well as improving delivery and transport of the siRNA</w:t>
      </w:r>
      <w:r w:rsidR="00F5650A">
        <w:t xml:space="preserve"> or DNA oligo</w:t>
      </w:r>
      <w:r>
        <w:t>. It was hypothesised that such chemical modifications could improve the nuclease resistance of dsRNA based biocontrols, increasing their efficacy in insects.</w:t>
      </w:r>
    </w:p>
    <w:p w:rsidR="000441D9" w:rsidRDefault="000441D9" w:rsidP="000441D9">
      <w:pPr>
        <w:spacing w:line="360" w:lineRule="auto"/>
        <w:ind w:firstLine="284"/>
      </w:pPr>
      <w:r>
        <w:t>In this study, I have optimised the synthesis and purification of</w:t>
      </w:r>
      <w:bookmarkStart w:id="2" w:name="_GoBack"/>
      <w:bookmarkEnd w:id="2"/>
      <w:r>
        <w:t xml:space="preserve"> long dsRNA containing a range of different chemical modifications including phosphorothioate, 2’-fluoro and 5-hydroxymethyl. The effects of chemical modifications of the long dsRNA were studied both </w:t>
      </w:r>
      <w:r w:rsidRPr="002A0F5A">
        <w:rPr>
          <w:i/>
        </w:rPr>
        <w:t>in vitro</w:t>
      </w:r>
      <w:r>
        <w:t xml:space="preserve"> and </w:t>
      </w:r>
      <w:r w:rsidRPr="002A0F5A">
        <w:rPr>
          <w:i/>
        </w:rPr>
        <w:t>in vivo</w:t>
      </w:r>
      <w:r>
        <w:t xml:space="preserve">. The results showed for the first time that dsRNA containing phosphorothioate modifications demonstrated increased resistance to stink bug salival nucleases. In addition, both phosphorothioate and 2’-fluoro modified dsRNAs demonstrated increased RNAi efficacy in </w:t>
      </w:r>
      <w:r w:rsidRPr="00E459F2">
        <w:rPr>
          <w:i/>
        </w:rPr>
        <w:t>Drosophila</w:t>
      </w:r>
      <w:r>
        <w:t xml:space="preserve"> cell cultures. Furthermore, the effects of the chemical modification of long dsRNA on RNAi efficacy w</w:t>
      </w:r>
      <w:r w:rsidR="00F5650A">
        <w:t>ere</w:t>
      </w:r>
      <w:r>
        <w:t xml:space="preserve"> also studied in live insects in both</w:t>
      </w:r>
      <w:r w:rsidRPr="002E3501">
        <w:t xml:space="preserve"> </w:t>
      </w:r>
      <w:r>
        <w:t>southern green stink bug using injection assays, and in western corn rootworm using feeding assays. The results showed that the chemically modified long dsRNA resulted in successful RNAi in live insects as measured by insect mortality. However, no increase in RNAi efficacy was observed compared to unmodified dsRNA. To our knowledge this is the first time that RNAi has successfully been triggered by chemically modified dsRNA in insect cells or live insects.</w:t>
      </w:r>
    </w:p>
    <w:p w:rsidR="00ED364F" w:rsidRDefault="000441D9" w:rsidP="000441D9">
      <w:pPr>
        <w:spacing w:line="360" w:lineRule="auto"/>
        <w:ind w:firstLine="284"/>
      </w:pPr>
      <w:r>
        <w:t xml:space="preserve">These results provide further insight into the effects of chemical modifications of dsRNA based biocontrols. It is anticipated that these results will provide important information for developing new alternative dsRNA based biocontrols with improved nuclease resistance and RNAi efficacy. </w:t>
      </w:r>
    </w:p>
    <w:p w:rsidR="00ED364F" w:rsidRDefault="00ED364F">
      <w:pPr>
        <w:spacing w:after="200"/>
        <w:jc w:val="left"/>
      </w:pPr>
      <w:r>
        <w:lastRenderedPageBreak/>
        <w:br w:type="page"/>
      </w:r>
    </w:p>
    <w:p w:rsidR="00E32294" w:rsidRDefault="005C0E76">
      <w:pPr>
        <w:pStyle w:val="TOC1"/>
        <w:tabs>
          <w:tab w:val="right" w:leader="dot" w:pos="9016"/>
        </w:tabs>
        <w:rPr>
          <w:rFonts w:eastAsiaTheme="minorEastAsia"/>
          <w:noProof/>
          <w:lang w:eastAsia="en-GB"/>
        </w:rPr>
      </w:pPr>
      <w:r>
        <w:lastRenderedPageBreak/>
        <w:fldChar w:fldCharType="begin"/>
      </w:r>
      <w:r w:rsidR="00FF07C5">
        <w:instrText xml:space="preserve"> TOC \o "1-4" \h \z \u </w:instrText>
      </w:r>
      <w:r>
        <w:fldChar w:fldCharType="separate"/>
      </w:r>
      <w:hyperlink w:anchor="_Toc35333906" w:history="1">
        <w:r w:rsidR="00E32294" w:rsidRPr="009A130A">
          <w:rPr>
            <w:rStyle w:val="Hyperlink"/>
            <w:noProof/>
          </w:rPr>
          <w:t>Acknowledgements</w:t>
        </w:r>
        <w:r w:rsidR="00E32294">
          <w:rPr>
            <w:noProof/>
            <w:webHidden/>
          </w:rPr>
          <w:tab/>
        </w:r>
        <w:r w:rsidR="00E32294">
          <w:rPr>
            <w:noProof/>
            <w:webHidden/>
          </w:rPr>
          <w:fldChar w:fldCharType="begin"/>
        </w:r>
        <w:r w:rsidR="00E32294">
          <w:rPr>
            <w:noProof/>
            <w:webHidden/>
          </w:rPr>
          <w:instrText xml:space="preserve"> PAGEREF _Toc35333906 \h </w:instrText>
        </w:r>
        <w:r w:rsidR="00E32294">
          <w:rPr>
            <w:noProof/>
            <w:webHidden/>
          </w:rPr>
        </w:r>
        <w:r w:rsidR="00E32294">
          <w:rPr>
            <w:noProof/>
            <w:webHidden/>
          </w:rPr>
          <w:fldChar w:fldCharType="separate"/>
        </w:r>
        <w:r w:rsidR="00E32294">
          <w:rPr>
            <w:noProof/>
            <w:webHidden/>
          </w:rPr>
          <w:t>5</w:t>
        </w:r>
        <w:r w:rsidR="00E32294">
          <w:rPr>
            <w:noProof/>
            <w:webHidden/>
          </w:rPr>
          <w:fldChar w:fldCharType="end"/>
        </w:r>
      </w:hyperlink>
    </w:p>
    <w:p w:rsidR="00E32294" w:rsidRDefault="00E32294">
      <w:pPr>
        <w:pStyle w:val="TOC1"/>
        <w:tabs>
          <w:tab w:val="right" w:leader="dot" w:pos="9016"/>
        </w:tabs>
        <w:rPr>
          <w:rFonts w:eastAsiaTheme="minorEastAsia"/>
          <w:noProof/>
          <w:lang w:eastAsia="en-GB"/>
        </w:rPr>
      </w:pPr>
      <w:hyperlink w:anchor="_Toc35333907" w:history="1">
        <w:r w:rsidRPr="009A130A">
          <w:rPr>
            <w:rStyle w:val="Hyperlink"/>
            <w:noProof/>
          </w:rPr>
          <w:t>Abstract</w:t>
        </w:r>
        <w:r>
          <w:rPr>
            <w:noProof/>
            <w:webHidden/>
          </w:rPr>
          <w:tab/>
        </w:r>
        <w:r>
          <w:rPr>
            <w:noProof/>
            <w:webHidden/>
          </w:rPr>
          <w:fldChar w:fldCharType="begin"/>
        </w:r>
        <w:r>
          <w:rPr>
            <w:noProof/>
            <w:webHidden/>
          </w:rPr>
          <w:instrText xml:space="preserve"> PAGEREF _Toc35333907 \h </w:instrText>
        </w:r>
        <w:r>
          <w:rPr>
            <w:noProof/>
            <w:webHidden/>
          </w:rPr>
        </w:r>
        <w:r>
          <w:rPr>
            <w:noProof/>
            <w:webHidden/>
          </w:rPr>
          <w:fldChar w:fldCharType="separate"/>
        </w:r>
        <w:r>
          <w:rPr>
            <w:noProof/>
            <w:webHidden/>
          </w:rPr>
          <w:t>7</w:t>
        </w:r>
        <w:r>
          <w:rPr>
            <w:noProof/>
            <w:webHidden/>
          </w:rPr>
          <w:fldChar w:fldCharType="end"/>
        </w:r>
      </w:hyperlink>
    </w:p>
    <w:p w:rsidR="00E32294" w:rsidRDefault="00E32294">
      <w:pPr>
        <w:pStyle w:val="TOC1"/>
        <w:tabs>
          <w:tab w:val="right" w:leader="dot" w:pos="9016"/>
        </w:tabs>
        <w:rPr>
          <w:rFonts w:eastAsiaTheme="minorEastAsia"/>
          <w:noProof/>
          <w:lang w:eastAsia="en-GB"/>
        </w:rPr>
      </w:pPr>
      <w:hyperlink w:anchor="_Toc35333908" w:history="1">
        <w:r w:rsidRPr="009A130A">
          <w:rPr>
            <w:rStyle w:val="Hyperlink"/>
            <w:noProof/>
          </w:rPr>
          <w:t>Abbreviations and Acronyms</w:t>
        </w:r>
        <w:r>
          <w:rPr>
            <w:noProof/>
            <w:webHidden/>
          </w:rPr>
          <w:tab/>
        </w:r>
        <w:r>
          <w:rPr>
            <w:noProof/>
            <w:webHidden/>
          </w:rPr>
          <w:fldChar w:fldCharType="begin"/>
        </w:r>
        <w:r>
          <w:rPr>
            <w:noProof/>
            <w:webHidden/>
          </w:rPr>
          <w:instrText xml:space="preserve"> PAGEREF _Toc35333908 \h </w:instrText>
        </w:r>
        <w:r>
          <w:rPr>
            <w:noProof/>
            <w:webHidden/>
          </w:rPr>
        </w:r>
        <w:r>
          <w:rPr>
            <w:noProof/>
            <w:webHidden/>
          </w:rPr>
          <w:fldChar w:fldCharType="separate"/>
        </w:r>
        <w:r>
          <w:rPr>
            <w:noProof/>
            <w:webHidden/>
          </w:rPr>
          <w:t>14</w:t>
        </w:r>
        <w:r>
          <w:rPr>
            <w:noProof/>
            <w:webHidden/>
          </w:rPr>
          <w:fldChar w:fldCharType="end"/>
        </w:r>
      </w:hyperlink>
    </w:p>
    <w:p w:rsidR="00E32294" w:rsidRDefault="00E32294">
      <w:pPr>
        <w:pStyle w:val="TOC1"/>
        <w:tabs>
          <w:tab w:val="right" w:leader="dot" w:pos="9016"/>
        </w:tabs>
        <w:rPr>
          <w:rFonts w:eastAsiaTheme="minorEastAsia"/>
          <w:noProof/>
          <w:lang w:eastAsia="en-GB"/>
        </w:rPr>
      </w:pPr>
      <w:hyperlink w:anchor="_Toc35333909" w:history="1">
        <w:r w:rsidRPr="009A130A">
          <w:rPr>
            <w:rStyle w:val="Hyperlink"/>
            <w:noProof/>
          </w:rPr>
          <w:t>List of figures and tables</w:t>
        </w:r>
        <w:r>
          <w:rPr>
            <w:noProof/>
            <w:webHidden/>
          </w:rPr>
          <w:tab/>
        </w:r>
        <w:r>
          <w:rPr>
            <w:noProof/>
            <w:webHidden/>
          </w:rPr>
          <w:fldChar w:fldCharType="begin"/>
        </w:r>
        <w:r>
          <w:rPr>
            <w:noProof/>
            <w:webHidden/>
          </w:rPr>
          <w:instrText xml:space="preserve"> PAGEREF _Toc35333909 \h </w:instrText>
        </w:r>
        <w:r>
          <w:rPr>
            <w:noProof/>
            <w:webHidden/>
          </w:rPr>
        </w:r>
        <w:r>
          <w:rPr>
            <w:noProof/>
            <w:webHidden/>
          </w:rPr>
          <w:fldChar w:fldCharType="separate"/>
        </w:r>
        <w:r>
          <w:rPr>
            <w:noProof/>
            <w:webHidden/>
          </w:rPr>
          <w:t>20</w:t>
        </w:r>
        <w:r>
          <w:rPr>
            <w:noProof/>
            <w:webHidden/>
          </w:rPr>
          <w:fldChar w:fldCharType="end"/>
        </w:r>
      </w:hyperlink>
    </w:p>
    <w:p w:rsidR="00E32294" w:rsidRDefault="00E32294">
      <w:pPr>
        <w:pStyle w:val="TOC1"/>
        <w:tabs>
          <w:tab w:val="left" w:pos="440"/>
          <w:tab w:val="right" w:leader="dot" w:pos="9016"/>
        </w:tabs>
        <w:rPr>
          <w:rFonts w:eastAsiaTheme="minorEastAsia"/>
          <w:noProof/>
          <w:lang w:eastAsia="en-GB"/>
        </w:rPr>
      </w:pPr>
      <w:hyperlink w:anchor="_Toc35333910" w:history="1">
        <w:r w:rsidRPr="009A130A">
          <w:rPr>
            <w:rStyle w:val="Hyperlink"/>
            <w:noProof/>
          </w:rPr>
          <w:t>1</w:t>
        </w:r>
        <w:r>
          <w:rPr>
            <w:rFonts w:eastAsiaTheme="minorEastAsia"/>
            <w:noProof/>
            <w:lang w:eastAsia="en-GB"/>
          </w:rPr>
          <w:tab/>
        </w:r>
        <w:r w:rsidRPr="009A130A">
          <w:rPr>
            <w:rStyle w:val="Hyperlink"/>
            <w:noProof/>
          </w:rPr>
          <w:t>Introduction and literature review</w:t>
        </w:r>
        <w:r>
          <w:rPr>
            <w:noProof/>
            <w:webHidden/>
          </w:rPr>
          <w:tab/>
        </w:r>
        <w:r>
          <w:rPr>
            <w:noProof/>
            <w:webHidden/>
          </w:rPr>
          <w:fldChar w:fldCharType="begin"/>
        </w:r>
        <w:r>
          <w:rPr>
            <w:noProof/>
            <w:webHidden/>
          </w:rPr>
          <w:instrText xml:space="preserve"> PAGEREF _Toc35333910 \h </w:instrText>
        </w:r>
        <w:r>
          <w:rPr>
            <w:noProof/>
            <w:webHidden/>
          </w:rPr>
        </w:r>
        <w:r>
          <w:rPr>
            <w:noProof/>
            <w:webHidden/>
          </w:rPr>
          <w:fldChar w:fldCharType="separate"/>
        </w:r>
        <w:r>
          <w:rPr>
            <w:noProof/>
            <w:webHidden/>
          </w:rPr>
          <w:t>25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11" w:history="1">
        <w:r w:rsidRPr="009A130A">
          <w:rPr>
            <w:rStyle w:val="Hyperlink"/>
            <w:noProof/>
          </w:rPr>
          <w:t>1.1</w:t>
        </w:r>
        <w:r>
          <w:rPr>
            <w:rFonts w:eastAsiaTheme="minorEastAsia"/>
            <w:noProof/>
            <w:lang w:eastAsia="en-GB"/>
          </w:rPr>
          <w:tab/>
        </w:r>
        <w:r w:rsidRPr="009A130A">
          <w:rPr>
            <w:rStyle w:val="Hyperlink"/>
            <w:noProof/>
          </w:rPr>
          <w:t>Background and aims</w:t>
        </w:r>
        <w:r>
          <w:rPr>
            <w:noProof/>
            <w:webHidden/>
          </w:rPr>
          <w:tab/>
        </w:r>
        <w:r>
          <w:rPr>
            <w:noProof/>
            <w:webHidden/>
          </w:rPr>
          <w:fldChar w:fldCharType="begin"/>
        </w:r>
        <w:r>
          <w:rPr>
            <w:noProof/>
            <w:webHidden/>
          </w:rPr>
          <w:instrText xml:space="preserve"> PAGEREF _Toc35333911 \h </w:instrText>
        </w:r>
        <w:r>
          <w:rPr>
            <w:noProof/>
            <w:webHidden/>
          </w:rPr>
        </w:r>
        <w:r>
          <w:rPr>
            <w:noProof/>
            <w:webHidden/>
          </w:rPr>
          <w:fldChar w:fldCharType="separate"/>
        </w:r>
        <w:r>
          <w:rPr>
            <w:noProof/>
            <w:webHidden/>
          </w:rPr>
          <w:t>25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12" w:history="1">
        <w:r w:rsidRPr="009A130A">
          <w:rPr>
            <w:rStyle w:val="Hyperlink"/>
            <w:noProof/>
          </w:rPr>
          <w:t>1.2</w:t>
        </w:r>
        <w:r>
          <w:rPr>
            <w:rFonts w:eastAsiaTheme="minorEastAsia"/>
            <w:noProof/>
            <w:lang w:eastAsia="en-GB"/>
          </w:rPr>
          <w:tab/>
        </w:r>
        <w:r w:rsidRPr="009A130A">
          <w:rPr>
            <w:rStyle w:val="Hyperlink"/>
            <w:noProof/>
          </w:rPr>
          <w:t>Introduction to RNA interference (RNAi)</w:t>
        </w:r>
        <w:r>
          <w:rPr>
            <w:noProof/>
            <w:webHidden/>
          </w:rPr>
          <w:tab/>
        </w:r>
        <w:r>
          <w:rPr>
            <w:noProof/>
            <w:webHidden/>
          </w:rPr>
          <w:fldChar w:fldCharType="begin"/>
        </w:r>
        <w:r>
          <w:rPr>
            <w:noProof/>
            <w:webHidden/>
          </w:rPr>
          <w:instrText xml:space="preserve"> PAGEREF _Toc35333912 \h </w:instrText>
        </w:r>
        <w:r>
          <w:rPr>
            <w:noProof/>
            <w:webHidden/>
          </w:rPr>
        </w:r>
        <w:r>
          <w:rPr>
            <w:noProof/>
            <w:webHidden/>
          </w:rPr>
          <w:fldChar w:fldCharType="separate"/>
        </w:r>
        <w:r>
          <w:rPr>
            <w:noProof/>
            <w:webHidden/>
          </w:rPr>
          <w:t>29</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13" w:history="1">
        <w:r w:rsidRPr="009A130A">
          <w:rPr>
            <w:rStyle w:val="Hyperlink"/>
            <w:noProof/>
          </w:rPr>
          <w:t>1.2.1</w:t>
        </w:r>
        <w:r>
          <w:rPr>
            <w:rFonts w:eastAsiaTheme="minorEastAsia"/>
            <w:noProof/>
            <w:lang w:eastAsia="en-GB"/>
          </w:rPr>
          <w:tab/>
        </w:r>
        <w:r w:rsidRPr="009A130A">
          <w:rPr>
            <w:rStyle w:val="Hyperlink"/>
            <w:noProof/>
          </w:rPr>
          <w:t>Introduction and history of RNAi</w:t>
        </w:r>
        <w:r>
          <w:rPr>
            <w:noProof/>
            <w:webHidden/>
          </w:rPr>
          <w:tab/>
        </w:r>
        <w:r>
          <w:rPr>
            <w:noProof/>
            <w:webHidden/>
          </w:rPr>
          <w:fldChar w:fldCharType="begin"/>
        </w:r>
        <w:r>
          <w:rPr>
            <w:noProof/>
            <w:webHidden/>
          </w:rPr>
          <w:instrText xml:space="preserve"> PAGEREF _Toc35333913 \h </w:instrText>
        </w:r>
        <w:r>
          <w:rPr>
            <w:noProof/>
            <w:webHidden/>
          </w:rPr>
        </w:r>
        <w:r>
          <w:rPr>
            <w:noProof/>
            <w:webHidden/>
          </w:rPr>
          <w:fldChar w:fldCharType="separate"/>
        </w:r>
        <w:r>
          <w:rPr>
            <w:noProof/>
            <w:webHidden/>
          </w:rPr>
          <w:t>29</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14" w:history="1">
        <w:r w:rsidRPr="009A130A">
          <w:rPr>
            <w:rStyle w:val="Hyperlink"/>
            <w:noProof/>
          </w:rPr>
          <w:t>1.2.2</w:t>
        </w:r>
        <w:r>
          <w:rPr>
            <w:rFonts w:eastAsiaTheme="minorEastAsia"/>
            <w:noProof/>
            <w:lang w:eastAsia="en-GB"/>
          </w:rPr>
          <w:tab/>
        </w:r>
        <w:r w:rsidRPr="009A130A">
          <w:rPr>
            <w:rStyle w:val="Hyperlink"/>
            <w:noProof/>
          </w:rPr>
          <w:t>Mechanism and natural functions of RNAi</w:t>
        </w:r>
        <w:r>
          <w:rPr>
            <w:noProof/>
            <w:webHidden/>
          </w:rPr>
          <w:tab/>
        </w:r>
        <w:r>
          <w:rPr>
            <w:noProof/>
            <w:webHidden/>
          </w:rPr>
          <w:fldChar w:fldCharType="begin"/>
        </w:r>
        <w:r>
          <w:rPr>
            <w:noProof/>
            <w:webHidden/>
          </w:rPr>
          <w:instrText xml:space="preserve"> PAGEREF _Toc35333914 \h </w:instrText>
        </w:r>
        <w:r>
          <w:rPr>
            <w:noProof/>
            <w:webHidden/>
          </w:rPr>
        </w:r>
        <w:r>
          <w:rPr>
            <w:noProof/>
            <w:webHidden/>
          </w:rPr>
          <w:fldChar w:fldCharType="separate"/>
        </w:r>
        <w:r>
          <w:rPr>
            <w:noProof/>
            <w:webHidden/>
          </w:rPr>
          <w:t>30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15" w:history="1">
        <w:r w:rsidRPr="009A130A">
          <w:rPr>
            <w:rStyle w:val="Hyperlink"/>
            <w:noProof/>
          </w:rPr>
          <w:t>1.2.3</w:t>
        </w:r>
        <w:r>
          <w:rPr>
            <w:rFonts w:eastAsiaTheme="minorEastAsia"/>
            <w:noProof/>
            <w:lang w:eastAsia="en-GB"/>
          </w:rPr>
          <w:tab/>
        </w:r>
        <w:r w:rsidRPr="009A130A">
          <w:rPr>
            <w:rStyle w:val="Hyperlink"/>
            <w:noProof/>
          </w:rPr>
          <w:t>Applications of RNAi triggers in biological science</w:t>
        </w:r>
        <w:r>
          <w:rPr>
            <w:noProof/>
            <w:webHidden/>
          </w:rPr>
          <w:tab/>
        </w:r>
        <w:r>
          <w:rPr>
            <w:noProof/>
            <w:webHidden/>
          </w:rPr>
          <w:fldChar w:fldCharType="begin"/>
        </w:r>
        <w:r>
          <w:rPr>
            <w:noProof/>
            <w:webHidden/>
          </w:rPr>
          <w:instrText xml:space="preserve"> PAGEREF _Toc35333915 \h </w:instrText>
        </w:r>
        <w:r>
          <w:rPr>
            <w:noProof/>
            <w:webHidden/>
          </w:rPr>
        </w:r>
        <w:r>
          <w:rPr>
            <w:noProof/>
            <w:webHidden/>
          </w:rPr>
          <w:fldChar w:fldCharType="separate"/>
        </w:r>
        <w:r>
          <w:rPr>
            <w:noProof/>
            <w:webHidden/>
          </w:rPr>
          <w:t>34</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16" w:history="1">
        <w:r w:rsidRPr="009A130A">
          <w:rPr>
            <w:rStyle w:val="Hyperlink"/>
            <w:noProof/>
          </w:rPr>
          <w:t>1.2.3.1</w:t>
        </w:r>
        <w:r>
          <w:rPr>
            <w:rFonts w:eastAsiaTheme="minorEastAsia"/>
            <w:noProof/>
            <w:lang w:eastAsia="en-GB"/>
          </w:rPr>
          <w:tab/>
        </w:r>
        <w:r w:rsidRPr="009A130A">
          <w:rPr>
            <w:rStyle w:val="Hyperlink"/>
            <w:noProof/>
          </w:rPr>
          <w:t>Application of triggering RNAi as a functional genomics tool</w:t>
        </w:r>
        <w:r>
          <w:rPr>
            <w:noProof/>
            <w:webHidden/>
          </w:rPr>
          <w:tab/>
        </w:r>
        <w:r>
          <w:rPr>
            <w:noProof/>
            <w:webHidden/>
          </w:rPr>
          <w:fldChar w:fldCharType="begin"/>
        </w:r>
        <w:r>
          <w:rPr>
            <w:noProof/>
            <w:webHidden/>
          </w:rPr>
          <w:instrText xml:space="preserve"> PAGEREF _Toc35333916 \h </w:instrText>
        </w:r>
        <w:r>
          <w:rPr>
            <w:noProof/>
            <w:webHidden/>
          </w:rPr>
        </w:r>
        <w:r>
          <w:rPr>
            <w:noProof/>
            <w:webHidden/>
          </w:rPr>
          <w:fldChar w:fldCharType="separate"/>
        </w:r>
        <w:r>
          <w:rPr>
            <w:noProof/>
            <w:webHidden/>
          </w:rPr>
          <w:t>34</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17" w:history="1">
        <w:r w:rsidRPr="009A130A">
          <w:rPr>
            <w:rStyle w:val="Hyperlink"/>
            <w:noProof/>
          </w:rPr>
          <w:t>1.2.3.2</w:t>
        </w:r>
        <w:r>
          <w:rPr>
            <w:rFonts w:eastAsiaTheme="minorEastAsia"/>
            <w:noProof/>
            <w:lang w:eastAsia="en-GB"/>
          </w:rPr>
          <w:tab/>
        </w:r>
        <w:r w:rsidRPr="009A130A">
          <w:rPr>
            <w:rStyle w:val="Hyperlink"/>
            <w:noProof/>
          </w:rPr>
          <w:t>Application of RNAi triggers as therapeutic agents</w:t>
        </w:r>
        <w:r>
          <w:rPr>
            <w:noProof/>
            <w:webHidden/>
          </w:rPr>
          <w:tab/>
        </w:r>
        <w:r>
          <w:rPr>
            <w:noProof/>
            <w:webHidden/>
          </w:rPr>
          <w:fldChar w:fldCharType="begin"/>
        </w:r>
        <w:r>
          <w:rPr>
            <w:noProof/>
            <w:webHidden/>
          </w:rPr>
          <w:instrText xml:space="preserve"> PAGEREF _Toc35333917 \h </w:instrText>
        </w:r>
        <w:r>
          <w:rPr>
            <w:noProof/>
            <w:webHidden/>
          </w:rPr>
        </w:r>
        <w:r>
          <w:rPr>
            <w:noProof/>
            <w:webHidden/>
          </w:rPr>
          <w:fldChar w:fldCharType="separate"/>
        </w:r>
        <w:r>
          <w:rPr>
            <w:noProof/>
            <w:webHidden/>
          </w:rPr>
          <w:t>35</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18" w:history="1">
        <w:r w:rsidRPr="009A130A">
          <w:rPr>
            <w:rStyle w:val="Hyperlink"/>
            <w:noProof/>
          </w:rPr>
          <w:t>1.2.3.3</w:t>
        </w:r>
        <w:r>
          <w:rPr>
            <w:rFonts w:eastAsiaTheme="minorEastAsia"/>
            <w:noProof/>
            <w:lang w:eastAsia="en-GB"/>
          </w:rPr>
          <w:tab/>
        </w:r>
        <w:r w:rsidRPr="009A130A">
          <w:rPr>
            <w:rStyle w:val="Hyperlink"/>
            <w:noProof/>
          </w:rPr>
          <w:t>Application of RNAi triggers in agriculture</w:t>
        </w:r>
        <w:r>
          <w:rPr>
            <w:noProof/>
            <w:webHidden/>
          </w:rPr>
          <w:tab/>
        </w:r>
        <w:r>
          <w:rPr>
            <w:noProof/>
            <w:webHidden/>
          </w:rPr>
          <w:fldChar w:fldCharType="begin"/>
        </w:r>
        <w:r>
          <w:rPr>
            <w:noProof/>
            <w:webHidden/>
          </w:rPr>
          <w:instrText xml:space="preserve"> PAGEREF _Toc35333918 \h </w:instrText>
        </w:r>
        <w:r>
          <w:rPr>
            <w:noProof/>
            <w:webHidden/>
          </w:rPr>
        </w:r>
        <w:r>
          <w:rPr>
            <w:noProof/>
            <w:webHidden/>
          </w:rPr>
          <w:fldChar w:fldCharType="separate"/>
        </w:r>
        <w:r>
          <w:rPr>
            <w:noProof/>
            <w:webHidden/>
          </w:rPr>
          <w:t>35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19" w:history="1">
        <w:r w:rsidRPr="009A130A">
          <w:rPr>
            <w:rStyle w:val="Hyperlink"/>
            <w:noProof/>
          </w:rPr>
          <w:t>1.3</w:t>
        </w:r>
        <w:r>
          <w:rPr>
            <w:rFonts w:eastAsiaTheme="minorEastAsia"/>
            <w:noProof/>
            <w:lang w:eastAsia="en-GB"/>
          </w:rPr>
          <w:tab/>
        </w:r>
        <w:r w:rsidRPr="009A130A">
          <w:rPr>
            <w:rStyle w:val="Hyperlink"/>
            <w:noProof/>
          </w:rPr>
          <w:t>A review of the application of unmodified dsRNA to induce RNAi in insects</w:t>
        </w:r>
        <w:r>
          <w:rPr>
            <w:noProof/>
            <w:webHidden/>
          </w:rPr>
          <w:tab/>
        </w:r>
        <w:r>
          <w:rPr>
            <w:noProof/>
            <w:webHidden/>
          </w:rPr>
          <w:fldChar w:fldCharType="begin"/>
        </w:r>
        <w:r>
          <w:rPr>
            <w:noProof/>
            <w:webHidden/>
          </w:rPr>
          <w:instrText xml:space="preserve"> PAGEREF _Toc35333919 \h </w:instrText>
        </w:r>
        <w:r>
          <w:rPr>
            <w:noProof/>
            <w:webHidden/>
          </w:rPr>
        </w:r>
        <w:r>
          <w:rPr>
            <w:noProof/>
            <w:webHidden/>
          </w:rPr>
          <w:fldChar w:fldCharType="separate"/>
        </w:r>
        <w:r>
          <w:rPr>
            <w:noProof/>
            <w:webHidden/>
          </w:rPr>
          <w:t>37</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20" w:history="1">
        <w:r w:rsidRPr="009A130A">
          <w:rPr>
            <w:rStyle w:val="Hyperlink"/>
            <w:noProof/>
          </w:rPr>
          <w:t>1.3.1</w:t>
        </w:r>
        <w:r>
          <w:rPr>
            <w:rFonts w:eastAsiaTheme="minorEastAsia"/>
            <w:noProof/>
            <w:lang w:eastAsia="en-GB"/>
          </w:rPr>
          <w:tab/>
        </w:r>
        <w:r w:rsidRPr="009A130A">
          <w:rPr>
            <w:rStyle w:val="Hyperlink"/>
            <w:noProof/>
          </w:rPr>
          <w:t>Introduction</w:t>
        </w:r>
        <w:r>
          <w:rPr>
            <w:noProof/>
            <w:webHidden/>
          </w:rPr>
          <w:tab/>
        </w:r>
        <w:r>
          <w:rPr>
            <w:noProof/>
            <w:webHidden/>
          </w:rPr>
          <w:fldChar w:fldCharType="begin"/>
        </w:r>
        <w:r>
          <w:rPr>
            <w:noProof/>
            <w:webHidden/>
          </w:rPr>
          <w:instrText xml:space="preserve"> PAGEREF _Toc35333920 \h </w:instrText>
        </w:r>
        <w:r>
          <w:rPr>
            <w:noProof/>
            <w:webHidden/>
          </w:rPr>
        </w:r>
        <w:r>
          <w:rPr>
            <w:noProof/>
            <w:webHidden/>
          </w:rPr>
          <w:fldChar w:fldCharType="separate"/>
        </w:r>
        <w:r>
          <w:rPr>
            <w:noProof/>
            <w:webHidden/>
          </w:rPr>
          <w:t>37</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21" w:history="1">
        <w:r w:rsidRPr="009A130A">
          <w:rPr>
            <w:rStyle w:val="Hyperlink"/>
            <w:noProof/>
          </w:rPr>
          <w:t>1.3.2</w:t>
        </w:r>
        <w:r>
          <w:rPr>
            <w:rFonts w:eastAsiaTheme="minorEastAsia"/>
            <w:noProof/>
            <w:lang w:eastAsia="en-GB"/>
          </w:rPr>
          <w:tab/>
        </w:r>
        <w:r w:rsidRPr="009A130A">
          <w:rPr>
            <w:rStyle w:val="Hyperlink"/>
            <w:noProof/>
          </w:rPr>
          <w:t>Uptake of dsRNA in insects</w:t>
        </w:r>
        <w:r>
          <w:rPr>
            <w:noProof/>
            <w:webHidden/>
          </w:rPr>
          <w:tab/>
        </w:r>
        <w:r>
          <w:rPr>
            <w:noProof/>
            <w:webHidden/>
          </w:rPr>
          <w:fldChar w:fldCharType="begin"/>
        </w:r>
        <w:r>
          <w:rPr>
            <w:noProof/>
            <w:webHidden/>
          </w:rPr>
          <w:instrText xml:space="preserve"> PAGEREF _Toc35333921 \h </w:instrText>
        </w:r>
        <w:r>
          <w:rPr>
            <w:noProof/>
            <w:webHidden/>
          </w:rPr>
        </w:r>
        <w:r>
          <w:rPr>
            <w:noProof/>
            <w:webHidden/>
          </w:rPr>
          <w:fldChar w:fldCharType="separate"/>
        </w:r>
        <w:r>
          <w:rPr>
            <w:noProof/>
            <w:webHidden/>
          </w:rPr>
          <w:t>38</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22" w:history="1">
        <w:r w:rsidRPr="009A130A">
          <w:rPr>
            <w:rStyle w:val="Hyperlink"/>
            <w:noProof/>
          </w:rPr>
          <w:t>1.3.3</w:t>
        </w:r>
        <w:r>
          <w:rPr>
            <w:rFonts w:eastAsiaTheme="minorEastAsia"/>
            <w:noProof/>
            <w:lang w:eastAsia="en-GB"/>
          </w:rPr>
          <w:tab/>
        </w:r>
        <w:r w:rsidRPr="009A130A">
          <w:rPr>
            <w:rStyle w:val="Hyperlink"/>
            <w:noProof/>
          </w:rPr>
          <w:t>Delivery of dsRNA to insects</w:t>
        </w:r>
        <w:r>
          <w:rPr>
            <w:noProof/>
            <w:webHidden/>
          </w:rPr>
          <w:tab/>
        </w:r>
        <w:r>
          <w:rPr>
            <w:noProof/>
            <w:webHidden/>
          </w:rPr>
          <w:fldChar w:fldCharType="begin"/>
        </w:r>
        <w:r>
          <w:rPr>
            <w:noProof/>
            <w:webHidden/>
          </w:rPr>
          <w:instrText xml:space="preserve"> PAGEREF _Toc35333922 \h </w:instrText>
        </w:r>
        <w:r>
          <w:rPr>
            <w:noProof/>
            <w:webHidden/>
          </w:rPr>
        </w:r>
        <w:r>
          <w:rPr>
            <w:noProof/>
            <w:webHidden/>
          </w:rPr>
          <w:fldChar w:fldCharType="separate"/>
        </w:r>
        <w:r>
          <w:rPr>
            <w:noProof/>
            <w:webHidden/>
          </w:rPr>
          <w:t>41</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23" w:history="1">
        <w:r w:rsidRPr="009A130A">
          <w:rPr>
            <w:rStyle w:val="Hyperlink"/>
            <w:noProof/>
          </w:rPr>
          <w:t>1.3.3.1</w:t>
        </w:r>
        <w:r>
          <w:rPr>
            <w:rFonts w:eastAsiaTheme="minorEastAsia"/>
            <w:noProof/>
            <w:lang w:eastAsia="en-GB"/>
          </w:rPr>
          <w:tab/>
        </w:r>
        <w:r w:rsidRPr="009A130A">
          <w:rPr>
            <w:rStyle w:val="Hyperlink"/>
            <w:noProof/>
          </w:rPr>
          <w:t>Delivery of purified dsRNA to insects orally by feeding</w:t>
        </w:r>
        <w:r>
          <w:rPr>
            <w:noProof/>
            <w:webHidden/>
          </w:rPr>
          <w:tab/>
        </w:r>
        <w:r>
          <w:rPr>
            <w:noProof/>
            <w:webHidden/>
          </w:rPr>
          <w:fldChar w:fldCharType="begin"/>
        </w:r>
        <w:r>
          <w:rPr>
            <w:noProof/>
            <w:webHidden/>
          </w:rPr>
          <w:instrText xml:space="preserve"> PAGEREF _Toc35333923 \h </w:instrText>
        </w:r>
        <w:r>
          <w:rPr>
            <w:noProof/>
            <w:webHidden/>
          </w:rPr>
        </w:r>
        <w:r>
          <w:rPr>
            <w:noProof/>
            <w:webHidden/>
          </w:rPr>
          <w:fldChar w:fldCharType="separate"/>
        </w:r>
        <w:r>
          <w:rPr>
            <w:noProof/>
            <w:webHidden/>
          </w:rPr>
          <w:t>42</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24" w:history="1">
        <w:r w:rsidRPr="009A130A">
          <w:rPr>
            <w:rStyle w:val="Hyperlink"/>
            <w:noProof/>
          </w:rPr>
          <w:t>1.3.3.2</w:t>
        </w:r>
        <w:r>
          <w:rPr>
            <w:rFonts w:eastAsiaTheme="minorEastAsia"/>
            <w:noProof/>
            <w:lang w:eastAsia="en-GB"/>
          </w:rPr>
          <w:tab/>
        </w:r>
        <w:r w:rsidRPr="009A130A">
          <w:rPr>
            <w:rStyle w:val="Hyperlink"/>
            <w:noProof/>
          </w:rPr>
          <w:t>Production and delivery of dsRNA by plants and microorganisms</w:t>
        </w:r>
        <w:r>
          <w:rPr>
            <w:noProof/>
            <w:webHidden/>
          </w:rPr>
          <w:tab/>
        </w:r>
        <w:r>
          <w:rPr>
            <w:noProof/>
            <w:webHidden/>
          </w:rPr>
          <w:fldChar w:fldCharType="begin"/>
        </w:r>
        <w:r>
          <w:rPr>
            <w:noProof/>
            <w:webHidden/>
          </w:rPr>
          <w:instrText xml:space="preserve"> PAGEREF _Toc35333924 \h </w:instrText>
        </w:r>
        <w:r>
          <w:rPr>
            <w:noProof/>
            <w:webHidden/>
          </w:rPr>
        </w:r>
        <w:r>
          <w:rPr>
            <w:noProof/>
            <w:webHidden/>
          </w:rPr>
          <w:fldChar w:fldCharType="separate"/>
        </w:r>
        <w:r>
          <w:rPr>
            <w:noProof/>
            <w:webHidden/>
          </w:rPr>
          <w:t>43</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25" w:history="1">
        <w:r w:rsidRPr="009A130A">
          <w:rPr>
            <w:rStyle w:val="Hyperlink"/>
            <w:noProof/>
          </w:rPr>
          <w:t>1.4</w:t>
        </w:r>
        <w:r>
          <w:rPr>
            <w:rFonts w:eastAsiaTheme="minorEastAsia"/>
            <w:noProof/>
            <w:lang w:eastAsia="en-GB"/>
          </w:rPr>
          <w:tab/>
        </w:r>
        <w:r w:rsidRPr="009A130A">
          <w:rPr>
            <w:rStyle w:val="Hyperlink"/>
            <w:noProof/>
          </w:rPr>
          <w:t>A review of chemical modifications applied to siRNAs and oligonucleotides for medical and functional genomics research</w:t>
        </w:r>
        <w:r>
          <w:rPr>
            <w:noProof/>
            <w:webHidden/>
          </w:rPr>
          <w:tab/>
        </w:r>
        <w:r>
          <w:rPr>
            <w:noProof/>
            <w:webHidden/>
          </w:rPr>
          <w:fldChar w:fldCharType="begin"/>
        </w:r>
        <w:r>
          <w:rPr>
            <w:noProof/>
            <w:webHidden/>
          </w:rPr>
          <w:instrText xml:space="preserve"> PAGEREF _Toc35333925 \h </w:instrText>
        </w:r>
        <w:r>
          <w:rPr>
            <w:noProof/>
            <w:webHidden/>
          </w:rPr>
        </w:r>
        <w:r>
          <w:rPr>
            <w:noProof/>
            <w:webHidden/>
          </w:rPr>
          <w:fldChar w:fldCharType="separate"/>
        </w:r>
        <w:r>
          <w:rPr>
            <w:noProof/>
            <w:webHidden/>
          </w:rPr>
          <w:t>45</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26" w:history="1">
        <w:r w:rsidRPr="009A130A">
          <w:rPr>
            <w:rStyle w:val="Hyperlink"/>
            <w:noProof/>
          </w:rPr>
          <w:t>1.4.1</w:t>
        </w:r>
        <w:r>
          <w:rPr>
            <w:rFonts w:eastAsiaTheme="minorEastAsia"/>
            <w:noProof/>
            <w:lang w:eastAsia="en-GB"/>
          </w:rPr>
          <w:tab/>
        </w:r>
        <w:r w:rsidRPr="009A130A">
          <w:rPr>
            <w:rStyle w:val="Hyperlink"/>
            <w:noProof/>
          </w:rPr>
          <w:t>Introduction</w:t>
        </w:r>
        <w:r>
          <w:rPr>
            <w:noProof/>
            <w:webHidden/>
          </w:rPr>
          <w:tab/>
        </w:r>
        <w:r>
          <w:rPr>
            <w:noProof/>
            <w:webHidden/>
          </w:rPr>
          <w:fldChar w:fldCharType="begin"/>
        </w:r>
        <w:r>
          <w:rPr>
            <w:noProof/>
            <w:webHidden/>
          </w:rPr>
          <w:instrText xml:space="preserve"> PAGEREF _Toc35333926 \h </w:instrText>
        </w:r>
        <w:r>
          <w:rPr>
            <w:noProof/>
            <w:webHidden/>
          </w:rPr>
        </w:r>
        <w:r>
          <w:rPr>
            <w:noProof/>
            <w:webHidden/>
          </w:rPr>
          <w:fldChar w:fldCharType="separate"/>
        </w:r>
        <w:r>
          <w:rPr>
            <w:noProof/>
            <w:webHidden/>
          </w:rPr>
          <w:t>45</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27" w:history="1">
        <w:r w:rsidRPr="009A130A">
          <w:rPr>
            <w:rStyle w:val="Hyperlink"/>
            <w:noProof/>
          </w:rPr>
          <w:t>1.4.2</w:t>
        </w:r>
        <w:r>
          <w:rPr>
            <w:rFonts w:eastAsiaTheme="minorEastAsia"/>
            <w:noProof/>
            <w:lang w:eastAsia="en-GB"/>
          </w:rPr>
          <w:tab/>
        </w:r>
        <w:r w:rsidRPr="009A130A">
          <w:rPr>
            <w:rStyle w:val="Hyperlink"/>
            <w:noProof/>
          </w:rPr>
          <w:t>Nucleic acid backbone chemical modifications</w:t>
        </w:r>
        <w:r>
          <w:rPr>
            <w:noProof/>
            <w:webHidden/>
          </w:rPr>
          <w:tab/>
        </w:r>
        <w:r>
          <w:rPr>
            <w:noProof/>
            <w:webHidden/>
          </w:rPr>
          <w:fldChar w:fldCharType="begin"/>
        </w:r>
        <w:r>
          <w:rPr>
            <w:noProof/>
            <w:webHidden/>
          </w:rPr>
          <w:instrText xml:space="preserve"> PAGEREF _Toc35333927 \h </w:instrText>
        </w:r>
        <w:r>
          <w:rPr>
            <w:noProof/>
            <w:webHidden/>
          </w:rPr>
        </w:r>
        <w:r>
          <w:rPr>
            <w:noProof/>
            <w:webHidden/>
          </w:rPr>
          <w:fldChar w:fldCharType="separate"/>
        </w:r>
        <w:r>
          <w:rPr>
            <w:noProof/>
            <w:webHidden/>
          </w:rPr>
          <w:t>46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28" w:history="1">
        <w:r w:rsidRPr="009A130A">
          <w:rPr>
            <w:rStyle w:val="Hyperlink"/>
            <w:noProof/>
          </w:rPr>
          <w:t>1.4.3</w:t>
        </w:r>
        <w:r>
          <w:rPr>
            <w:rFonts w:eastAsiaTheme="minorEastAsia"/>
            <w:noProof/>
            <w:lang w:eastAsia="en-GB"/>
          </w:rPr>
          <w:tab/>
        </w:r>
        <w:r w:rsidRPr="009A130A">
          <w:rPr>
            <w:rStyle w:val="Hyperlink"/>
            <w:noProof/>
          </w:rPr>
          <w:t>Nucleic acid base chemical modifications</w:t>
        </w:r>
        <w:r>
          <w:rPr>
            <w:noProof/>
            <w:webHidden/>
          </w:rPr>
          <w:tab/>
        </w:r>
        <w:r>
          <w:rPr>
            <w:noProof/>
            <w:webHidden/>
          </w:rPr>
          <w:fldChar w:fldCharType="begin"/>
        </w:r>
        <w:r>
          <w:rPr>
            <w:noProof/>
            <w:webHidden/>
          </w:rPr>
          <w:instrText xml:space="preserve"> PAGEREF _Toc35333928 \h </w:instrText>
        </w:r>
        <w:r>
          <w:rPr>
            <w:noProof/>
            <w:webHidden/>
          </w:rPr>
        </w:r>
        <w:r>
          <w:rPr>
            <w:noProof/>
            <w:webHidden/>
          </w:rPr>
          <w:fldChar w:fldCharType="separate"/>
        </w:r>
        <w:r>
          <w:rPr>
            <w:noProof/>
            <w:webHidden/>
          </w:rPr>
          <w:t>49</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29" w:history="1">
        <w:r w:rsidRPr="009A130A">
          <w:rPr>
            <w:rStyle w:val="Hyperlink"/>
            <w:noProof/>
          </w:rPr>
          <w:t>1.4.4</w:t>
        </w:r>
        <w:r>
          <w:rPr>
            <w:rFonts w:eastAsiaTheme="minorEastAsia"/>
            <w:noProof/>
            <w:lang w:eastAsia="en-GB"/>
          </w:rPr>
          <w:tab/>
        </w:r>
        <w:r w:rsidRPr="009A130A">
          <w:rPr>
            <w:rStyle w:val="Hyperlink"/>
            <w:noProof/>
          </w:rPr>
          <w:t>Naturally occurring nucleic acid chemical modifications</w:t>
        </w:r>
        <w:r>
          <w:rPr>
            <w:noProof/>
            <w:webHidden/>
          </w:rPr>
          <w:tab/>
        </w:r>
        <w:r>
          <w:rPr>
            <w:noProof/>
            <w:webHidden/>
          </w:rPr>
          <w:fldChar w:fldCharType="begin"/>
        </w:r>
        <w:r>
          <w:rPr>
            <w:noProof/>
            <w:webHidden/>
          </w:rPr>
          <w:instrText xml:space="preserve"> PAGEREF _Toc35333929 \h </w:instrText>
        </w:r>
        <w:r>
          <w:rPr>
            <w:noProof/>
            <w:webHidden/>
          </w:rPr>
        </w:r>
        <w:r>
          <w:rPr>
            <w:noProof/>
            <w:webHidden/>
          </w:rPr>
          <w:fldChar w:fldCharType="separate"/>
        </w:r>
        <w:r>
          <w:rPr>
            <w:noProof/>
            <w:webHidden/>
          </w:rPr>
          <w:t>50</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30" w:history="1">
        <w:r w:rsidRPr="009A130A">
          <w:rPr>
            <w:rStyle w:val="Hyperlink"/>
            <w:noProof/>
          </w:rPr>
          <w:t>1.5</w:t>
        </w:r>
        <w:r>
          <w:rPr>
            <w:rFonts w:eastAsiaTheme="minorEastAsia"/>
            <w:noProof/>
            <w:lang w:eastAsia="en-GB"/>
          </w:rPr>
          <w:tab/>
        </w:r>
        <w:r w:rsidRPr="009A130A">
          <w:rPr>
            <w:rStyle w:val="Hyperlink"/>
            <w:noProof/>
          </w:rPr>
          <w:t>Discussion and research project scope and aims based literature review</w:t>
        </w:r>
        <w:r>
          <w:rPr>
            <w:noProof/>
            <w:webHidden/>
          </w:rPr>
          <w:tab/>
        </w:r>
        <w:r>
          <w:rPr>
            <w:noProof/>
            <w:webHidden/>
          </w:rPr>
          <w:fldChar w:fldCharType="begin"/>
        </w:r>
        <w:r>
          <w:rPr>
            <w:noProof/>
            <w:webHidden/>
          </w:rPr>
          <w:instrText xml:space="preserve"> PAGEREF _Toc35333930 \h </w:instrText>
        </w:r>
        <w:r>
          <w:rPr>
            <w:noProof/>
            <w:webHidden/>
          </w:rPr>
        </w:r>
        <w:r>
          <w:rPr>
            <w:noProof/>
            <w:webHidden/>
          </w:rPr>
          <w:fldChar w:fldCharType="separate"/>
        </w:r>
        <w:r>
          <w:rPr>
            <w:noProof/>
            <w:webHidden/>
          </w:rPr>
          <w:t>51</w:t>
        </w:r>
        <w:r>
          <w:rPr>
            <w:noProof/>
            <w:webHidden/>
          </w:rPr>
          <w:fldChar w:fldCharType="end"/>
        </w:r>
      </w:hyperlink>
    </w:p>
    <w:p w:rsidR="00E32294" w:rsidRDefault="00E32294">
      <w:pPr>
        <w:pStyle w:val="TOC1"/>
        <w:tabs>
          <w:tab w:val="left" w:pos="440"/>
          <w:tab w:val="right" w:leader="dot" w:pos="9016"/>
        </w:tabs>
        <w:rPr>
          <w:rFonts w:eastAsiaTheme="minorEastAsia"/>
          <w:noProof/>
          <w:lang w:eastAsia="en-GB"/>
        </w:rPr>
      </w:pPr>
      <w:hyperlink w:anchor="_Toc35333931" w:history="1">
        <w:r w:rsidRPr="009A130A">
          <w:rPr>
            <w:rStyle w:val="Hyperlink"/>
            <w:noProof/>
          </w:rPr>
          <w:t>2</w:t>
        </w:r>
        <w:r>
          <w:rPr>
            <w:rFonts w:eastAsiaTheme="minorEastAsia"/>
            <w:noProof/>
            <w:lang w:eastAsia="en-GB"/>
          </w:rPr>
          <w:tab/>
        </w:r>
        <w:r w:rsidRPr="009A130A">
          <w:rPr>
            <w:rStyle w:val="Hyperlink"/>
            <w:noProof/>
          </w:rPr>
          <w:t>Materials and Methods</w:t>
        </w:r>
        <w:r>
          <w:rPr>
            <w:noProof/>
            <w:webHidden/>
          </w:rPr>
          <w:tab/>
        </w:r>
        <w:r>
          <w:rPr>
            <w:noProof/>
            <w:webHidden/>
          </w:rPr>
          <w:fldChar w:fldCharType="begin"/>
        </w:r>
        <w:r>
          <w:rPr>
            <w:noProof/>
            <w:webHidden/>
          </w:rPr>
          <w:instrText xml:space="preserve"> PAGEREF _Toc35333931 \h </w:instrText>
        </w:r>
        <w:r>
          <w:rPr>
            <w:noProof/>
            <w:webHidden/>
          </w:rPr>
        </w:r>
        <w:r>
          <w:rPr>
            <w:noProof/>
            <w:webHidden/>
          </w:rPr>
          <w:fldChar w:fldCharType="separate"/>
        </w:r>
        <w:r>
          <w:rPr>
            <w:noProof/>
            <w:webHidden/>
          </w:rPr>
          <w:t>55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32" w:history="1">
        <w:r w:rsidRPr="009A130A">
          <w:rPr>
            <w:rStyle w:val="Hyperlink"/>
            <w:noProof/>
          </w:rPr>
          <w:t>2.1</w:t>
        </w:r>
        <w:r>
          <w:rPr>
            <w:rFonts w:eastAsiaTheme="minorEastAsia"/>
            <w:noProof/>
            <w:lang w:eastAsia="en-GB"/>
          </w:rPr>
          <w:tab/>
        </w:r>
        <w:r w:rsidRPr="009A130A">
          <w:rPr>
            <w:rStyle w:val="Hyperlink"/>
            <w:noProof/>
          </w:rPr>
          <w:t>Chemicals, reagents and equipment</w:t>
        </w:r>
        <w:r>
          <w:rPr>
            <w:noProof/>
            <w:webHidden/>
          </w:rPr>
          <w:tab/>
        </w:r>
        <w:r>
          <w:rPr>
            <w:noProof/>
            <w:webHidden/>
          </w:rPr>
          <w:fldChar w:fldCharType="begin"/>
        </w:r>
        <w:r>
          <w:rPr>
            <w:noProof/>
            <w:webHidden/>
          </w:rPr>
          <w:instrText xml:space="preserve"> PAGEREF _Toc35333932 \h </w:instrText>
        </w:r>
        <w:r>
          <w:rPr>
            <w:noProof/>
            <w:webHidden/>
          </w:rPr>
        </w:r>
        <w:r>
          <w:rPr>
            <w:noProof/>
            <w:webHidden/>
          </w:rPr>
          <w:fldChar w:fldCharType="separate"/>
        </w:r>
        <w:r>
          <w:rPr>
            <w:noProof/>
            <w:webHidden/>
          </w:rPr>
          <w:t>55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33" w:history="1">
        <w:r w:rsidRPr="009A130A">
          <w:rPr>
            <w:rStyle w:val="Hyperlink"/>
            <w:noProof/>
          </w:rPr>
          <w:t>2.2</w:t>
        </w:r>
        <w:r>
          <w:rPr>
            <w:rFonts w:eastAsiaTheme="minorEastAsia"/>
            <w:noProof/>
            <w:lang w:eastAsia="en-GB"/>
          </w:rPr>
          <w:tab/>
        </w:r>
        <w:r w:rsidRPr="009A130A">
          <w:rPr>
            <w:rStyle w:val="Hyperlink"/>
            <w:noProof/>
          </w:rPr>
          <w:t>Production and analysis of dsRNA</w:t>
        </w:r>
        <w:r>
          <w:rPr>
            <w:noProof/>
            <w:webHidden/>
          </w:rPr>
          <w:tab/>
        </w:r>
        <w:r>
          <w:rPr>
            <w:noProof/>
            <w:webHidden/>
          </w:rPr>
          <w:fldChar w:fldCharType="begin"/>
        </w:r>
        <w:r>
          <w:rPr>
            <w:noProof/>
            <w:webHidden/>
          </w:rPr>
          <w:instrText xml:space="preserve"> PAGEREF _Toc35333933 \h </w:instrText>
        </w:r>
        <w:r>
          <w:rPr>
            <w:noProof/>
            <w:webHidden/>
          </w:rPr>
        </w:r>
        <w:r>
          <w:rPr>
            <w:noProof/>
            <w:webHidden/>
          </w:rPr>
          <w:fldChar w:fldCharType="separate"/>
        </w:r>
        <w:r>
          <w:rPr>
            <w:noProof/>
            <w:webHidden/>
          </w:rPr>
          <w:t>56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34" w:history="1">
        <w:r w:rsidRPr="009A130A">
          <w:rPr>
            <w:rStyle w:val="Hyperlink"/>
            <w:noProof/>
          </w:rPr>
          <w:t>2.2.1</w:t>
        </w:r>
        <w:r>
          <w:rPr>
            <w:rFonts w:eastAsiaTheme="minorEastAsia"/>
            <w:noProof/>
            <w:lang w:eastAsia="en-GB"/>
          </w:rPr>
          <w:tab/>
        </w:r>
        <w:r w:rsidRPr="009A130A">
          <w:rPr>
            <w:rStyle w:val="Hyperlink"/>
            <w:noProof/>
          </w:rPr>
          <w:t>PCR of DNA templates</w:t>
        </w:r>
        <w:r>
          <w:rPr>
            <w:noProof/>
            <w:webHidden/>
          </w:rPr>
          <w:tab/>
        </w:r>
        <w:r>
          <w:rPr>
            <w:noProof/>
            <w:webHidden/>
          </w:rPr>
          <w:fldChar w:fldCharType="begin"/>
        </w:r>
        <w:r>
          <w:rPr>
            <w:noProof/>
            <w:webHidden/>
          </w:rPr>
          <w:instrText xml:space="preserve"> PAGEREF _Toc35333934 \h </w:instrText>
        </w:r>
        <w:r>
          <w:rPr>
            <w:noProof/>
            <w:webHidden/>
          </w:rPr>
        </w:r>
        <w:r>
          <w:rPr>
            <w:noProof/>
            <w:webHidden/>
          </w:rPr>
          <w:fldChar w:fldCharType="separate"/>
        </w:r>
        <w:r>
          <w:rPr>
            <w:noProof/>
            <w:webHidden/>
          </w:rPr>
          <w:t>56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35" w:history="1">
        <w:r w:rsidRPr="009A130A">
          <w:rPr>
            <w:rStyle w:val="Hyperlink"/>
            <w:noProof/>
          </w:rPr>
          <w:t>2.2.2</w:t>
        </w:r>
        <w:r>
          <w:rPr>
            <w:rFonts w:eastAsiaTheme="minorEastAsia"/>
            <w:noProof/>
            <w:lang w:eastAsia="en-GB"/>
          </w:rPr>
          <w:tab/>
        </w:r>
        <w:r w:rsidRPr="009A130A">
          <w:rPr>
            <w:rStyle w:val="Hyperlink"/>
            <w:noProof/>
          </w:rPr>
          <w:t>Synthesis of ss/dsRNA</w:t>
        </w:r>
        <w:r>
          <w:rPr>
            <w:noProof/>
            <w:webHidden/>
          </w:rPr>
          <w:tab/>
        </w:r>
        <w:r>
          <w:rPr>
            <w:noProof/>
            <w:webHidden/>
          </w:rPr>
          <w:fldChar w:fldCharType="begin"/>
        </w:r>
        <w:r>
          <w:rPr>
            <w:noProof/>
            <w:webHidden/>
          </w:rPr>
          <w:instrText xml:space="preserve"> PAGEREF _Toc35333935 \h </w:instrText>
        </w:r>
        <w:r>
          <w:rPr>
            <w:noProof/>
            <w:webHidden/>
          </w:rPr>
        </w:r>
        <w:r>
          <w:rPr>
            <w:noProof/>
            <w:webHidden/>
          </w:rPr>
          <w:fldChar w:fldCharType="separate"/>
        </w:r>
        <w:r>
          <w:rPr>
            <w:noProof/>
            <w:webHidden/>
          </w:rPr>
          <w:t>59</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36" w:history="1">
        <w:r w:rsidRPr="009A130A">
          <w:rPr>
            <w:rStyle w:val="Hyperlink"/>
            <w:noProof/>
          </w:rPr>
          <w:t>2.2.3</w:t>
        </w:r>
        <w:r>
          <w:rPr>
            <w:rFonts w:eastAsiaTheme="minorEastAsia"/>
            <w:noProof/>
            <w:lang w:eastAsia="en-GB"/>
          </w:rPr>
          <w:tab/>
        </w:r>
        <w:r w:rsidRPr="009A130A">
          <w:rPr>
            <w:rStyle w:val="Hyperlink"/>
            <w:noProof/>
          </w:rPr>
          <w:t>Glucosylation of 5-hydroxymethyl deoxycytidine/cytidine dsDNA and dsRNA</w:t>
        </w:r>
        <w:r>
          <w:rPr>
            <w:noProof/>
            <w:webHidden/>
          </w:rPr>
          <w:tab/>
        </w:r>
        <w:r>
          <w:rPr>
            <w:noProof/>
            <w:webHidden/>
          </w:rPr>
          <w:fldChar w:fldCharType="begin"/>
        </w:r>
        <w:r>
          <w:rPr>
            <w:noProof/>
            <w:webHidden/>
          </w:rPr>
          <w:instrText xml:space="preserve"> PAGEREF _Toc35333936 \h </w:instrText>
        </w:r>
        <w:r>
          <w:rPr>
            <w:noProof/>
            <w:webHidden/>
          </w:rPr>
        </w:r>
        <w:r>
          <w:rPr>
            <w:noProof/>
            <w:webHidden/>
          </w:rPr>
          <w:fldChar w:fldCharType="separate"/>
        </w:r>
        <w:r>
          <w:rPr>
            <w:noProof/>
            <w:webHidden/>
          </w:rPr>
          <w:t>60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37" w:history="1">
        <w:r w:rsidRPr="009A130A">
          <w:rPr>
            <w:rStyle w:val="Hyperlink"/>
            <w:noProof/>
          </w:rPr>
          <w:t>2.2.4</w:t>
        </w:r>
        <w:r>
          <w:rPr>
            <w:rFonts w:eastAsiaTheme="minorEastAsia"/>
            <w:noProof/>
            <w:lang w:eastAsia="en-GB"/>
          </w:rPr>
          <w:tab/>
        </w:r>
        <w:r w:rsidRPr="009A130A">
          <w:rPr>
            <w:rStyle w:val="Hyperlink"/>
            <w:noProof/>
          </w:rPr>
          <w:t>Gel analysis of PCR and IVT products</w:t>
        </w:r>
        <w:r>
          <w:rPr>
            <w:noProof/>
            <w:webHidden/>
          </w:rPr>
          <w:tab/>
        </w:r>
        <w:r>
          <w:rPr>
            <w:noProof/>
            <w:webHidden/>
          </w:rPr>
          <w:fldChar w:fldCharType="begin"/>
        </w:r>
        <w:r>
          <w:rPr>
            <w:noProof/>
            <w:webHidden/>
          </w:rPr>
          <w:instrText xml:space="preserve"> PAGEREF _Toc35333937 \h </w:instrText>
        </w:r>
        <w:r>
          <w:rPr>
            <w:noProof/>
            <w:webHidden/>
          </w:rPr>
        </w:r>
        <w:r>
          <w:rPr>
            <w:noProof/>
            <w:webHidden/>
          </w:rPr>
          <w:fldChar w:fldCharType="separate"/>
        </w:r>
        <w:r>
          <w:rPr>
            <w:noProof/>
            <w:webHidden/>
          </w:rPr>
          <w:t>60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38" w:history="1">
        <w:r w:rsidRPr="009A130A">
          <w:rPr>
            <w:rStyle w:val="Hyperlink"/>
            <w:noProof/>
          </w:rPr>
          <w:t>2.2.5</w:t>
        </w:r>
        <w:r>
          <w:rPr>
            <w:rFonts w:eastAsiaTheme="minorEastAsia"/>
            <w:noProof/>
            <w:lang w:eastAsia="en-GB"/>
          </w:rPr>
          <w:tab/>
        </w:r>
        <w:r w:rsidRPr="009A130A">
          <w:rPr>
            <w:rStyle w:val="Hyperlink"/>
            <w:noProof/>
          </w:rPr>
          <w:t>Purification of ss/dsRNA</w:t>
        </w:r>
        <w:r>
          <w:rPr>
            <w:noProof/>
            <w:webHidden/>
          </w:rPr>
          <w:tab/>
        </w:r>
        <w:r>
          <w:rPr>
            <w:noProof/>
            <w:webHidden/>
          </w:rPr>
          <w:fldChar w:fldCharType="begin"/>
        </w:r>
        <w:r>
          <w:rPr>
            <w:noProof/>
            <w:webHidden/>
          </w:rPr>
          <w:instrText xml:space="preserve"> PAGEREF _Toc35333938 \h </w:instrText>
        </w:r>
        <w:r>
          <w:rPr>
            <w:noProof/>
            <w:webHidden/>
          </w:rPr>
        </w:r>
        <w:r>
          <w:rPr>
            <w:noProof/>
            <w:webHidden/>
          </w:rPr>
          <w:fldChar w:fldCharType="separate"/>
        </w:r>
        <w:r>
          <w:rPr>
            <w:noProof/>
            <w:webHidden/>
          </w:rPr>
          <w:t>61</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39" w:history="1">
        <w:r w:rsidRPr="009A130A">
          <w:rPr>
            <w:rStyle w:val="Hyperlink"/>
            <w:noProof/>
          </w:rPr>
          <w:t>2.2.6</w:t>
        </w:r>
        <w:r>
          <w:rPr>
            <w:rFonts w:eastAsiaTheme="minorEastAsia"/>
            <w:noProof/>
            <w:lang w:eastAsia="en-GB"/>
          </w:rPr>
          <w:tab/>
        </w:r>
        <w:r w:rsidRPr="009A130A">
          <w:rPr>
            <w:rStyle w:val="Hyperlink"/>
            <w:noProof/>
          </w:rPr>
          <w:t>Annealing of ssRNAs to dsRNA</w:t>
        </w:r>
        <w:r>
          <w:rPr>
            <w:noProof/>
            <w:webHidden/>
          </w:rPr>
          <w:tab/>
        </w:r>
        <w:r>
          <w:rPr>
            <w:noProof/>
            <w:webHidden/>
          </w:rPr>
          <w:fldChar w:fldCharType="begin"/>
        </w:r>
        <w:r>
          <w:rPr>
            <w:noProof/>
            <w:webHidden/>
          </w:rPr>
          <w:instrText xml:space="preserve"> PAGEREF _Toc35333939 \h </w:instrText>
        </w:r>
        <w:r>
          <w:rPr>
            <w:noProof/>
            <w:webHidden/>
          </w:rPr>
        </w:r>
        <w:r>
          <w:rPr>
            <w:noProof/>
            <w:webHidden/>
          </w:rPr>
          <w:fldChar w:fldCharType="separate"/>
        </w:r>
        <w:r>
          <w:rPr>
            <w:noProof/>
            <w:webHidden/>
          </w:rPr>
          <w:t>61</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40" w:history="1">
        <w:r w:rsidRPr="009A130A">
          <w:rPr>
            <w:rStyle w:val="Hyperlink"/>
            <w:noProof/>
          </w:rPr>
          <w:t>2.2.7</w:t>
        </w:r>
        <w:r>
          <w:rPr>
            <w:rFonts w:eastAsiaTheme="minorEastAsia"/>
            <w:noProof/>
            <w:lang w:eastAsia="en-GB"/>
          </w:rPr>
          <w:tab/>
        </w:r>
        <w:r w:rsidRPr="009A130A">
          <w:rPr>
            <w:rStyle w:val="Hyperlink"/>
            <w:noProof/>
          </w:rPr>
          <w:t>Ion pair reverse phase high performance liquid chromatography (IP RP HPLC) analysis of RNA</w:t>
        </w:r>
        <w:r>
          <w:rPr>
            <w:noProof/>
            <w:webHidden/>
          </w:rPr>
          <w:tab/>
        </w:r>
        <w:r>
          <w:rPr>
            <w:noProof/>
            <w:webHidden/>
          </w:rPr>
          <w:fldChar w:fldCharType="begin"/>
        </w:r>
        <w:r>
          <w:rPr>
            <w:noProof/>
            <w:webHidden/>
          </w:rPr>
          <w:instrText xml:space="preserve"> PAGEREF _Toc35333940 \h </w:instrText>
        </w:r>
        <w:r>
          <w:rPr>
            <w:noProof/>
            <w:webHidden/>
          </w:rPr>
        </w:r>
        <w:r>
          <w:rPr>
            <w:noProof/>
            <w:webHidden/>
          </w:rPr>
          <w:fldChar w:fldCharType="separate"/>
        </w:r>
        <w:r>
          <w:rPr>
            <w:noProof/>
            <w:webHidden/>
          </w:rPr>
          <w:t>61</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41" w:history="1">
        <w:r w:rsidRPr="009A130A">
          <w:rPr>
            <w:rStyle w:val="Hyperlink"/>
            <w:noProof/>
          </w:rPr>
          <w:t>2.3</w:t>
        </w:r>
        <w:r>
          <w:rPr>
            <w:rFonts w:eastAsiaTheme="minorEastAsia"/>
            <w:noProof/>
            <w:lang w:eastAsia="en-GB"/>
          </w:rPr>
          <w:tab/>
        </w:r>
        <w:r w:rsidRPr="009A130A">
          <w:rPr>
            <w:rStyle w:val="Hyperlink"/>
            <w:noProof/>
          </w:rPr>
          <w:t>Interaction of dsRNA with processing and degrading insect nucleases</w:t>
        </w:r>
        <w:r>
          <w:rPr>
            <w:noProof/>
            <w:webHidden/>
          </w:rPr>
          <w:tab/>
        </w:r>
        <w:r>
          <w:rPr>
            <w:noProof/>
            <w:webHidden/>
          </w:rPr>
          <w:fldChar w:fldCharType="begin"/>
        </w:r>
        <w:r>
          <w:rPr>
            <w:noProof/>
            <w:webHidden/>
          </w:rPr>
          <w:instrText xml:space="preserve"> PAGEREF _Toc35333941 \h </w:instrText>
        </w:r>
        <w:r>
          <w:rPr>
            <w:noProof/>
            <w:webHidden/>
          </w:rPr>
        </w:r>
        <w:r>
          <w:rPr>
            <w:noProof/>
            <w:webHidden/>
          </w:rPr>
          <w:fldChar w:fldCharType="separate"/>
        </w:r>
        <w:r>
          <w:rPr>
            <w:noProof/>
            <w:webHidden/>
          </w:rPr>
          <w:t>62</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42" w:history="1">
        <w:r w:rsidRPr="009A130A">
          <w:rPr>
            <w:rStyle w:val="Hyperlink"/>
            <w:noProof/>
          </w:rPr>
          <w:t>2.3.1</w:t>
        </w:r>
        <w:r>
          <w:rPr>
            <w:rFonts w:eastAsiaTheme="minorEastAsia"/>
            <w:noProof/>
            <w:lang w:eastAsia="en-GB"/>
          </w:rPr>
          <w:tab/>
        </w:r>
        <w:r w:rsidRPr="009A130A">
          <w:rPr>
            <w:rStyle w:val="Hyperlink"/>
            <w:noProof/>
          </w:rPr>
          <w:t>Stink bug salival nuclease degradation assay</w:t>
        </w:r>
        <w:r>
          <w:rPr>
            <w:noProof/>
            <w:webHidden/>
          </w:rPr>
          <w:tab/>
        </w:r>
        <w:r>
          <w:rPr>
            <w:noProof/>
            <w:webHidden/>
          </w:rPr>
          <w:fldChar w:fldCharType="begin"/>
        </w:r>
        <w:r>
          <w:rPr>
            <w:noProof/>
            <w:webHidden/>
          </w:rPr>
          <w:instrText xml:space="preserve"> PAGEREF _Toc35333942 \h </w:instrText>
        </w:r>
        <w:r>
          <w:rPr>
            <w:noProof/>
            <w:webHidden/>
          </w:rPr>
        </w:r>
        <w:r>
          <w:rPr>
            <w:noProof/>
            <w:webHidden/>
          </w:rPr>
          <w:fldChar w:fldCharType="separate"/>
        </w:r>
        <w:r>
          <w:rPr>
            <w:noProof/>
            <w:webHidden/>
          </w:rPr>
          <w:t>62</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43" w:history="1">
        <w:r w:rsidRPr="009A130A">
          <w:rPr>
            <w:rStyle w:val="Hyperlink"/>
            <w:noProof/>
          </w:rPr>
          <w:t>2.3.2</w:t>
        </w:r>
        <w:r>
          <w:rPr>
            <w:rFonts w:eastAsiaTheme="minorEastAsia"/>
            <w:noProof/>
            <w:lang w:eastAsia="en-GB"/>
          </w:rPr>
          <w:tab/>
        </w:r>
        <w:r w:rsidRPr="009A130A">
          <w:rPr>
            <w:rStyle w:val="Hyperlink"/>
            <w:noProof/>
          </w:rPr>
          <w:t>Gel band quantification analysis</w:t>
        </w:r>
        <w:r>
          <w:rPr>
            <w:noProof/>
            <w:webHidden/>
          </w:rPr>
          <w:tab/>
        </w:r>
        <w:r>
          <w:rPr>
            <w:noProof/>
            <w:webHidden/>
          </w:rPr>
          <w:fldChar w:fldCharType="begin"/>
        </w:r>
        <w:r>
          <w:rPr>
            <w:noProof/>
            <w:webHidden/>
          </w:rPr>
          <w:instrText xml:space="preserve"> PAGEREF _Toc35333943 \h </w:instrText>
        </w:r>
        <w:r>
          <w:rPr>
            <w:noProof/>
            <w:webHidden/>
          </w:rPr>
        </w:r>
        <w:r>
          <w:rPr>
            <w:noProof/>
            <w:webHidden/>
          </w:rPr>
          <w:fldChar w:fldCharType="separate"/>
        </w:r>
        <w:r>
          <w:rPr>
            <w:noProof/>
            <w:webHidden/>
          </w:rPr>
          <w:t>63</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44" w:history="1">
        <w:r w:rsidRPr="009A130A">
          <w:rPr>
            <w:rStyle w:val="Hyperlink"/>
            <w:noProof/>
          </w:rPr>
          <w:t>2.3.3</w:t>
        </w:r>
        <w:r>
          <w:rPr>
            <w:rFonts w:eastAsiaTheme="minorEastAsia"/>
            <w:noProof/>
            <w:lang w:eastAsia="en-GB"/>
          </w:rPr>
          <w:tab/>
        </w:r>
        <w:r w:rsidRPr="009A130A">
          <w:rPr>
            <w:rStyle w:val="Hyperlink"/>
            <w:noProof/>
          </w:rPr>
          <w:t>Dicer processing assays</w:t>
        </w:r>
        <w:r>
          <w:rPr>
            <w:noProof/>
            <w:webHidden/>
          </w:rPr>
          <w:tab/>
        </w:r>
        <w:r>
          <w:rPr>
            <w:noProof/>
            <w:webHidden/>
          </w:rPr>
          <w:fldChar w:fldCharType="begin"/>
        </w:r>
        <w:r>
          <w:rPr>
            <w:noProof/>
            <w:webHidden/>
          </w:rPr>
          <w:instrText xml:space="preserve"> PAGEREF _Toc35333944 \h </w:instrText>
        </w:r>
        <w:r>
          <w:rPr>
            <w:noProof/>
            <w:webHidden/>
          </w:rPr>
        </w:r>
        <w:r>
          <w:rPr>
            <w:noProof/>
            <w:webHidden/>
          </w:rPr>
          <w:fldChar w:fldCharType="separate"/>
        </w:r>
        <w:r>
          <w:rPr>
            <w:noProof/>
            <w:webHidden/>
          </w:rPr>
          <w:t>63</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45" w:history="1">
        <w:r w:rsidRPr="009A130A">
          <w:rPr>
            <w:rStyle w:val="Hyperlink"/>
            <w:noProof/>
          </w:rPr>
          <w:t>2.3.3.1</w:t>
        </w:r>
        <w:r>
          <w:rPr>
            <w:rFonts w:eastAsiaTheme="minorEastAsia"/>
            <w:noProof/>
            <w:lang w:eastAsia="en-GB"/>
          </w:rPr>
          <w:tab/>
        </w:r>
        <w:r w:rsidRPr="009A130A">
          <w:rPr>
            <w:rStyle w:val="Hyperlink"/>
            <w:noProof/>
          </w:rPr>
          <w:t>RNase III assay</w:t>
        </w:r>
        <w:r>
          <w:rPr>
            <w:noProof/>
            <w:webHidden/>
          </w:rPr>
          <w:tab/>
        </w:r>
        <w:r>
          <w:rPr>
            <w:noProof/>
            <w:webHidden/>
          </w:rPr>
          <w:fldChar w:fldCharType="begin"/>
        </w:r>
        <w:r>
          <w:rPr>
            <w:noProof/>
            <w:webHidden/>
          </w:rPr>
          <w:instrText xml:space="preserve"> PAGEREF _Toc35333945 \h </w:instrText>
        </w:r>
        <w:r>
          <w:rPr>
            <w:noProof/>
            <w:webHidden/>
          </w:rPr>
        </w:r>
        <w:r>
          <w:rPr>
            <w:noProof/>
            <w:webHidden/>
          </w:rPr>
          <w:fldChar w:fldCharType="separate"/>
        </w:r>
        <w:r>
          <w:rPr>
            <w:noProof/>
            <w:webHidden/>
          </w:rPr>
          <w:t>63</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46" w:history="1">
        <w:r w:rsidRPr="009A130A">
          <w:rPr>
            <w:rStyle w:val="Hyperlink"/>
            <w:noProof/>
          </w:rPr>
          <w:t>2.3.3.2</w:t>
        </w:r>
        <w:r>
          <w:rPr>
            <w:rFonts w:eastAsiaTheme="minorEastAsia"/>
            <w:noProof/>
            <w:lang w:eastAsia="en-GB"/>
          </w:rPr>
          <w:tab/>
        </w:r>
        <w:r w:rsidRPr="009A130A">
          <w:rPr>
            <w:rStyle w:val="Hyperlink"/>
            <w:i/>
            <w:noProof/>
          </w:rPr>
          <w:t>Giardia</w:t>
        </w:r>
        <w:r w:rsidRPr="009A130A">
          <w:rPr>
            <w:rStyle w:val="Hyperlink"/>
            <w:noProof/>
          </w:rPr>
          <w:t xml:space="preserve"> Dicer assay</w:t>
        </w:r>
        <w:r>
          <w:rPr>
            <w:noProof/>
            <w:webHidden/>
          </w:rPr>
          <w:tab/>
        </w:r>
        <w:r>
          <w:rPr>
            <w:noProof/>
            <w:webHidden/>
          </w:rPr>
          <w:fldChar w:fldCharType="begin"/>
        </w:r>
        <w:r>
          <w:rPr>
            <w:noProof/>
            <w:webHidden/>
          </w:rPr>
          <w:instrText xml:space="preserve"> PAGEREF _Toc35333946 \h </w:instrText>
        </w:r>
        <w:r>
          <w:rPr>
            <w:noProof/>
            <w:webHidden/>
          </w:rPr>
        </w:r>
        <w:r>
          <w:rPr>
            <w:noProof/>
            <w:webHidden/>
          </w:rPr>
          <w:fldChar w:fldCharType="separate"/>
        </w:r>
        <w:r>
          <w:rPr>
            <w:noProof/>
            <w:webHidden/>
          </w:rPr>
          <w:t>63</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47" w:history="1">
        <w:r w:rsidRPr="009A130A">
          <w:rPr>
            <w:rStyle w:val="Hyperlink"/>
            <w:noProof/>
          </w:rPr>
          <w:t>2.4</w:t>
        </w:r>
        <w:r>
          <w:rPr>
            <w:rFonts w:eastAsiaTheme="minorEastAsia"/>
            <w:noProof/>
            <w:lang w:eastAsia="en-GB"/>
          </w:rPr>
          <w:tab/>
        </w:r>
        <w:r w:rsidRPr="009A130A">
          <w:rPr>
            <w:rStyle w:val="Hyperlink"/>
            <w:i/>
            <w:noProof/>
          </w:rPr>
          <w:t>In vitro</w:t>
        </w:r>
        <w:r w:rsidRPr="009A130A">
          <w:rPr>
            <w:rStyle w:val="Hyperlink"/>
            <w:noProof/>
          </w:rPr>
          <w:t xml:space="preserve"> analysis of RNAi using modified dsRNA in insect cells</w:t>
        </w:r>
        <w:r>
          <w:rPr>
            <w:noProof/>
            <w:webHidden/>
          </w:rPr>
          <w:tab/>
        </w:r>
        <w:r>
          <w:rPr>
            <w:noProof/>
            <w:webHidden/>
          </w:rPr>
          <w:fldChar w:fldCharType="begin"/>
        </w:r>
        <w:r>
          <w:rPr>
            <w:noProof/>
            <w:webHidden/>
          </w:rPr>
          <w:instrText xml:space="preserve"> PAGEREF _Toc35333947 \h </w:instrText>
        </w:r>
        <w:r>
          <w:rPr>
            <w:noProof/>
            <w:webHidden/>
          </w:rPr>
        </w:r>
        <w:r>
          <w:rPr>
            <w:noProof/>
            <w:webHidden/>
          </w:rPr>
          <w:fldChar w:fldCharType="separate"/>
        </w:r>
        <w:r>
          <w:rPr>
            <w:noProof/>
            <w:webHidden/>
          </w:rPr>
          <w:t>63</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48" w:history="1">
        <w:r w:rsidRPr="009A130A">
          <w:rPr>
            <w:rStyle w:val="Hyperlink"/>
            <w:noProof/>
          </w:rPr>
          <w:t>2.4.1</w:t>
        </w:r>
        <w:r>
          <w:rPr>
            <w:rFonts w:eastAsiaTheme="minorEastAsia"/>
            <w:noProof/>
            <w:lang w:eastAsia="en-GB"/>
          </w:rPr>
          <w:tab/>
        </w:r>
        <w:r w:rsidRPr="009A130A">
          <w:rPr>
            <w:rStyle w:val="Hyperlink"/>
            <w:noProof/>
          </w:rPr>
          <w:t>General cell culture</w:t>
        </w:r>
        <w:r>
          <w:rPr>
            <w:noProof/>
            <w:webHidden/>
          </w:rPr>
          <w:tab/>
        </w:r>
        <w:r>
          <w:rPr>
            <w:noProof/>
            <w:webHidden/>
          </w:rPr>
          <w:fldChar w:fldCharType="begin"/>
        </w:r>
        <w:r>
          <w:rPr>
            <w:noProof/>
            <w:webHidden/>
          </w:rPr>
          <w:instrText xml:space="preserve"> PAGEREF _Toc35333948 \h </w:instrText>
        </w:r>
        <w:r>
          <w:rPr>
            <w:noProof/>
            <w:webHidden/>
          </w:rPr>
        </w:r>
        <w:r>
          <w:rPr>
            <w:noProof/>
            <w:webHidden/>
          </w:rPr>
          <w:fldChar w:fldCharType="separate"/>
        </w:r>
        <w:r>
          <w:rPr>
            <w:noProof/>
            <w:webHidden/>
          </w:rPr>
          <w:t>63</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49" w:history="1">
        <w:r w:rsidRPr="009A130A">
          <w:rPr>
            <w:rStyle w:val="Hyperlink"/>
            <w:noProof/>
          </w:rPr>
          <w:t>2.4.2</w:t>
        </w:r>
        <w:r>
          <w:rPr>
            <w:rFonts w:eastAsiaTheme="minorEastAsia"/>
            <w:noProof/>
            <w:lang w:eastAsia="en-GB"/>
          </w:rPr>
          <w:tab/>
        </w:r>
        <w:r w:rsidRPr="009A130A">
          <w:rPr>
            <w:rStyle w:val="Hyperlink"/>
            <w:noProof/>
          </w:rPr>
          <w:t>Reporter plasmid preparation</w:t>
        </w:r>
        <w:r>
          <w:rPr>
            <w:noProof/>
            <w:webHidden/>
          </w:rPr>
          <w:tab/>
        </w:r>
        <w:r>
          <w:rPr>
            <w:noProof/>
            <w:webHidden/>
          </w:rPr>
          <w:fldChar w:fldCharType="begin"/>
        </w:r>
        <w:r>
          <w:rPr>
            <w:noProof/>
            <w:webHidden/>
          </w:rPr>
          <w:instrText xml:space="preserve"> PAGEREF _Toc35333949 \h </w:instrText>
        </w:r>
        <w:r>
          <w:rPr>
            <w:noProof/>
            <w:webHidden/>
          </w:rPr>
        </w:r>
        <w:r>
          <w:rPr>
            <w:noProof/>
            <w:webHidden/>
          </w:rPr>
          <w:fldChar w:fldCharType="separate"/>
        </w:r>
        <w:r>
          <w:rPr>
            <w:noProof/>
            <w:webHidden/>
          </w:rPr>
          <w:t>63</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50" w:history="1">
        <w:r w:rsidRPr="009A130A">
          <w:rPr>
            <w:rStyle w:val="Hyperlink"/>
            <w:noProof/>
          </w:rPr>
          <w:t>2.4.3</w:t>
        </w:r>
        <w:r>
          <w:rPr>
            <w:rFonts w:eastAsiaTheme="minorEastAsia"/>
            <w:noProof/>
            <w:lang w:eastAsia="en-GB"/>
          </w:rPr>
          <w:tab/>
        </w:r>
        <w:r w:rsidRPr="009A130A">
          <w:rPr>
            <w:rStyle w:val="Hyperlink"/>
            <w:noProof/>
          </w:rPr>
          <w:t>Luciferase assays</w:t>
        </w:r>
        <w:r>
          <w:rPr>
            <w:noProof/>
            <w:webHidden/>
          </w:rPr>
          <w:tab/>
        </w:r>
        <w:r>
          <w:rPr>
            <w:noProof/>
            <w:webHidden/>
          </w:rPr>
          <w:fldChar w:fldCharType="begin"/>
        </w:r>
        <w:r>
          <w:rPr>
            <w:noProof/>
            <w:webHidden/>
          </w:rPr>
          <w:instrText xml:space="preserve"> PAGEREF _Toc35333950 \h </w:instrText>
        </w:r>
        <w:r>
          <w:rPr>
            <w:noProof/>
            <w:webHidden/>
          </w:rPr>
        </w:r>
        <w:r>
          <w:rPr>
            <w:noProof/>
            <w:webHidden/>
          </w:rPr>
          <w:fldChar w:fldCharType="separate"/>
        </w:r>
        <w:r>
          <w:rPr>
            <w:noProof/>
            <w:webHidden/>
          </w:rPr>
          <w:t>64</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51" w:history="1">
        <w:r w:rsidRPr="009A130A">
          <w:rPr>
            <w:rStyle w:val="Hyperlink"/>
            <w:noProof/>
          </w:rPr>
          <w:t>2.4.4</w:t>
        </w:r>
        <w:r>
          <w:rPr>
            <w:rFonts w:eastAsiaTheme="minorEastAsia"/>
            <w:noProof/>
            <w:lang w:eastAsia="en-GB"/>
          </w:rPr>
          <w:tab/>
        </w:r>
        <w:r w:rsidRPr="009A130A">
          <w:rPr>
            <w:rStyle w:val="Hyperlink"/>
            <w:noProof/>
          </w:rPr>
          <w:t>Statistical analysis</w:t>
        </w:r>
        <w:r>
          <w:rPr>
            <w:noProof/>
            <w:webHidden/>
          </w:rPr>
          <w:tab/>
        </w:r>
        <w:r>
          <w:rPr>
            <w:noProof/>
            <w:webHidden/>
          </w:rPr>
          <w:fldChar w:fldCharType="begin"/>
        </w:r>
        <w:r>
          <w:rPr>
            <w:noProof/>
            <w:webHidden/>
          </w:rPr>
          <w:instrText xml:space="preserve"> PAGEREF _Toc35333951 \h </w:instrText>
        </w:r>
        <w:r>
          <w:rPr>
            <w:noProof/>
            <w:webHidden/>
          </w:rPr>
        </w:r>
        <w:r>
          <w:rPr>
            <w:noProof/>
            <w:webHidden/>
          </w:rPr>
          <w:fldChar w:fldCharType="separate"/>
        </w:r>
        <w:r>
          <w:rPr>
            <w:noProof/>
            <w:webHidden/>
          </w:rPr>
          <w:t>66</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52" w:history="1">
        <w:r w:rsidRPr="009A130A">
          <w:rPr>
            <w:rStyle w:val="Hyperlink"/>
            <w:noProof/>
          </w:rPr>
          <w:t>2.5</w:t>
        </w:r>
        <w:r>
          <w:rPr>
            <w:rFonts w:eastAsiaTheme="minorEastAsia"/>
            <w:noProof/>
            <w:lang w:eastAsia="en-GB"/>
          </w:rPr>
          <w:tab/>
        </w:r>
        <w:r w:rsidRPr="009A130A">
          <w:rPr>
            <w:rStyle w:val="Hyperlink"/>
            <w:i/>
            <w:noProof/>
          </w:rPr>
          <w:t>In vivo</w:t>
        </w:r>
        <w:r w:rsidRPr="009A130A">
          <w:rPr>
            <w:rStyle w:val="Hyperlink"/>
            <w:noProof/>
          </w:rPr>
          <w:t xml:space="preserve"> analysis of RNAi using modified dsRNA in live insects</w:t>
        </w:r>
        <w:r>
          <w:rPr>
            <w:noProof/>
            <w:webHidden/>
          </w:rPr>
          <w:tab/>
        </w:r>
        <w:r>
          <w:rPr>
            <w:noProof/>
            <w:webHidden/>
          </w:rPr>
          <w:fldChar w:fldCharType="begin"/>
        </w:r>
        <w:r>
          <w:rPr>
            <w:noProof/>
            <w:webHidden/>
          </w:rPr>
          <w:instrText xml:space="preserve"> PAGEREF _Toc35333952 \h </w:instrText>
        </w:r>
        <w:r>
          <w:rPr>
            <w:noProof/>
            <w:webHidden/>
          </w:rPr>
        </w:r>
        <w:r>
          <w:rPr>
            <w:noProof/>
            <w:webHidden/>
          </w:rPr>
          <w:fldChar w:fldCharType="separate"/>
        </w:r>
        <w:r>
          <w:rPr>
            <w:noProof/>
            <w:webHidden/>
          </w:rPr>
          <w:t>66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53" w:history="1">
        <w:r w:rsidRPr="009A130A">
          <w:rPr>
            <w:rStyle w:val="Hyperlink"/>
            <w:noProof/>
          </w:rPr>
          <w:t>2.5.1</w:t>
        </w:r>
        <w:r>
          <w:rPr>
            <w:rFonts w:eastAsiaTheme="minorEastAsia"/>
            <w:noProof/>
            <w:lang w:eastAsia="en-GB"/>
          </w:rPr>
          <w:tab/>
        </w:r>
        <w:r w:rsidRPr="009A130A">
          <w:rPr>
            <w:rStyle w:val="Hyperlink"/>
            <w:noProof/>
          </w:rPr>
          <w:t>Insect rearing,</w:t>
        </w:r>
        <w:r>
          <w:rPr>
            <w:noProof/>
            <w:webHidden/>
          </w:rPr>
          <w:tab/>
        </w:r>
        <w:r>
          <w:rPr>
            <w:noProof/>
            <w:webHidden/>
          </w:rPr>
          <w:fldChar w:fldCharType="begin"/>
        </w:r>
        <w:r>
          <w:rPr>
            <w:noProof/>
            <w:webHidden/>
          </w:rPr>
          <w:instrText xml:space="preserve"> PAGEREF _Toc35333953 \h </w:instrText>
        </w:r>
        <w:r>
          <w:rPr>
            <w:noProof/>
            <w:webHidden/>
          </w:rPr>
        </w:r>
        <w:r>
          <w:rPr>
            <w:noProof/>
            <w:webHidden/>
          </w:rPr>
          <w:fldChar w:fldCharType="separate"/>
        </w:r>
        <w:r>
          <w:rPr>
            <w:noProof/>
            <w:webHidden/>
          </w:rPr>
          <w:t>66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54" w:history="1">
        <w:r w:rsidRPr="009A130A">
          <w:rPr>
            <w:rStyle w:val="Hyperlink"/>
            <w:noProof/>
          </w:rPr>
          <w:t>2.5.2</w:t>
        </w:r>
        <w:r>
          <w:rPr>
            <w:rFonts w:eastAsiaTheme="minorEastAsia"/>
            <w:noProof/>
            <w:lang w:eastAsia="en-GB"/>
          </w:rPr>
          <w:tab/>
        </w:r>
        <w:r w:rsidRPr="009A130A">
          <w:rPr>
            <w:rStyle w:val="Hyperlink"/>
            <w:noProof/>
          </w:rPr>
          <w:t>Stink bug injection assays</w:t>
        </w:r>
        <w:r>
          <w:rPr>
            <w:noProof/>
            <w:webHidden/>
          </w:rPr>
          <w:tab/>
        </w:r>
        <w:r>
          <w:rPr>
            <w:noProof/>
            <w:webHidden/>
          </w:rPr>
          <w:fldChar w:fldCharType="begin"/>
        </w:r>
        <w:r>
          <w:rPr>
            <w:noProof/>
            <w:webHidden/>
          </w:rPr>
          <w:instrText xml:space="preserve"> PAGEREF _Toc35333954 \h </w:instrText>
        </w:r>
        <w:r>
          <w:rPr>
            <w:noProof/>
            <w:webHidden/>
          </w:rPr>
        </w:r>
        <w:r>
          <w:rPr>
            <w:noProof/>
            <w:webHidden/>
          </w:rPr>
          <w:fldChar w:fldCharType="separate"/>
        </w:r>
        <w:r>
          <w:rPr>
            <w:noProof/>
            <w:webHidden/>
          </w:rPr>
          <w:t>66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55" w:history="1">
        <w:r w:rsidRPr="009A130A">
          <w:rPr>
            <w:rStyle w:val="Hyperlink"/>
            <w:noProof/>
          </w:rPr>
          <w:t>2.5.3</w:t>
        </w:r>
        <w:r>
          <w:rPr>
            <w:rFonts w:eastAsiaTheme="minorEastAsia"/>
            <w:noProof/>
            <w:lang w:eastAsia="en-GB"/>
          </w:rPr>
          <w:tab/>
        </w:r>
        <w:r w:rsidRPr="009A130A">
          <w:rPr>
            <w:rStyle w:val="Hyperlink"/>
            <w:noProof/>
          </w:rPr>
          <w:t>WCR diet plate feeding assay</w:t>
        </w:r>
        <w:r>
          <w:rPr>
            <w:noProof/>
            <w:webHidden/>
          </w:rPr>
          <w:tab/>
        </w:r>
        <w:r>
          <w:rPr>
            <w:noProof/>
            <w:webHidden/>
          </w:rPr>
          <w:fldChar w:fldCharType="begin"/>
        </w:r>
        <w:r>
          <w:rPr>
            <w:noProof/>
            <w:webHidden/>
          </w:rPr>
          <w:instrText xml:space="preserve"> PAGEREF _Toc35333955 \h </w:instrText>
        </w:r>
        <w:r>
          <w:rPr>
            <w:noProof/>
            <w:webHidden/>
          </w:rPr>
        </w:r>
        <w:r>
          <w:rPr>
            <w:noProof/>
            <w:webHidden/>
          </w:rPr>
          <w:fldChar w:fldCharType="separate"/>
        </w:r>
        <w:r>
          <w:rPr>
            <w:noProof/>
            <w:webHidden/>
          </w:rPr>
          <w:t>67</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56" w:history="1">
        <w:r w:rsidRPr="009A130A">
          <w:rPr>
            <w:rStyle w:val="Hyperlink"/>
            <w:noProof/>
          </w:rPr>
          <w:t>2.5.4</w:t>
        </w:r>
        <w:r>
          <w:rPr>
            <w:rFonts w:eastAsiaTheme="minorEastAsia"/>
            <w:noProof/>
            <w:lang w:eastAsia="en-GB"/>
          </w:rPr>
          <w:tab/>
        </w:r>
        <w:r w:rsidRPr="009A130A">
          <w:rPr>
            <w:rStyle w:val="Hyperlink"/>
            <w:noProof/>
          </w:rPr>
          <w:t>WCR soil feeding assay</w:t>
        </w:r>
        <w:r>
          <w:rPr>
            <w:noProof/>
            <w:webHidden/>
          </w:rPr>
          <w:tab/>
        </w:r>
        <w:r>
          <w:rPr>
            <w:noProof/>
            <w:webHidden/>
          </w:rPr>
          <w:fldChar w:fldCharType="begin"/>
        </w:r>
        <w:r>
          <w:rPr>
            <w:noProof/>
            <w:webHidden/>
          </w:rPr>
          <w:instrText xml:space="preserve"> PAGEREF _Toc35333956 \h </w:instrText>
        </w:r>
        <w:r>
          <w:rPr>
            <w:noProof/>
            <w:webHidden/>
          </w:rPr>
        </w:r>
        <w:r>
          <w:rPr>
            <w:noProof/>
            <w:webHidden/>
          </w:rPr>
          <w:fldChar w:fldCharType="separate"/>
        </w:r>
        <w:r>
          <w:rPr>
            <w:noProof/>
            <w:webHidden/>
          </w:rPr>
          <w:t>67</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57" w:history="1">
        <w:r w:rsidRPr="009A130A">
          <w:rPr>
            <w:rStyle w:val="Hyperlink"/>
            <w:noProof/>
          </w:rPr>
          <w:t>2.5.5</w:t>
        </w:r>
        <w:r>
          <w:rPr>
            <w:rFonts w:eastAsiaTheme="minorEastAsia"/>
            <w:noProof/>
            <w:lang w:eastAsia="en-GB"/>
          </w:rPr>
          <w:tab/>
        </w:r>
        <w:r w:rsidRPr="009A130A">
          <w:rPr>
            <w:rStyle w:val="Hyperlink"/>
            <w:noProof/>
          </w:rPr>
          <w:t>Stink bug feeding assays</w:t>
        </w:r>
        <w:r>
          <w:rPr>
            <w:noProof/>
            <w:webHidden/>
          </w:rPr>
          <w:tab/>
        </w:r>
        <w:r>
          <w:rPr>
            <w:noProof/>
            <w:webHidden/>
          </w:rPr>
          <w:fldChar w:fldCharType="begin"/>
        </w:r>
        <w:r>
          <w:rPr>
            <w:noProof/>
            <w:webHidden/>
          </w:rPr>
          <w:instrText xml:space="preserve"> PAGEREF _Toc35333957 \h </w:instrText>
        </w:r>
        <w:r>
          <w:rPr>
            <w:noProof/>
            <w:webHidden/>
          </w:rPr>
        </w:r>
        <w:r>
          <w:rPr>
            <w:noProof/>
            <w:webHidden/>
          </w:rPr>
          <w:fldChar w:fldCharType="separate"/>
        </w:r>
        <w:r>
          <w:rPr>
            <w:noProof/>
            <w:webHidden/>
          </w:rPr>
          <w:t>68</w:t>
        </w:r>
        <w:r>
          <w:rPr>
            <w:noProof/>
            <w:webHidden/>
          </w:rPr>
          <w:fldChar w:fldCharType="end"/>
        </w:r>
      </w:hyperlink>
    </w:p>
    <w:p w:rsidR="00E32294" w:rsidRDefault="00E32294">
      <w:pPr>
        <w:pStyle w:val="TOC1"/>
        <w:tabs>
          <w:tab w:val="left" w:pos="440"/>
          <w:tab w:val="right" w:leader="dot" w:pos="9016"/>
        </w:tabs>
        <w:rPr>
          <w:rFonts w:eastAsiaTheme="minorEastAsia"/>
          <w:noProof/>
          <w:lang w:eastAsia="en-GB"/>
        </w:rPr>
      </w:pPr>
      <w:hyperlink w:anchor="_Toc35333958" w:history="1">
        <w:r w:rsidRPr="009A130A">
          <w:rPr>
            <w:rStyle w:val="Hyperlink"/>
            <w:noProof/>
          </w:rPr>
          <w:t>3</w:t>
        </w:r>
        <w:r>
          <w:rPr>
            <w:rFonts w:eastAsiaTheme="minorEastAsia"/>
            <w:noProof/>
            <w:lang w:eastAsia="en-GB"/>
          </w:rPr>
          <w:tab/>
        </w:r>
        <w:r w:rsidRPr="009A130A">
          <w:rPr>
            <w:rStyle w:val="Hyperlink"/>
            <w:noProof/>
          </w:rPr>
          <w:t>Synthesis of unmodified and chemically modified long dsRNA for RNAi studies</w:t>
        </w:r>
        <w:r>
          <w:rPr>
            <w:noProof/>
            <w:webHidden/>
          </w:rPr>
          <w:tab/>
        </w:r>
        <w:r>
          <w:rPr>
            <w:noProof/>
            <w:webHidden/>
          </w:rPr>
          <w:fldChar w:fldCharType="begin"/>
        </w:r>
        <w:r>
          <w:rPr>
            <w:noProof/>
            <w:webHidden/>
          </w:rPr>
          <w:instrText xml:space="preserve"> PAGEREF _Toc35333958 \h </w:instrText>
        </w:r>
        <w:r>
          <w:rPr>
            <w:noProof/>
            <w:webHidden/>
          </w:rPr>
        </w:r>
        <w:r>
          <w:rPr>
            <w:noProof/>
            <w:webHidden/>
          </w:rPr>
          <w:fldChar w:fldCharType="separate"/>
        </w:r>
        <w:r>
          <w:rPr>
            <w:noProof/>
            <w:webHidden/>
          </w:rPr>
          <w:t>71</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59" w:history="1">
        <w:r w:rsidRPr="009A130A">
          <w:rPr>
            <w:rStyle w:val="Hyperlink"/>
            <w:noProof/>
          </w:rPr>
          <w:t>3.1</w:t>
        </w:r>
        <w:r>
          <w:rPr>
            <w:rFonts w:eastAsiaTheme="minorEastAsia"/>
            <w:noProof/>
            <w:lang w:eastAsia="en-GB"/>
          </w:rPr>
          <w:tab/>
        </w:r>
        <w:r w:rsidRPr="009A130A">
          <w:rPr>
            <w:rStyle w:val="Hyperlink"/>
            <w:noProof/>
          </w:rPr>
          <w:t>Abstract</w:t>
        </w:r>
        <w:r>
          <w:rPr>
            <w:noProof/>
            <w:webHidden/>
          </w:rPr>
          <w:tab/>
        </w:r>
        <w:r>
          <w:rPr>
            <w:noProof/>
            <w:webHidden/>
          </w:rPr>
          <w:fldChar w:fldCharType="begin"/>
        </w:r>
        <w:r>
          <w:rPr>
            <w:noProof/>
            <w:webHidden/>
          </w:rPr>
          <w:instrText xml:space="preserve"> PAGEREF _Toc35333959 \h </w:instrText>
        </w:r>
        <w:r>
          <w:rPr>
            <w:noProof/>
            <w:webHidden/>
          </w:rPr>
        </w:r>
        <w:r>
          <w:rPr>
            <w:noProof/>
            <w:webHidden/>
          </w:rPr>
          <w:fldChar w:fldCharType="separate"/>
        </w:r>
        <w:r>
          <w:rPr>
            <w:noProof/>
            <w:webHidden/>
          </w:rPr>
          <w:t>71</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60" w:history="1">
        <w:r w:rsidRPr="009A130A">
          <w:rPr>
            <w:rStyle w:val="Hyperlink"/>
            <w:noProof/>
          </w:rPr>
          <w:t>3.2</w:t>
        </w:r>
        <w:r>
          <w:rPr>
            <w:rFonts w:eastAsiaTheme="minorEastAsia"/>
            <w:noProof/>
            <w:lang w:eastAsia="en-GB"/>
          </w:rPr>
          <w:tab/>
        </w:r>
        <w:r w:rsidRPr="009A130A">
          <w:rPr>
            <w:rStyle w:val="Hyperlink"/>
            <w:noProof/>
          </w:rPr>
          <w:t>Introduction</w:t>
        </w:r>
        <w:r>
          <w:rPr>
            <w:noProof/>
            <w:webHidden/>
          </w:rPr>
          <w:tab/>
        </w:r>
        <w:r>
          <w:rPr>
            <w:noProof/>
            <w:webHidden/>
          </w:rPr>
          <w:fldChar w:fldCharType="begin"/>
        </w:r>
        <w:r>
          <w:rPr>
            <w:noProof/>
            <w:webHidden/>
          </w:rPr>
          <w:instrText xml:space="preserve"> PAGEREF _Toc35333960 \h </w:instrText>
        </w:r>
        <w:r>
          <w:rPr>
            <w:noProof/>
            <w:webHidden/>
          </w:rPr>
        </w:r>
        <w:r>
          <w:rPr>
            <w:noProof/>
            <w:webHidden/>
          </w:rPr>
          <w:fldChar w:fldCharType="separate"/>
        </w:r>
        <w:r>
          <w:rPr>
            <w:noProof/>
            <w:webHidden/>
          </w:rPr>
          <w:t>72</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61" w:history="1">
        <w:r w:rsidRPr="009A130A">
          <w:rPr>
            <w:rStyle w:val="Hyperlink"/>
            <w:noProof/>
          </w:rPr>
          <w:t>3.3</w:t>
        </w:r>
        <w:r>
          <w:rPr>
            <w:rFonts w:eastAsiaTheme="minorEastAsia"/>
            <w:noProof/>
            <w:lang w:eastAsia="en-GB"/>
          </w:rPr>
          <w:tab/>
        </w:r>
        <w:r w:rsidRPr="009A130A">
          <w:rPr>
            <w:rStyle w:val="Hyperlink"/>
            <w:noProof/>
          </w:rPr>
          <w:t>Results and Discussion</w:t>
        </w:r>
        <w:r>
          <w:rPr>
            <w:noProof/>
            <w:webHidden/>
          </w:rPr>
          <w:tab/>
        </w:r>
        <w:r>
          <w:rPr>
            <w:noProof/>
            <w:webHidden/>
          </w:rPr>
          <w:fldChar w:fldCharType="begin"/>
        </w:r>
        <w:r>
          <w:rPr>
            <w:noProof/>
            <w:webHidden/>
          </w:rPr>
          <w:instrText xml:space="preserve"> PAGEREF _Toc35333961 \h </w:instrText>
        </w:r>
        <w:r>
          <w:rPr>
            <w:noProof/>
            <w:webHidden/>
          </w:rPr>
        </w:r>
        <w:r>
          <w:rPr>
            <w:noProof/>
            <w:webHidden/>
          </w:rPr>
          <w:fldChar w:fldCharType="separate"/>
        </w:r>
        <w:r>
          <w:rPr>
            <w:noProof/>
            <w:webHidden/>
          </w:rPr>
          <w:t>74</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62" w:history="1">
        <w:r w:rsidRPr="009A130A">
          <w:rPr>
            <w:rStyle w:val="Hyperlink"/>
            <w:noProof/>
          </w:rPr>
          <w:t>3.3.1</w:t>
        </w:r>
        <w:r>
          <w:rPr>
            <w:rFonts w:eastAsiaTheme="minorEastAsia"/>
            <w:noProof/>
            <w:lang w:eastAsia="en-GB"/>
          </w:rPr>
          <w:tab/>
        </w:r>
        <w:r w:rsidRPr="009A130A">
          <w:rPr>
            <w:rStyle w:val="Hyperlink"/>
            <w:noProof/>
          </w:rPr>
          <w:t>Selection of dsRNA sequences</w:t>
        </w:r>
        <w:r>
          <w:rPr>
            <w:noProof/>
            <w:webHidden/>
          </w:rPr>
          <w:tab/>
        </w:r>
        <w:r>
          <w:rPr>
            <w:noProof/>
            <w:webHidden/>
          </w:rPr>
          <w:fldChar w:fldCharType="begin"/>
        </w:r>
        <w:r>
          <w:rPr>
            <w:noProof/>
            <w:webHidden/>
          </w:rPr>
          <w:instrText xml:space="preserve"> PAGEREF _Toc35333962 \h </w:instrText>
        </w:r>
        <w:r>
          <w:rPr>
            <w:noProof/>
            <w:webHidden/>
          </w:rPr>
        </w:r>
        <w:r>
          <w:rPr>
            <w:noProof/>
            <w:webHidden/>
          </w:rPr>
          <w:fldChar w:fldCharType="separate"/>
        </w:r>
        <w:r>
          <w:rPr>
            <w:noProof/>
            <w:webHidden/>
          </w:rPr>
          <w:t>74</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63" w:history="1">
        <w:r w:rsidRPr="009A130A">
          <w:rPr>
            <w:rStyle w:val="Hyperlink"/>
            <w:noProof/>
          </w:rPr>
          <w:t>3.3.2</w:t>
        </w:r>
        <w:r>
          <w:rPr>
            <w:rFonts w:eastAsiaTheme="minorEastAsia"/>
            <w:noProof/>
            <w:lang w:eastAsia="en-GB"/>
          </w:rPr>
          <w:tab/>
        </w:r>
        <w:r w:rsidRPr="009A130A">
          <w:rPr>
            <w:rStyle w:val="Hyperlink"/>
            <w:noProof/>
          </w:rPr>
          <w:t xml:space="preserve">Production of DNA templates by polymerase chain reaction (PCR) for synthesis of ssRNA and dsRNA by </w:t>
        </w:r>
        <w:r w:rsidRPr="009A130A">
          <w:rPr>
            <w:rStyle w:val="Hyperlink"/>
            <w:i/>
            <w:noProof/>
          </w:rPr>
          <w:t>in vitro</w:t>
        </w:r>
        <w:r w:rsidRPr="009A130A">
          <w:rPr>
            <w:rStyle w:val="Hyperlink"/>
            <w:noProof/>
          </w:rPr>
          <w:t xml:space="preserve"> transcription (IVT)</w:t>
        </w:r>
        <w:r>
          <w:rPr>
            <w:noProof/>
            <w:webHidden/>
          </w:rPr>
          <w:tab/>
        </w:r>
        <w:r>
          <w:rPr>
            <w:noProof/>
            <w:webHidden/>
          </w:rPr>
          <w:fldChar w:fldCharType="begin"/>
        </w:r>
        <w:r>
          <w:rPr>
            <w:noProof/>
            <w:webHidden/>
          </w:rPr>
          <w:instrText xml:space="preserve"> PAGEREF _Toc35333963 \h </w:instrText>
        </w:r>
        <w:r>
          <w:rPr>
            <w:noProof/>
            <w:webHidden/>
          </w:rPr>
        </w:r>
        <w:r>
          <w:rPr>
            <w:noProof/>
            <w:webHidden/>
          </w:rPr>
          <w:fldChar w:fldCharType="separate"/>
        </w:r>
        <w:r>
          <w:rPr>
            <w:noProof/>
            <w:webHidden/>
          </w:rPr>
          <w:t>76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64" w:history="1">
        <w:r w:rsidRPr="009A130A">
          <w:rPr>
            <w:rStyle w:val="Hyperlink"/>
            <w:noProof/>
          </w:rPr>
          <w:t>3.3.3</w:t>
        </w:r>
        <w:r>
          <w:rPr>
            <w:rFonts w:eastAsiaTheme="minorEastAsia"/>
            <w:noProof/>
            <w:lang w:eastAsia="en-GB"/>
          </w:rPr>
          <w:tab/>
        </w:r>
        <w:r w:rsidRPr="009A130A">
          <w:rPr>
            <w:rStyle w:val="Hyperlink"/>
            <w:noProof/>
          </w:rPr>
          <w:t>Synthesis of phosphorothioate (PS) containing ssRNA and dsRNA by IVT</w:t>
        </w:r>
        <w:r>
          <w:rPr>
            <w:noProof/>
            <w:webHidden/>
          </w:rPr>
          <w:tab/>
        </w:r>
        <w:r>
          <w:rPr>
            <w:noProof/>
            <w:webHidden/>
          </w:rPr>
          <w:fldChar w:fldCharType="begin"/>
        </w:r>
        <w:r>
          <w:rPr>
            <w:noProof/>
            <w:webHidden/>
          </w:rPr>
          <w:instrText xml:space="preserve"> PAGEREF _Toc35333964 \h </w:instrText>
        </w:r>
        <w:r>
          <w:rPr>
            <w:noProof/>
            <w:webHidden/>
          </w:rPr>
        </w:r>
        <w:r>
          <w:rPr>
            <w:noProof/>
            <w:webHidden/>
          </w:rPr>
          <w:fldChar w:fldCharType="separate"/>
        </w:r>
        <w:r>
          <w:rPr>
            <w:noProof/>
            <w:webHidden/>
          </w:rPr>
          <w:t>80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65" w:history="1">
        <w:r w:rsidRPr="009A130A">
          <w:rPr>
            <w:rStyle w:val="Hyperlink"/>
            <w:noProof/>
          </w:rPr>
          <w:t>3.3.4</w:t>
        </w:r>
        <w:r>
          <w:rPr>
            <w:rFonts w:eastAsiaTheme="minorEastAsia"/>
            <w:noProof/>
            <w:lang w:eastAsia="en-GB"/>
          </w:rPr>
          <w:tab/>
        </w:r>
        <w:r w:rsidRPr="009A130A">
          <w:rPr>
            <w:rStyle w:val="Hyperlink"/>
            <w:noProof/>
          </w:rPr>
          <w:t>Optimisation of synthesis of phosphorothioate RNA by IVT</w:t>
        </w:r>
        <w:r>
          <w:rPr>
            <w:noProof/>
            <w:webHidden/>
          </w:rPr>
          <w:tab/>
        </w:r>
        <w:r>
          <w:rPr>
            <w:noProof/>
            <w:webHidden/>
          </w:rPr>
          <w:fldChar w:fldCharType="begin"/>
        </w:r>
        <w:r>
          <w:rPr>
            <w:noProof/>
            <w:webHidden/>
          </w:rPr>
          <w:instrText xml:space="preserve"> PAGEREF _Toc35333965 \h </w:instrText>
        </w:r>
        <w:r>
          <w:rPr>
            <w:noProof/>
            <w:webHidden/>
          </w:rPr>
        </w:r>
        <w:r>
          <w:rPr>
            <w:noProof/>
            <w:webHidden/>
          </w:rPr>
          <w:fldChar w:fldCharType="separate"/>
        </w:r>
        <w:r>
          <w:rPr>
            <w:noProof/>
            <w:webHidden/>
          </w:rPr>
          <w:t>85</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66" w:history="1">
        <w:r w:rsidRPr="009A130A">
          <w:rPr>
            <w:rStyle w:val="Hyperlink"/>
            <w:noProof/>
          </w:rPr>
          <w:t>3.3.4.1</w:t>
        </w:r>
        <w:r>
          <w:rPr>
            <w:rFonts w:eastAsiaTheme="minorEastAsia"/>
            <w:noProof/>
            <w:lang w:eastAsia="en-GB"/>
          </w:rPr>
          <w:tab/>
        </w:r>
        <w:r w:rsidRPr="009A130A">
          <w:rPr>
            <w:rStyle w:val="Hyperlink"/>
            <w:noProof/>
          </w:rPr>
          <w:t>Comparison of T7 and SP6 RNA polymerase for the synthesis of phosphorothioate ssRNA and dsRNA</w:t>
        </w:r>
        <w:r>
          <w:rPr>
            <w:noProof/>
            <w:webHidden/>
          </w:rPr>
          <w:tab/>
        </w:r>
        <w:r>
          <w:rPr>
            <w:noProof/>
            <w:webHidden/>
          </w:rPr>
          <w:fldChar w:fldCharType="begin"/>
        </w:r>
        <w:r>
          <w:rPr>
            <w:noProof/>
            <w:webHidden/>
          </w:rPr>
          <w:instrText xml:space="preserve"> PAGEREF _Toc35333966 \h </w:instrText>
        </w:r>
        <w:r>
          <w:rPr>
            <w:noProof/>
            <w:webHidden/>
          </w:rPr>
        </w:r>
        <w:r>
          <w:rPr>
            <w:noProof/>
            <w:webHidden/>
          </w:rPr>
          <w:fldChar w:fldCharType="separate"/>
        </w:r>
        <w:r>
          <w:rPr>
            <w:noProof/>
            <w:webHidden/>
          </w:rPr>
          <w:t>85</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67" w:history="1">
        <w:r w:rsidRPr="009A130A">
          <w:rPr>
            <w:rStyle w:val="Hyperlink"/>
            <w:noProof/>
          </w:rPr>
          <w:t>3.3.4.2</w:t>
        </w:r>
        <w:r>
          <w:rPr>
            <w:rFonts w:eastAsiaTheme="minorEastAsia"/>
            <w:noProof/>
            <w:lang w:eastAsia="en-GB"/>
          </w:rPr>
          <w:tab/>
        </w:r>
        <w:r w:rsidRPr="009A130A">
          <w:rPr>
            <w:rStyle w:val="Hyperlink"/>
            <w:noProof/>
          </w:rPr>
          <w:t>Optimisation of IVT reactions for synthesis of phosphorothioate ssRNA and dsRNA</w:t>
        </w:r>
        <w:r>
          <w:rPr>
            <w:noProof/>
            <w:webHidden/>
          </w:rPr>
          <w:tab/>
        </w:r>
        <w:r>
          <w:rPr>
            <w:noProof/>
            <w:webHidden/>
          </w:rPr>
          <w:fldChar w:fldCharType="begin"/>
        </w:r>
        <w:r>
          <w:rPr>
            <w:noProof/>
            <w:webHidden/>
          </w:rPr>
          <w:instrText xml:space="preserve"> PAGEREF _Toc35333967 \h </w:instrText>
        </w:r>
        <w:r>
          <w:rPr>
            <w:noProof/>
            <w:webHidden/>
          </w:rPr>
        </w:r>
        <w:r>
          <w:rPr>
            <w:noProof/>
            <w:webHidden/>
          </w:rPr>
          <w:fldChar w:fldCharType="separate"/>
        </w:r>
        <w:r>
          <w:rPr>
            <w:noProof/>
            <w:webHidden/>
          </w:rPr>
          <w:t>88</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68" w:history="1">
        <w:r w:rsidRPr="009A130A">
          <w:rPr>
            <w:rStyle w:val="Hyperlink"/>
            <w:noProof/>
          </w:rPr>
          <w:t>3.3.4.3</w:t>
        </w:r>
        <w:r>
          <w:rPr>
            <w:rFonts w:eastAsiaTheme="minorEastAsia"/>
            <w:noProof/>
            <w:lang w:eastAsia="en-GB"/>
          </w:rPr>
          <w:tab/>
        </w:r>
        <w:r w:rsidRPr="009A130A">
          <w:rPr>
            <w:rStyle w:val="Hyperlink"/>
            <w:noProof/>
          </w:rPr>
          <w:t>Synthesis and analysis of dsRNA with phosphorothioate modifications in one or both strands by annealing ssRNAs synthesised in separate IVT reactions</w:t>
        </w:r>
        <w:r>
          <w:rPr>
            <w:noProof/>
            <w:webHidden/>
          </w:rPr>
          <w:tab/>
        </w:r>
        <w:r>
          <w:rPr>
            <w:noProof/>
            <w:webHidden/>
          </w:rPr>
          <w:fldChar w:fldCharType="begin"/>
        </w:r>
        <w:r>
          <w:rPr>
            <w:noProof/>
            <w:webHidden/>
          </w:rPr>
          <w:instrText xml:space="preserve"> PAGEREF _Toc35333968 \h </w:instrText>
        </w:r>
        <w:r>
          <w:rPr>
            <w:noProof/>
            <w:webHidden/>
          </w:rPr>
        </w:r>
        <w:r>
          <w:rPr>
            <w:noProof/>
            <w:webHidden/>
          </w:rPr>
          <w:fldChar w:fldCharType="separate"/>
        </w:r>
        <w:r>
          <w:rPr>
            <w:noProof/>
            <w:webHidden/>
          </w:rPr>
          <w:t>89</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69" w:history="1">
        <w:r w:rsidRPr="009A130A">
          <w:rPr>
            <w:rStyle w:val="Hyperlink"/>
            <w:noProof/>
          </w:rPr>
          <w:t>3.3.5</w:t>
        </w:r>
        <w:r>
          <w:rPr>
            <w:rFonts w:eastAsiaTheme="minorEastAsia"/>
            <w:noProof/>
            <w:lang w:eastAsia="en-GB"/>
          </w:rPr>
          <w:tab/>
        </w:r>
        <w:r w:rsidRPr="009A130A">
          <w:rPr>
            <w:rStyle w:val="Hyperlink"/>
            <w:noProof/>
          </w:rPr>
          <w:t>Optimisation of the synthesis of long dsRNA containing 2’-fluoro (2’F) modifications by IVT</w:t>
        </w:r>
        <w:r>
          <w:rPr>
            <w:noProof/>
            <w:webHidden/>
          </w:rPr>
          <w:tab/>
        </w:r>
        <w:r>
          <w:rPr>
            <w:noProof/>
            <w:webHidden/>
          </w:rPr>
          <w:fldChar w:fldCharType="begin"/>
        </w:r>
        <w:r>
          <w:rPr>
            <w:noProof/>
            <w:webHidden/>
          </w:rPr>
          <w:instrText xml:space="preserve"> PAGEREF _Toc35333969 \h </w:instrText>
        </w:r>
        <w:r>
          <w:rPr>
            <w:noProof/>
            <w:webHidden/>
          </w:rPr>
        </w:r>
        <w:r>
          <w:rPr>
            <w:noProof/>
            <w:webHidden/>
          </w:rPr>
          <w:fldChar w:fldCharType="separate"/>
        </w:r>
        <w:r>
          <w:rPr>
            <w:noProof/>
            <w:webHidden/>
          </w:rPr>
          <w:t>91</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70" w:history="1">
        <w:r w:rsidRPr="009A130A">
          <w:rPr>
            <w:rStyle w:val="Hyperlink"/>
            <w:noProof/>
          </w:rPr>
          <w:t>3.3.6</w:t>
        </w:r>
        <w:r>
          <w:rPr>
            <w:rFonts w:eastAsiaTheme="minorEastAsia"/>
            <w:noProof/>
            <w:lang w:eastAsia="en-GB"/>
          </w:rPr>
          <w:tab/>
        </w:r>
        <w:r w:rsidRPr="009A130A">
          <w:rPr>
            <w:rStyle w:val="Hyperlink"/>
            <w:noProof/>
          </w:rPr>
          <w:t>Synthesis of 5-hydroxymethyl (HMr/HMd) and Glucosyl-5-hydroxymethyl (Gluc-HMd) DNA and RNA</w:t>
        </w:r>
        <w:r>
          <w:rPr>
            <w:noProof/>
            <w:webHidden/>
          </w:rPr>
          <w:tab/>
        </w:r>
        <w:r>
          <w:rPr>
            <w:noProof/>
            <w:webHidden/>
          </w:rPr>
          <w:fldChar w:fldCharType="begin"/>
        </w:r>
        <w:r>
          <w:rPr>
            <w:noProof/>
            <w:webHidden/>
          </w:rPr>
          <w:instrText xml:space="preserve"> PAGEREF _Toc35333970 \h </w:instrText>
        </w:r>
        <w:r>
          <w:rPr>
            <w:noProof/>
            <w:webHidden/>
          </w:rPr>
        </w:r>
        <w:r>
          <w:rPr>
            <w:noProof/>
            <w:webHidden/>
          </w:rPr>
          <w:fldChar w:fldCharType="separate"/>
        </w:r>
        <w:r>
          <w:rPr>
            <w:noProof/>
            <w:webHidden/>
          </w:rPr>
          <w:t>94</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71" w:history="1">
        <w:r w:rsidRPr="009A130A">
          <w:rPr>
            <w:rStyle w:val="Hyperlink"/>
            <w:noProof/>
          </w:rPr>
          <w:t>3.3.7</w:t>
        </w:r>
        <w:r>
          <w:rPr>
            <w:rFonts w:eastAsiaTheme="minorEastAsia"/>
            <w:noProof/>
            <w:lang w:eastAsia="en-GB"/>
          </w:rPr>
          <w:tab/>
        </w:r>
        <w:r w:rsidRPr="009A130A">
          <w:rPr>
            <w:rStyle w:val="Hyperlink"/>
            <w:noProof/>
          </w:rPr>
          <w:t>Quantification of unmodified and chemically modified dsRNA by UV spectrophotometry</w:t>
        </w:r>
        <w:r>
          <w:rPr>
            <w:noProof/>
            <w:webHidden/>
          </w:rPr>
          <w:tab/>
        </w:r>
        <w:r>
          <w:rPr>
            <w:noProof/>
            <w:webHidden/>
          </w:rPr>
          <w:fldChar w:fldCharType="begin"/>
        </w:r>
        <w:r>
          <w:rPr>
            <w:noProof/>
            <w:webHidden/>
          </w:rPr>
          <w:instrText xml:space="preserve"> PAGEREF _Toc35333971 \h </w:instrText>
        </w:r>
        <w:r>
          <w:rPr>
            <w:noProof/>
            <w:webHidden/>
          </w:rPr>
        </w:r>
        <w:r>
          <w:rPr>
            <w:noProof/>
            <w:webHidden/>
          </w:rPr>
          <w:fldChar w:fldCharType="separate"/>
        </w:r>
        <w:r>
          <w:rPr>
            <w:noProof/>
            <w:webHidden/>
          </w:rPr>
          <w:t>99</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72" w:history="1">
        <w:r w:rsidRPr="009A130A">
          <w:rPr>
            <w:rStyle w:val="Hyperlink"/>
            <w:noProof/>
          </w:rPr>
          <w:t>3.4</w:t>
        </w:r>
        <w:r>
          <w:rPr>
            <w:rFonts w:eastAsiaTheme="minorEastAsia"/>
            <w:noProof/>
            <w:lang w:eastAsia="en-GB"/>
          </w:rPr>
          <w:tab/>
        </w:r>
        <w:r w:rsidRPr="009A130A">
          <w:rPr>
            <w:rStyle w:val="Hyperlink"/>
            <w:noProof/>
          </w:rPr>
          <w:t>Conclusions</w:t>
        </w:r>
        <w:r>
          <w:rPr>
            <w:noProof/>
            <w:webHidden/>
          </w:rPr>
          <w:tab/>
        </w:r>
        <w:r>
          <w:rPr>
            <w:noProof/>
            <w:webHidden/>
          </w:rPr>
          <w:fldChar w:fldCharType="begin"/>
        </w:r>
        <w:r>
          <w:rPr>
            <w:noProof/>
            <w:webHidden/>
          </w:rPr>
          <w:instrText xml:space="preserve"> PAGEREF _Toc35333972 \h </w:instrText>
        </w:r>
        <w:r>
          <w:rPr>
            <w:noProof/>
            <w:webHidden/>
          </w:rPr>
        </w:r>
        <w:r>
          <w:rPr>
            <w:noProof/>
            <w:webHidden/>
          </w:rPr>
          <w:fldChar w:fldCharType="separate"/>
        </w:r>
        <w:r>
          <w:rPr>
            <w:noProof/>
            <w:webHidden/>
          </w:rPr>
          <w:t>102</w:t>
        </w:r>
        <w:r>
          <w:rPr>
            <w:noProof/>
            <w:webHidden/>
          </w:rPr>
          <w:fldChar w:fldCharType="end"/>
        </w:r>
      </w:hyperlink>
    </w:p>
    <w:p w:rsidR="00E32294" w:rsidRDefault="00E32294">
      <w:pPr>
        <w:pStyle w:val="TOC1"/>
        <w:tabs>
          <w:tab w:val="left" w:pos="440"/>
          <w:tab w:val="right" w:leader="dot" w:pos="9016"/>
        </w:tabs>
        <w:rPr>
          <w:rFonts w:eastAsiaTheme="minorEastAsia"/>
          <w:noProof/>
          <w:lang w:eastAsia="en-GB"/>
        </w:rPr>
      </w:pPr>
      <w:hyperlink w:anchor="_Toc35333973" w:history="1">
        <w:r w:rsidRPr="009A130A">
          <w:rPr>
            <w:rStyle w:val="Hyperlink"/>
            <w:noProof/>
          </w:rPr>
          <w:t>4</w:t>
        </w:r>
        <w:r>
          <w:rPr>
            <w:rFonts w:eastAsiaTheme="minorEastAsia"/>
            <w:noProof/>
            <w:lang w:eastAsia="en-GB"/>
          </w:rPr>
          <w:tab/>
        </w:r>
        <w:r w:rsidRPr="009A130A">
          <w:rPr>
            <w:rStyle w:val="Hyperlink"/>
            <w:noProof/>
          </w:rPr>
          <w:t>Studying the effects of dsRNA chemical modifications on the activity of insect nucleases</w:t>
        </w:r>
        <w:r>
          <w:rPr>
            <w:noProof/>
            <w:webHidden/>
          </w:rPr>
          <w:tab/>
        </w:r>
        <w:r>
          <w:rPr>
            <w:noProof/>
            <w:webHidden/>
          </w:rPr>
          <w:fldChar w:fldCharType="begin"/>
        </w:r>
        <w:r>
          <w:rPr>
            <w:noProof/>
            <w:webHidden/>
          </w:rPr>
          <w:instrText xml:space="preserve"> PAGEREF _Toc35333973 \h </w:instrText>
        </w:r>
        <w:r>
          <w:rPr>
            <w:noProof/>
            <w:webHidden/>
          </w:rPr>
        </w:r>
        <w:r>
          <w:rPr>
            <w:noProof/>
            <w:webHidden/>
          </w:rPr>
          <w:fldChar w:fldCharType="separate"/>
        </w:r>
        <w:r>
          <w:rPr>
            <w:noProof/>
            <w:webHidden/>
          </w:rPr>
          <w:t>105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74" w:history="1">
        <w:r w:rsidRPr="009A130A">
          <w:rPr>
            <w:rStyle w:val="Hyperlink"/>
            <w:noProof/>
          </w:rPr>
          <w:t>4.1</w:t>
        </w:r>
        <w:r>
          <w:rPr>
            <w:rFonts w:eastAsiaTheme="minorEastAsia"/>
            <w:noProof/>
            <w:lang w:eastAsia="en-GB"/>
          </w:rPr>
          <w:tab/>
        </w:r>
        <w:r w:rsidRPr="009A130A">
          <w:rPr>
            <w:rStyle w:val="Hyperlink"/>
            <w:noProof/>
          </w:rPr>
          <w:t>Abstract</w:t>
        </w:r>
        <w:r>
          <w:rPr>
            <w:noProof/>
            <w:webHidden/>
          </w:rPr>
          <w:tab/>
        </w:r>
        <w:r>
          <w:rPr>
            <w:noProof/>
            <w:webHidden/>
          </w:rPr>
          <w:fldChar w:fldCharType="begin"/>
        </w:r>
        <w:r>
          <w:rPr>
            <w:noProof/>
            <w:webHidden/>
          </w:rPr>
          <w:instrText xml:space="preserve"> PAGEREF _Toc35333974 \h </w:instrText>
        </w:r>
        <w:r>
          <w:rPr>
            <w:noProof/>
            <w:webHidden/>
          </w:rPr>
        </w:r>
        <w:r>
          <w:rPr>
            <w:noProof/>
            <w:webHidden/>
          </w:rPr>
          <w:fldChar w:fldCharType="separate"/>
        </w:r>
        <w:r>
          <w:rPr>
            <w:noProof/>
            <w:webHidden/>
          </w:rPr>
          <w:t>105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75" w:history="1">
        <w:r w:rsidRPr="009A130A">
          <w:rPr>
            <w:rStyle w:val="Hyperlink"/>
            <w:noProof/>
          </w:rPr>
          <w:t>4.2</w:t>
        </w:r>
        <w:r>
          <w:rPr>
            <w:rFonts w:eastAsiaTheme="minorEastAsia"/>
            <w:noProof/>
            <w:lang w:eastAsia="en-GB"/>
          </w:rPr>
          <w:tab/>
        </w:r>
        <w:r w:rsidRPr="009A130A">
          <w:rPr>
            <w:rStyle w:val="Hyperlink"/>
            <w:noProof/>
          </w:rPr>
          <w:t>Introduction</w:t>
        </w:r>
        <w:r>
          <w:rPr>
            <w:noProof/>
            <w:webHidden/>
          </w:rPr>
          <w:tab/>
        </w:r>
        <w:r>
          <w:rPr>
            <w:noProof/>
            <w:webHidden/>
          </w:rPr>
          <w:fldChar w:fldCharType="begin"/>
        </w:r>
        <w:r>
          <w:rPr>
            <w:noProof/>
            <w:webHidden/>
          </w:rPr>
          <w:instrText xml:space="preserve"> PAGEREF _Toc35333975 \h </w:instrText>
        </w:r>
        <w:r>
          <w:rPr>
            <w:noProof/>
            <w:webHidden/>
          </w:rPr>
        </w:r>
        <w:r>
          <w:rPr>
            <w:noProof/>
            <w:webHidden/>
          </w:rPr>
          <w:fldChar w:fldCharType="separate"/>
        </w:r>
        <w:r>
          <w:rPr>
            <w:noProof/>
            <w:webHidden/>
          </w:rPr>
          <w:t>106</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76" w:history="1">
        <w:r w:rsidRPr="009A130A">
          <w:rPr>
            <w:rStyle w:val="Hyperlink"/>
            <w:noProof/>
          </w:rPr>
          <w:t>4.3</w:t>
        </w:r>
        <w:r>
          <w:rPr>
            <w:rFonts w:eastAsiaTheme="minorEastAsia"/>
            <w:noProof/>
            <w:lang w:eastAsia="en-GB"/>
          </w:rPr>
          <w:tab/>
        </w:r>
        <w:r w:rsidRPr="009A130A">
          <w:rPr>
            <w:rStyle w:val="Hyperlink"/>
            <w:noProof/>
          </w:rPr>
          <w:t>Results and discussion</w:t>
        </w:r>
        <w:r>
          <w:rPr>
            <w:noProof/>
            <w:webHidden/>
          </w:rPr>
          <w:tab/>
        </w:r>
        <w:r>
          <w:rPr>
            <w:noProof/>
            <w:webHidden/>
          </w:rPr>
          <w:fldChar w:fldCharType="begin"/>
        </w:r>
        <w:r>
          <w:rPr>
            <w:noProof/>
            <w:webHidden/>
          </w:rPr>
          <w:instrText xml:space="preserve"> PAGEREF _Toc35333976 \h </w:instrText>
        </w:r>
        <w:r>
          <w:rPr>
            <w:noProof/>
            <w:webHidden/>
          </w:rPr>
        </w:r>
        <w:r>
          <w:rPr>
            <w:noProof/>
            <w:webHidden/>
          </w:rPr>
          <w:fldChar w:fldCharType="separate"/>
        </w:r>
        <w:r>
          <w:rPr>
            <w:noProof/>
            <w:webHidden/>
          </w:rPr>
          <w:t>110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77" w:history="1">
        <w:r w:rsidRPr="009A130A">
          <w:rPr>
            <w:rStyle w:val="Hyperlink"/>
            <w:noProof/>
          </w:rPr>
          <w:t>4.3.1</w:t>
        </w:r>
        <w:r>
          <w:rPr>
            <w:rFonts w:eastAsiaTheme="minorEastAsia"/>
            <w:noProof/>
            <w:lang w:eastAsia="en-GB"/>
          </w:rPr>
          <w:tab/>
        </w:r>
        <w:r w:rsidRPr="009A130A">
          <w:rPr>
            <w:rStyle w:val="Hyperlink"/>
            <w:noProof/>
          </w:rPr>
          <w:t xml:space="preserve">Studying the effects of dsRNA chemical modifications on the activity </w:t>
        </w:r>
        <w:r w:rsidRPr="009A130A">
          <w:rPr>
            <w:rStyle w:val="Hyperlink"/>
            <w:i/>
            <w:noProof/>
          </w:rPr>
          <w:t>in vitro</w:t>
        </w:r>
        <w:r w:rsidRPr="009A130A">
          <w:rPr>
            <w:rStyle w:val="Hyperlink"/>
            <w:noProof/>
          </w:rPr>
          <w:t xml:space="preserve"> of Dicer enzymes</w:t>
        </w:r>
        <w:r>
          <w:rPr>
            <w:noProof/>
            <w:webHidden/>
          </w:rPr>
          <w:tab/>
        </w:r>
        <w:r>
          <w:rPr>
            <w:noProof/>
            <w:webHidden/>
          </w:rPr>
          <w:fldChar w:fldCharType="begin"/>
        </w:r>
        <w:r>
          <w:rPr>
            <w:noProof/>
            <w:webHidden/>
          </w:rPr>
          <w:instrText xml:space="preserve"> PAGEREF _Toc35333977 \h </w:instrText>
        </w:r>
        <w:r>
          <w:rPr>
            <w:noProof/>
            <w:webHidden/>
          </w:rPr>
        </w:r>
        <w:r>
          <w:rPr>
            <w:noProof/>
            <w:webHidden/>
          </w:rPr>
          <w:fldChar w:fldCharType="separate"/>
        </w:r>
        <w:r>
          <w:rPr>
            <w:noProof/>
            <w:webHidden/>
          </w:rPr>
          <w:t>110</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78" w:history="1">
        <w:r w:rsidRPr="009A130A">
          <w:rPr>
            <w:rStyle w:val="Hyperlink"/>
            <w:noProof/>
          </w:rPr>
          <w:t>4.3.1.1</w:t>
        </w:r>
        <w:r>
          <w:rPr>
            <w:rFonts w:eastAsiaTheme="minorEastAsia"/>
            <w:noProof/>
            <w:lang w:eastAsia="en-GB"/>
          </w:rPr>
          <w:tab/>
        </w:r>
        <w:r w:rsidRPr="009A130A">
          <w:rPr>
            <w:rStyle w:val="Hyperlink"/>
            <w:noProof/>
          </w:rPr>
          <w:t>Studying the effects of dsRNA chemical modifications on the activity of bacterial RNase III</w:t>
        </w:r>
        <w:r>
          <w:rPr>
            <w:noProof/>
            <w:webHidden/>
          </w:rPr>
          <w:tab/>
        </w:r>
        <w:r>
          <w:rPr>
            <w:noProof/>
            <w:webHidden/>
          </w:rPr>
          <w:fldChar w:fldCharType="begin"/>
        </w:r>
        <w:r>
          <w:rPr>
            <w:noProof/>
            <w:webHidden/>
          </w:rPr>
          <w:instrText xml:space="preserve"> PAGEREF _Toc35333978 \h </w:instrText>
        </w:r>
        <w:r>
          <w:rPr>
            <w:noProof/>
            <w:webHidden/>
          </w:rPr>
        </w:r>
        <w:r>
          <w:rPr>
            <w:noProof/>
            <w:webHidden/>
          </w:rPr>
          <w:fldChar w:fldCharType="separate"/>
        </w:r>
        <w:r>
          <w:rPr>
            <w:noProof/>
            <w:webHidden/>
          </w:rPr>
          <w:t>110</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79" w:history="1">
        <w:r w:rsidRPr="009A130A">
          <w:rPr>
            <w:rStyle w:val="Hyperlink"/>
            <w:noProof/>
          </w:rPr>
          <w:t>4.3.1.2</w:t>
        </w:r>
        <w:r>
          <w:rPr>
            <w:rFonts w:eastAsiaTheme="minorEastAsia"/>
            <w:noProof/>
            <w:lang w:eastAsia="en-GB"/>
          </w:rPr>
          <w:tab/>
        </w:r>
        <w:r w:rsidRPr="009A130A">
          <w:rPr>
            <w:rStyle w:val="Hyperlink"/>
            <w:noProof/>
          </w:rPr>
          <w:t xml:space="preserve">Studying the effects of dsRNA chemical modifications on the activity of </w:t>
        </w:r>
        <w:r w:rsidRPr="009A130A">
          <w:rPr>
            <w:rStyle w:val="Hyperlink"/>
            <w:i/>
            <w:noProof/>
          </w:rPr>
          <w:t>Giardia intestinalis</w:t>
        </w:r>
        <w:r w:rsidRPr="009A130A">
          <w:rPr>
            <w:rStyle w:val="Hyperlink"/>
            <w:noProof/>
          </w:rPr>
          <w:t xml:space="preserve"> Dicer</w:t>
        </w:r>
        <w:r>
          <w:rPr>
            <w:noProof/>
            <w:webHidden/>
          </w:rPr>
          <w:tab/>
        </w:r>
        <w:r>
          <w:rPr>
            <w:noProof/>
            <w:webHidden/>
          </w:rPr>
          <w:fldChar w:fldCharType="begin"/>
        </w:r>
        <w:r>
          <w:rPr>
            <w:noProof/>
            <w:webHidden/>
          </w:rPr>
          <w:instrText xml:space="preserve"> PAGEREF _Toc35333979 \h </w:instrText>
        </w:r>
        <w:r>
          <w:rPr>
            <w:noProof/>
            <w:webHidden/>
          </w:rPr>
        </w:r>
        <w:r>
          <w:rPr>
            <w:noProof/>
            <w:webHidden/>
          </w:rPr>
          <w:fldChar w:fldCharType="separate"/>
        </w:r>
        <w:r>
          <w:rPr>
            <w:noProof/>
            <w:webHidden/>
          </w:rPr>
          <w:t>113</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80" w:history="1">
        <w:r w:rsidRPr="009A130A">
          <w:rPr>
            <w:rStyle w:val="Hyperlink"/>
            <w:noProof/>
          </w:rPr>
          <w:t>4.3.1.3</w:t>
        </w:r>
        <w:r>
          <w:rPr>
            <w:rFonts w:eastAsiaTheme="minorEastAsia"/>
            <w:noProof/>
            <w:lang w:eastAsia="en-GB"/>
          </w:rPr>
          <w:tab/>
        </w:r>
        <w:r w:rsidRPr="009A130A">
          <w:rPr>
            <w:rStyle w:val="Hyperlink"/>
            <w:noProof/>
          </w:rPr>
          <w:t xml:space="preserve">Discussion of results of </w:t>
        </w:r>
        <w:r w:rsidRPr="009A130A">
          <w:rPr>
            <w:rStyle w:val="Hyperlink"/>
            <w:i/>
            <w:noProof/>
          </w:rPr>
          <w:t>in vitro</w:t>
        </w:r>
        <w:r w:rsidRPr="009A130A">
          <w:rPr>
            <w:rStyle w:val="Hyperlink"/>
            <w:noProof/>
          </w:rPr>
          <w:t xml:space="preserve"> Dicer assays in the context of RNase III and </w:t>
        </w:r>
        <w:r w:rsidRPr="009A130A">
          <w:rPr>
            <w:rStyle w:val="Hyperlink"/>
            <w:i/>
            <w:noProof/>
          </w:rPr>
          <w:t>Giardia</w:t>
        </w:r>
        <w:r w:rsidRPr="009A130A">
          <w:rPr>
            <w:rStyle w:val="Hyperlink"/>
            <w:noProof/>
          </w:rPr>
          <w:t xml:space="preserve"> Dicer mechanisms</w:t>
        </w:r>
        <w:r>
          <w:rPr>
            <w:noProof/>
            <w:webHidden/>
          </w:rPr>
          <w:tab/>
        </w:r>
        <w:r>
          <w:rPr>
            <w:noProof/>
            <w:webHidden/>
          </w:rPr>
          <w:fldChar w:fldCharType="begin"/>
        </w:r>
        <w:r>
          <w:rPr>
            <w:noProof/>
            <w:webHidden/>
          </w:rPr>
          <w:instrText xml:space="preserve"> PAGEREF _Toc35333980 \h </w:instrText>
        </w:r>
        <w:r>
          <w:rPr>
            <w:noProof/>
            <w:webHidden/>
          </w:rPr>
        </w:r>
        <w:r>
          <w:rPr>
            <w:noProof/>
            <w:webHidden/>
          </w:rPr>
          <w:fldChar w:fldCharType="separate"/>
        </w:r>
        <w:r>
          <w:rPr>
            <w:noProof/>
            <w:webHidden/>
          </w:rPr>
          <w:t>115</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81" w:history="1">
        <w:r w:rsidRPr="009A130A">
          <w:rPr>
            <w:rStyle w:val="Hyperlink"/>
            <w:noProof/>
          </w:rPr>
          <w:t>4.3.2</w:t>
        </w:r>
        <w:r>
          <w:rPr>
            <w:rFonts w:eastAsiaTheme="minorEastAsia"/>
            <w:noProof/>
            <w:lang w:eastAsia="en-GB"/>
          </w:rPr>
          <w:tab/>
        </w:r>
        <w:r w:rsidRPr="009A130A">
          <w:rPr>
            <w:rStyle w:val="Hyperlink"/>
            <w:noProof/>
          </w:rPr>
          <w:t>Investigating the resistance of chemically modified dsRNA to degradation by insect nucleases</w:t>
        </w:r>
        <w:r>
          <w:rPr>
            <w:noProof/>
            <w:webHidden/>
          </w:rPr>
          <w:tab/>
        </w:r>
        <w:r>
          <w:rPr>
            <w:noProof/>
            <w:webHidden/>
          </w:rPr>
          <w:fldChar w:fldCharType="begin"/>
        </w:r>
        <w:r>
          <w:rPr>
            <w:noProof/>
            <w:webHidden/>
          </w:rPr>
          <w:instrText xml:space="preserve"> PAGEREF _Toc35333981 \h </w:instrText>
        </w:r>
        <w:r>
          <w:rPr>
            <w:noProof/>
            <w:webHidden/>
          </w:rPr>
        </w:r>
        <w:r>
          <w:rPr>
            <w:noProof/>
            <w:webHidden/>
          </w:rPr>
          <w:fldChar w:fldCharType="separate"/>
        </w:r>
        <w:r>
          <w:rPr>
            <w:noProof/>
            <w:webHidden/>
          </w:rPr>
          <w:t>122</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83" w:history="1">
        <w:r w:rsidRPr="009A130A">
          <w:rPr>
            <w:rStyle w:val="Hyperlink"/>
            <w:noProof/>
          </w:rPr>
          <w:t>4.3.2.1</w:t>
        </w:r>
        <w:r>
          <w:rPr>
            <w:rFonts w:eastAsiaTheme="minorEastAsia"/>
            <w:noProof/>
            <w:lang w:eastAsia="en-GB"/>
          </w:rPr>
          <w:tab/>
        </w:r>
        <w:r w:rsidRPr="009A130A">
          <w:rPr>
            <w:rStyle w:val="Hyperlink"/>
            <w:noProof/>
          </w:rPr>
          <w:t>Optimisation of stink bug salival nuclease dsRNA degradation assay</w:t>
        </w:r>
        <w:r>
          <w:rPr>
            <w:noProof/>
            <w:webHidden/>
          </w:rPr>
          <w:tab/>
        </w:r>
        <w:r>
          <w:rPr>
            <w:noProof/>
            <w:webHidden/>
          </w:rPr>
          <w:fldChar w:fldCharType="begin"/>
        </w:r>
        <w:r>
          <w:rPr>
            <w:noProof/>
            <w:webHidden/>
          </w:rPr>
          <w:instrText xml:space="preserve"> PAGEREF _Toc35333983 \h </w:instrText>
        </w:r>
        <w:r>
          <w:rPr>
            <w:noProof/>
            <w:webHidden/>
          </w:rPr>
        </w:r>
        <w:r>
          <w:rPr>
            <w:noProof/>
            <w:webHidden/>
          </w:rPr>
          <w:fldChar w:fldCharType="separate"/>
        </w:r>
        <w:r>
          <w:rPr>
            <w:noProof/>
            <w:webHidden/>
          </w:rPr>
          <w:t>122</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84" w:history="1">
        <w:r w:rsidRPr="009A130A">
          <w:rPr>
            <w:rStyle w:val="Hyperlink"/>
            <w:noProof/>
          </w:rPr>
          <w:t>4.3.2.2</w:t>
        </w:r>
        <w:r>
          <w:rPr>
            <w:rFonts w:eastAsiaTheme="minorEastAsia"/>
            <w:noProof/>
            <w:lang w:eastAsia="en-GB"/>
          </w:rPr>
          <w:tab/>
        </w:r>
        <w:r w:rsidRPr="009A130A">
          <w:rPr>
            <w:rStyle w:val="Hyperlink"/>
            <w:noProof/>
          </w:rPr>
          <w:t>Investigating the resistance of chemically modified dsRNA to degradation by nucleases present in stink bug saliva</w:t>
        </w:r>
        <w:r>
          <w:rPr>
            <w:noProof/>
            <w:webHidden/>
          </w:rPr>
          <w:tab/>
        </w:r>
        <w:r>
          <w:rPr>
            <w:noProof/>
            <w:webHidden/>
          </w:rPr>
          <w:fldChar w:fldCharType="begin"/>
        </w:r>
        <w:r>
          <w:rPr>
            <w:noProof/>
            <w:webHidden/>
          </w:rPr>
          <w:instrText xml:space="preserve"> PAGEREF _Toc35333984 \h </w:instrText>
        </w:r>
        <w:r>
          <w:rPr>
            <w:noProof/>
            <w:webHidden/>
          </w:rPr>
        </w:r>
        <w:r>
          <w:rPr>
            <w:noProof/>
            <w:webHidden/>
          </w:rPr>
          <w:fldChar w:fldCharType="separate"/>
        </w:r>
        <w:r>
          <w:rPr>
            <w:noProof/>
            <w:webHidden/>
          </w:rPr>
          <w:t>123</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85" w:history="1">
        <w:r w:rsidRPr="009A130A">
          <w:rPr>
            <w:rStyle w:val="Hyperlink"/>
            <w:noProof/>
          </w:rPr>
          <w:t>4.4</w:t>
        </w:r>
        <w:r>
          <w:rPr>
            <w:rFonts w:eastAsiaTheme="minorEastAsia"/>
            <w:noProof/>
            <w:lang w:eastAsia="en-GB"/>
          </w:rPr>
          <w:tab/>
        </w:r>
        <w:r w:rsidRPr="009A130A">
          <w:rPr>
            <w:rStyle w:val="Hyperlink"/>
            <w:noProof/>
          </w:rPr>
          <w:t>Conclusions</w:t>
        </w:r>
        <w:r>
          <w:rPr>
            <w:noProof/>
            <w:webHidden/>
          </w:rPr>
          <w:tab/>
        </w:r>
        <w:r>
          <w:rPr>
            <w:noProof/>
            <w:webHidden/>
          </w:rPr>
          <w:fldChar w:fldCharType="begin"/>
        </w:r>
        <w:r>
          <w:rPr>
            <w:noProof/>
            <w:webHidden/>
          </w:rPr>
          <w:instrText xml:space="preserve"> PAGEREF _Toc35333985 \h </w:instrText>
        </w:r>
        <w:r>
          <w:rPr>
            <w:noProof/>
            <w:webHidden/>
          </w:rPr>
        </w:r>
        <w:r>
          <w:rPr>
            <w:noProof/>
            <w:webHidden/>
          </w:rPr>
          <w:fldChar w:fldCharType="separate"/>
        </w:r>
        <w:r>
          <w:rPr>
            <w:noProof/>
            <w:webHidden/>
          </w:rPr>
          <w:t>131</w:t>
        </w:r>
        <w:r>
          <w:rPr>
            <w:noProof/>
            <w:webHidden/>
          </w:rPr>
          <w:fldChar w:fldCharType="end"/>
        </w:r>
      </w:hyperlink>
    </w:p>
    <w:p w:rsidR="00E32294" w:rsidRDefault="00E32294">
      <w:pPr>
        <w:pStyle w:val="TOC1"/>
        <w:tabs>
          <w:tab w:val="left" w:pos="440"/>
          <w:tab w:val="right" w:leader="dot" w:pos="9016"/>
        </w:tabs>
        <w:rPr>
          <w:rFonts w:eastAsiaTheme="minorEastAsia"/>
          <w:noProof/>
          <w:lang w:eastAsia="en-GB"/>
        </w:rPr>
      </w:pPr>
      <w:hyperlink w:anchor="_Toc35333986" w:history="1">
        <w:r w:rsidRPr="009A130A">
          <w:rPr>
            <w:rStyle w:val="Hyperlink"/>
            <w:noProof/>
          </w:rPr>
          <w:t>5</w:t>
        </w:r>
        <w:r>
          <w:rPr>
            <w:rFonts w:eastAsiaTheme="minorEastAsia"/>
            <w:noProof/>
            <w:lang w:eastAsia="en-GB"/>
          </w:rPr>
          <w:tab/>
        </w:r>
        <w:r w:rsidRPr="009A130A">
          <w:rPr>
            <w:rStyle w:val="Hyperlink"/>
            <w:i/>
            <w:noProof/>
          </w:rPr>
          <w:t>In vitro</w:t>
        </w:r>
        <w:r w:rsidRPr="009A130A">
          <w:rPr>
            <w:rStyle w:val="Hyperlink"/>
            <w:noProof/>
          </w:rPr>
          <w:t xml:space="preserve"> analysis of RNAi efficacy of chemically modified dsRNA in </w:t>
        </w:r>
        <w:r w:rsidRPr="009A130A">
          <w:rPr>
            <w:rStyle w:val="Hyperlink"/>
            <w:i/>
            <w:noProof/>
          </w:rPr>
          <w:t xml:space="preserve">Drosophila </w:t>
        </w:r>
        <w:r w:rsidRPr="009A130A">
          <w:rPr>
            <w:rStyle w:val="Hyperlink"/>
            <w:noProof/>
          </w:rPr>
          <w:t>Kc167 cells</w:t>
        </w:r>
        <w:r>
          <w:rPr>
            <w:noProof/>
            <w:webHidden/>
          </w:rPr>
          <w:tab/>
        </w:r>
        <w:r>
          <w:rPr>
            <w:noProof/>
            <w:webHidden/>
          </w:rPr>
          <w:fldChar w:fldCharType="begin"/>
        </w:r>
        <w:r>
          <w:rPr>
            <w:noProof/>
            <w:webHidden/>
          </w:rPr>
          <w:instrText xml:space="preserve"> PAGEREF _Toc35333986 \h </w:instrText>
        </w:r>
        <w:r>
          <w:rPr>
            <w:noProof/>
            <w:webHidden/>
          </w:rPr>
        </w:r>
        <w:r>
          <w:rPr>
            <w:noProof/>
            <w:webHidden/>
          </w:rPr>
          <w:fldChar w:fldCharType="separate"/>
        </w:r>
        <w:r>
          <w:rPr>
            <w:noProof/>
            <w:webHidden/>
          </w:rPr>
          <w:t>135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87" w:history="1">
        <w:r w:rsidRPr="009A130A">
          <w:rPr>
            <w:rStyle w:val="Hyperlink"/>
            <w:noProof/>
          </w:rPr>
          <w:t>5.1</w:t>
        </w:r>
        <w:r>
          <w:rPr>
            <w:rFonts w:eastAsiaTheme="minorEastAsia"/>
            <w:noProof/>
            <w:lang w:eastAsia="en-GB"/>
          </w:rPr>
          <w:tab/>
        </w:r>
        <w:r w:rsidRPr="009A130A">
          <w:rPr>
            <w:rStyle w:val="Hyperlink"/>
            <w:noProof/>
          </w:rPr>
          <w:t>Abstract</w:t>
        </w:r>
        <w:r>
          <w:rPr>
            <w:noProof/>
            <w:webHidden/>
          </w:rPr>
          <w:tab/>
        </w:r>
        <w:r>
          <w:rPr>
            <w:noProof/>
            <w:webHidden/>
          </w:rPr>
          <w:fldChar w:fldCharType="begin"/>
        </w:r>
        <w:r>
          <w:rPr>
            <w:noProof/>
            <w:webHidden/>
          </w:rPr>
          <w:instrText xml:space="preserve"> PAGEREF _Toc35333987 \h </w:instrText>
        </w:r>
        <w:r>
          <w:rPr>
            <w:noProof/>
            <w:webHidden/>
          </w:rPr>
        </w:r>
        <w:r>
          <w:rPr>
            <w:noProof/>
            <w:webHidden/>
          </w:rPr>
          <w:fldChar w:fldCharType="separate"/>
        </w:r>
        <w:r>
          <w:rPr>
            <w:noProof/>
            <w:webHidden/>
          </w:rPr>
          <w:t>135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88" w:history="1">
        <w:r w:rsidRPr="009A130A">
          <w:rPr>
            <w:rStyle w:val="Hyperlink"/>
            <w:noProof/>
          </w:rPr>
          <w:t>5.2</w:t>
        </w:r>
        <w:r>
          <w:rPr>
            <w:rFonts w:eastAsiaTheme="minorEastAsia"/>
            <w:noProof/>
            <w:lang w:eastAsia="en-GB"/>
          </w:rPr>
          <w:tab/>
        </w:r>
        <w:r w:rsidRPr="009A130A">
          <w:rPr>
            <w:rStyle w:val="Hyperlink"/>
            <w:noProof/>
          </w:rPr>
          <w:t>Introduction</w:t>
        </w:r>
        <w:r>
          <w:rPr>
            <w:noProof/>
            <w:webHidden/>
          </w:rPr>
          <w:tab/>
        </w:r>
        <w:r>
          <w:rPr>
            <w:noProof/>
            <w:webHidden/>
          </w:rPr>
          <w:fldChar w:fldCharType="begin"/>
        </w:r>
        <w:r>
          <w:rPr>
            <w:noProof/>
            <w:webHidden/>
          </w:rPr>
          <w:instrText xml:space="preserve"> PAGEREF _Toc35333988 \h </w:instrText>
        </w:r>
        <w:r>
          <w:rPr>
            <w:noProof/>
            <w:webHidden/>
          </w:rPr>
        </w:r>
        <w:r>
          <w:rPr>
            <w:noProof/>
            <w:webHidden/>
          </w:rPr>
          <w:fldChar w:fldCharType="separate"/>
        </w:r>
        <w:r>
          <w:rPr>
            <w:noProof/>
            <w:webHidden/>
          </w:rPr>
          <w:t>136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89" w:history="1">
        <w:r w:rsidRPr="009A130A">
          <w:rPr>
            <w:rStyle w:val="Hyperlink"/>
            <w:noProof/>
          </w:rPr>
          <w:t>5.2.1</w:t>
        </w:r>
        <w:r>
          <w:rPr>
            <w:rFonts w:eastAsiaTheme="minorEastAsia"/>
            <w:noProof/>
            <w:lang w:eastAsia="en-GB"/>
          </w:rPr>
          <w:tab/>
        </w:r>
        <w:r w:rsidRPr="009A130A">
          <w:rPr>
            <w:rStyle w:val="Hyperlink"/>
            <w:noProof/>
          </w:rPr>
          <w:t>Overview</w:t>
        </w:r>
        <w:r>
          <w:rPr>
            <w:noProof/>
            <w:webHidden/>
          </w:rPr>
          <w:tab/>
        </w:r>
        <w:r>
          <w:rPr>
            <w:noProof/>
            <w:webHidden/>
          </w:rPr>
          <w:fldChar w:fldCharType="begin"/>
        </w:r>
        <w:r>
          <w:rPr>
            <w:noProof/>
            <w:webHidden/>
          </w:rPr>
          <w:instrText xml:space="preserve"> PAGEREF _Toc35333989 \h </w:instrText>
        </w:r>
        <w:r>
          <w:rPr>
            <w:noProof/>
            <w:webHidden/>
          </w:rPr>
        </w:r>
        <w:r>
          <w:rPr>
            <w:noProof/>
            <w:webHidden/>
          </w:rPr>
          <w:fldChar w:fldCharType="separate"/>
        </w:r>
        <w:r>
          <w:rPr>
            <w:noProof/>
            <w:webHidden/>
          </w:rPr>
          <w:t>136</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90" w:history="1">
        <w:r w:rsidRPr="009A130A">
          <w:rPr>
            <w:rStyle w:val="Hyperlink"/>
            <w:noProof/>
          </w:rPr>
          <w:t>5.2.2</w:t>
        </w:r>
        <w:r>
          <w:rPr>
            <w:rFonts w:eastAsiaTheme="minorEastAsia"/>
            <w:noProof/>
            <w:lang w:eastAsia="en-GB"/>
          </w:rPr>
          <w:tab/>
        </w:r>
        <w:r w:rsidRPr="009A130A">
          <w:rPr>
            <w:rStyle w:val="Hyperlink"/>
            <w:noProof/>
          </w:rPr>
          <w:t>Dual luciferase reporter system</w:t>
        </w:r>
        <w:r>
          <w:rPr>
            <w:noProof/>
            <w:webHidden/>
          </w:rPr>
          <w:tab/>
        </w:r>
        <w:r>
          <w:rPr>
            <w:noProof/>
            <w:webHidden/>
          </w:rPr>
          <w:fldChar w:fldCharType="begin"/>
        </w:r>
        <w:r>
          <w:rPr>
            <w:noProof/>
            <w:webHidden/>
          </w:rPr>
          <w:instrText xml:space="preserve"> PAGEREF _Toc35333990 \h </w:instrText>
        </w:r>
        <w:r>
          <w:rPr>
            <w:noProof/>
            <w:webHidden/>
          </w:rPr>
        </w:r>
        <w:r>
          <w:rPr>
            <w:noProof/>
            <w:webHidden/>
          </w:rPr>
          <w:fldChar w:fldCharType="separate"/>
        </w:r>
        <w:r>
          <w:rPr>
            <w:noProof/>
            <w:webHidden/>
          </w:rPr>
          <w:t>137</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3991" w:history="1">
        <w:r w:rsidRPr="009A130A">
          <w:rPr>
            <w:rStyle w:val="Hyperlink"/>
            <w:noProof/>
          </w:rPr>
          <w:t>5.3</w:t>
        </w:r>
        <w:r>
          <w:rPr>
            <w:rFonts w:eastAsiaTheme="minorEastAsia"/>
            <w:noProof/>
            <w:lang w:eastAsia="en-GB"/>
          </w:rPr>
          <w:tab/>
        </w:r>
        <w:r w:rsidRPr="009A130A">
          <w:rPr>
            <w:rStyle w:val="Hyperlink"/>
            <w:noProof/>
          </w:rPr>
          <w:t>Results and discussion</w:t>
        </w:r>
        <w:r>
          <w:rPr>
            <w:noProof/>
            <w:webHidden/>
          </w:rPr>
          <w:tab/>
        </w:r>
        <w:r>
          <w:rPr>
            <w:noProof/>
            <w:webHidden/>
          </w:rPr>
          <w:fldChar w:fldCharType="begin"/>
        </w:r>
        <w:r>
          <w:rPr>
            <w:noProof/>
            <w:webHidden/>
          </w:rPr>
          <w:instrText xml:space="preserve"> PAGEREF _Toc35333991 \h </w:instrText>
        </w:r>
        <w:r>
          <w:rPr>
            <w:noProof/>
            <w:webHidden/>
          </w:rPr>
        </w:r>
        <w:r>
          <w:rPr>
            <w:noProof/>
            <w:webHidden/>
          </w:rPr>
          <w:fldChar w:fldCharType="separate"/>
        </w:r>
        <w:r>
          <w:rPr>
            <w:noProof/>
            <w:webHidden/>
          </w:rPr>
          <w:t>140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92" w:history="1">
        <w:r w:rsidRPr="009A130A">
          <w:rPr>
            <w:rStyle w:val="Hyperlink"/>
            <w:noProof/>
          </w:rPr>
          <w:t>5.3.1</w:t>
        </w:r>
        <w:r>
          <w:rPr>
            <w:rFonts w:eastAsiaTheme="minorEastAsia"/>
            <w:noProof/>
            <w:lang w:eastAsia="en-GB"/>
          </w:rPr>
          <w:tab/>
        </w:r>
        <w:r w:rsidRPr="009A130A">
          <w:rPr>
            <w:rStyle w:val="Hyperlink"/>
            <w:noProof/>
          </w:rPr>
          <w:t>Method development and troubleshooting</w:t>
        </w:r>
        <w:r>
          <w:rPr>
            <w:noProof/>
            <w:webHidden/>
          </w:rPr>
          <w:tab/>
        </w:r>
        <w:r>
          <w:rPr>
            <w:noProof/>
            <w:webHidden/>
          </w:rPr>
          <w:fldChar w:fldCharType="begin"/>
        </w:r>
        <w:r>
          <w:rPr>
            <w:noProof/>
            <w:webHidden/>
          </w:rPr>
          <w:instrText xml:space="preserve"> PAGEREF _Toc35333992 \h </w:instrText>
        </w:r>
        <w:r>
          <w:rPr>
            <w:noProof/>
            <w:webHidden/>
          </w:rPr>
        </w:r>
        <w:r>
          <w:rPr>
            <w:noProof/>
            <w:webHidden/>
          </w:rPr>
          <w:fldChar w:fldCharType="separate"/>
        </w:r>
        <w:r>
          <w:rPr>
            <w:noProof/>
            <w:webHidden/>
          </w:rPr>
          <w:t>140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93" w:history="1">
        <w:r w:rsidRPr="009A130A">
          <w:rPr>
            <w:rStyle w:val="Hyperlink"/>
            <w:noProof/>
          </w:rPr>
          <w:t>5.3.2</w:t>
        </w:r>
        <w:r>
          <w:rPr>
            <w:rFonts w:eastAsiaTheme="minorEastAsia"/>
            <w:noProof/>
            <w:lang w:eastAsia="en-GB"/>
          </w:rPr>
          <w:tab/>
        </w:r>
        <w:r w:rsidRPr="009A130A">
          <w:rPr>
            <w:rStyle w:val="Hyperlink"/>
            <w:noProof/>
          </w:rPr>
          <w:t xml:space="preserve">Quantitative comparative analysis of RNAi efficacy of phosphorothioate (PS) dsRNA in </w:t>
        </w:r>
        <w:r w:rsidRPr="009A130A">
          <w:rPr>
            <w:rStyle w:val="Hyperlink"/>
            <w:i/>
            <w:noProof/>
          </w:rPr>
          <w:t>Drosophila</w:t>
        </w:r>
        <w:r w:rsidRPr="009A130A">
          <w:rPr>
            <w:rStyle w:val="Hyperlink"/>
            <w:noProof/>
          </w:rPr>
          <w:t xml:space="preserve"> Kc167 cells</w:t>
        </w:r>
        <w:r>
          <w:rPr>
            <w:noProof/>
            <w:webHidden/>
          </w:rPr>
          <w:tab/>
        </w:r>
        <w:r>
          <w:rPr>
            <w:noProof/>
            <w:webHidden/>
          </w:rPr>
          <w:fldChar w:fldCharType="begin"/>
        </w:r>
        <w:r>
          <w:rPr>
            <w:noProof/>
            <w:webHidden/>
          </w:rPr>
          <w:instrText xml:space="preserve"> PAGEREF _Toc35333993 \h </w:instrText>
        </w:r>
        <w:r>
          <w:rPr>
            <w:noProof/>
            <w:webHidden/>
          </w:rPr>
        </w:r>
        <w:r>
          <w:rPr>
            <w:noProof/>
            <w:webHidden/>
          </w:rPr>
          <w:fldChar w:fldCharType="separate"/>
        </w:r>
        <w:r>
          <w:rPr>
            <w:noProof/>
            <w:webHidden/>
          </w:rPr>
          <w:t>144</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94" w:history="1">
        <w:r w:rsidRPr="009A130A">
          <w:rPr>
            <w:rStyle w:val="Hyperlink"/>
            <w:noProof/>
          </w:rPr>
          <w:t>5.3.2.1</w:t>
        </w:r>
        <w:r>
          <w:rPr>
            <w:rFonts w:eastAsiaTheme="minorEastAsia"/>
            <w:noProof/>
            <w:lang w:eastAsia="en-GB"/>
          </w:rPr>
          <w:tab/>
        </w:r>
        <w:r w:rsidRPr="009A130A">
          <w:rPr>
            <w:rStyle w:val="Hyperlink"/>
            <w:noProof/>
          </w:rPr>
          <w:t xml:space="preserve">Analysis of the effects on RNAi of non-targeting phosphorothioate dsRNA in </w:t>
        </w:r>
        <w:r w:rsidRPr="009A130A">
          <w:rPr>
            <w:rStyle w:val="Hyperlink"/>
            <w:i/>
            <w:noProof/>
          </w:rPr>
          <w:t>Drosophila</w:t>
        </w:r>
        <w:r w:rsidRPr="009A130A">
          <w:rPr>
            <w:rStyle w:val="Hyperlink"/>
            <w:noProof/>
          </w:rPr>
          <w:t xml:space="preserve"> Kc167 cells</w:t>
        </w:r>
        <w:r>
          <w:rPr>
            <w:noProof/>
            <w:webHidden/>
          </w:rPr>
          <w:tab/>
        </w:r>
        <w:r>
          <w:rPr>
            <w:noProof/>
            <w:webHidden/>
          </w:rPr>
          <w:fldChar w:fldCharType="begin"/>
        </w:r>
        <w:r>
          <w:rPr>
            <w:noProof/>
            <w:webHidden/>
          </w:rPr>
          <w:instrText xml:space="preserve"> PAGEREF _Toc35333994 \h </w:instrText>
        </w:r>
        <w:r>
          <w:rPr>
            <w:noProof/>
            <w:webHidden/>
          </w:rPr>
        </w:r>
        <w:r>
          <w:rPr>
            <w:noProof/>
            <w:webHidden/>
          </w:rPr>
          <w:fldChar w:fldCharType="separate"/>
        </w:r>
        <w:r>
          <w:rPr>
            <w:noProof/>
            <w:webHidden/>
          </w:rPr>
          <w:t>144</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3995" w:history="1">
        <w:r w:rsidRPr="009A130A">
          <w:rPr>
            <w:rStyle w:val="Hyperlink"/>
            <w:noProof/>
          </w:rPr>
          <w:t>5.3.2.2</w:t>
        </w:r>
        <w:r>
          <w:rPr>
            <w:rFonts w:eastAsiaTheme="minorEastAsia"/>
            <w:noProof/>
            <w:lang w:eastAsia="en-GB"/>
          </w:rPr>
          <w:tab/>
        </w:r>
        <w:r w:rsidRPr="009A130A">
          <w:rPr>
            <w:rStyle w:val="Hyperlink"/>
            <w:noProof/>
          </w:rPr>
          <w:t xml:space="preserve">Analysis of the effect on RNAi of targeting phosphorothioate dsRNA in </w:t>
        </w:r>
        <w:r w:rsidRPr="009A130A">
          <w:rPr>
            <w:rStyle w:val="Hyperlink"/>
            <w:i/>
            <w:noProof/>
          </w:rPr>
          <w:t>Drosophila</w:t>
        </w:r>
        <w:r w:rsidRPr="009A130A">
          <w:rPr>
            <w:rStyle w:val="Hyperlink"/>
            <w:noProof/>
          </w:rPr>
          <w:t xml:space="preserve"> Kc167 cells</w:t>
        </w:r>
        <w:r>
          <w:rPr>
            <w:noProof/>
            <w:webHidden/>
          </w:rPr>
          <w:tab/>
        </w:r>
        <w:r>
          <w:rPr>
            <w:noProof/>
            <w:webHidden/>
          </w:rPr>
          <w:fldChar w:fldCharType="begin"/>
        </w:r>
        <w:r>
          <w:rPr>
            <w:noProof/>
            <w:webHidden/>
          </w:rPr>
          <w:instrText xml:space="preserve"> PAGEREF _Toc35333995 \h </w:instrText>
        </w:r>
        <w:r>
          <w:rPr>
            <w:noProof/>
            <w:webHidden/>
          </w:rPr>
        </w:r>
        <w:r>
          <w:rPr>
            <w:noProof/>
            <w:webHidden/>
          </w:rPr>
          <w:fldChar w:fldCharType="separate"/>
        </w:r>
        <w:r>
          <w:rPr>
            <w:noProof/>
            <w:webHidden/>
          </w:rPr>
          <w:t>147</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96" w:history="1">
        <w:r w:rsidRPr="009A130A">
          <w:rPr>
            <w:rStyle w:val="Hyperlink"/>
            <w:noProof/>
          </w:rPr>
          <w:t>5.3.3</w:t>
        </w:r>
        <w:r>
          <w:rPr>
            <w:rFonts w:eastAsiaTheme="minorEastAsia"/>
            <w:noProof/>
            <w:lang w:eastAsia="en-GB"/>
          </w:rPr>
          <w:tab/>
        </w:r>
        <w:r w:rsidRPr="009A130A">
          <w:rPr>
            <w:rStyle w:val="Hyperlink"/>
            <w:noProof/>
          </w:rPr>
          <w:t xml:space="preserve">Quantitative comparative analysis of RNAi efficacy of 2’-fluoro (2’F) dsRNA in </w:t>
        </w:r>
        <w:r w:rsidRPr="009A130A">
          <w:rPr>
            <w:rStyle w:val="Hyperlink"/>
            <w:i/>
            <w:noProof/>
          </w:rPr>
          <w:t>Drosophila</w:t>
        </w:r>
        <w:r w:rsidRPr="009A130A">
          <w:rPr>
            <w:rStyle w:val="Hyperlink"/>
            <w:noProof/>
          </w:rPr>
          <w:t xml:space="preserve"> Kc167 cells</w:t>
        </w:r>
        <w:r>
          <w:rPr>
            <w:noProof/>
            <w:webHidden/>
          </w:rPr>
          <w:tab/>
        </w:r>
        <w:r>
          <w:rPr>
            <w:noProof/>
            <w:webHidden/>
          </w:rPr>
          <w:fldChar w:fldCharType="begin"/>
        </w:r>
        <w:r>
          <w:rPr>
            <w:noProof/>
            <w:webHidden/>
          </w:rPr>
          <w:instrText xml:space="preserve"> PAGEREF _Toc35333996 \h </w:instrText>
        </w:r>
        <w:r>
          <w:rPr>
            <w:noProof/>
            <w:webHidden/>
          </w:rPr>
        </w:r>
        <w:r>
          <w:rPr>
            <w:noProof/>
            <w:webHidden/>
          </w:rPr>
          <w:fldChar w:fldCharType="separate"/>
        </w:r>
        <w:r>
          <w:rPr>
            <w:noProof/>
            <w:webHidden/>
          </w:rPr>
          <w:t>150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97" w:history="1">
        <w:r w:rsidRPr="009A130A">
          <w:rPr>
            <w:rStyle w:val="Hyperlink"/>
            <w:noProof/>
          </w:rPr>
          <w:t>5.3.4</w:t>
        </w:r>
        <w:r>
          <w:rPr>
            <w:rFonts w:eastAsiaTheme="minorEastAsia"/>
            <w:noProof/>
            <w:lang w:eastAsia="en-GB"/>
          </w:rPr>
          <w:tab/>
        </w:r>
        <w:r w:rsidRPr="009A130A">
          <w:rPr>
            <w:rStyle w:val="Hyperlink"/>
            <w:noProof/>
          </w:rPr>
          <w:t xml:space="preserve">Quantitative comparative analysis of RNAi efficacy of 5-Hydroxymethyl (HMr) dsRNA in </w:t>
        </w:r>
        <w:r w:rsidRPr="009A130A">
          <w:rPr>
            <w:rStyle w:val="Hyperlink"/>
            <w:i/>
            <w:noProof/>
          </w:rPr>
          <w:t>Drosophila</w:t>
        </w:r>
        <w:r w:rsidRPr="009A130A">
          <w:rPr>
            <w:rStyle w:val="Hyperlink"/>
            <w:noProof/>
          </w:rPr>
          <w:t xml:space="preserve"> Kc167 cells</w:t>
        </w:r>
        <w:r>
          <w:rPr>
            <w:noProof/>
            <w:webHidden/>
          </w:rPr>
          <w:tab/>
        </w:r>
        <w:r>
          <w:rPr>
            <w:noProof/>
            <w:webHidden/>
          </w:rPr>
          <w:fldChar w:fldCharType="begin"/>
        </w:r>
        <w:r>
          <w:rPr>
            <w:noProof/>
            <w:webHidden/>
          </w:rPr>
          <w:instrText xml:space="preserve"> PAGEREF _Toc35333997 \h </w:instrText>
        </w:r>
        <w:r>
          <w:rPr>
            <w:noProof/>
            <w:webHidden/>
          </w:rPr>
        </w:r>
        <w:r>
          <w:rPr>
            <w:noProof/>
            <w:webHidden/>
          </w:rPr>
          <w:fldChar w:fldCharType="separate"/>
        </w:r>
        <w:r>
          <w:rPr>
            <w:noProof/>
            <w:webHidden/>
          </w:rPr>
          <w:t>152</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98" w:history="1">
        <w:r w:rsidRPr="009A130A">
          <w:rPr>
            <w:rStyle w:val="Hyperlink"/>
            <w:noProof/>
          </w:rPr>
          <w:t>5.3.5</w:t>
        </w:r>
        <w:r>
          <w:rPr>
            <w:rFonts w:eastAsiaTheme="minorEastAsia"/>
            <w:noProof/>
            <w:lang w:eastAsia="en-GB"/>
          </w:rPr>
          <w:tab/>
        </w:r>
        <w:r w:rsidRPr="009A130A">
          <w:rPr>
            <w:rStyle w:val="Hyperlink"/>
            <w:noProof/>
          </w:rPr>
          <w:t>Comparison of reproducibility of results for a single dsRNA across replicate experiments</w:t>
        </w:r>
        <w:r>
          <w:rPr>
            <w:noProof/>
            <w:webHidden/>
          </w:rPr>
          <w:tab/>
        </w:r>
        <w:r>
          <w:rPr>
            <w:noProof/>
            <w:webHidden/>
          </w:rPr>
          <w:fldChar w:fldCharType="begin"/>
        </w:r>
        <w:r>
          <w:rPr>
            <w:noProof/>
            <w:webHidden/>
          </w:rPr>
          <w:instrText xml:space="preserve"> PAGEREF _Toc35333998 \h </w:instrText>
        </w:r>
        <w:r>
          <w:rPr>
            <w:noProof/>
            <w:webHidden/>
          </w:rPr>
        </w:r>
        <w:r>
          <w:rPr>
            <w:noProof/>
            <w:webHidden/>
          </w:rPr>
          <w:fldChar w:fldCharType="separate"/>
        </w:r>
        <w:r>
          <w:rPr>
            <w:noProof/>
            <w:webHidden/>
          </w:rPr>
          <w:t>155</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3999" w:history="1">
        <w:r w:rsidRPr="009A130A">
          <w:rPr>
            <w:rStyle w:val="Hyperlink"/>
            <w:noProof/>
          </w:rPr>
          <w:t>5.3.6</w:t>
        </w:r>
        <w:r>
          <w:rPr>
            <w:rFonts w:eastAsiaTheme="minorEastAsia"/>
            <w:noProof/>
            <w:lang w:eastAsia="en-GB"/>
          </w:rPr>
          <w:tab/>
        </w:r>
        <w:r w:rsidRPr="009A130A">
          <w:rPr>
            <w:rStyle w:val="Hyperlink"/>
            <w:noProof/>
          </w:rPr>
          <w:t>Comparison of RL values to determine cytotoxicity of dsRNA chemical modifications, and examine increased FL/RL values at low dsRNA concentrations</w:t>
        </w:r>
        <w:r>
          <w:rPr>
            <w:noProof/>
            <w:webHidden/>
          </w:rPr>
          <w:tab/>
        </w:r>
        <w:r>
          <w:rPr>
            <w:noProof/>
            <w:webHidden/>
          </w:rPr>
          <w:fldChar w:fldCharType="begin"/>
        </w:r>
        <w:r>
          <w:rPr>
            <w:noProof/>
            <w:webHidden/>
          </w:rPr>
          <w:instrText xml:space="preserve"> PAGEREF _Toc35333999 \h </w:instrText>
        </w:r>
        <w:r>
          <w:rPr>
            <w:noProof/>
            <w:webHidden/>
          </w:rPr>
        </w:r>
        <w:r>
          <w:rPr>
            <w:noProof/>
            <w:webHidden/>
          </w:rPr>
          <w:fldChar w:fldCharType="separate"/>
        </w:r>
        <w:r>
          <w:rPr>
            <w:noProof/>
            <w:webHidden/>
          </w:rPr>
          <w:t>157</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4000" w:history="1">
        <w:r w:rsidRPr="009A130A">
          <w:rPr>
            <w:rStyle w:val="Hyperlink"/>
            <w:noProof/>
          </w:rPr>
          <w:t>5.4</w:t>
        </w:r>
        <w:r>
          <w:rPr>
            <w:rFonts w:eastAsiaTheme="minorEastAsia"/>
            <w:noProof/>
            <w:lang w:eastAsia="en-GB"/>
          </w:rPr>
          <w:tab/>
        </w:r>
        <w:r w:rsidRPr="009A130A">
          <w:rPr>
            <w:rStyle w:val="Hyperlink"/>
            <w:noProof/>
          </w:rPr>
          <w:t>Conclusions</w:t>
        </w:r>
        <w:r>
          <w:rPr>
            <w:noProof/>
            <w:webHidden/>
          </w:rPr>
          <w:tab/>
        </w:r>
        <w:r>
          <w:rPr>
            <w:noProof/>
            <w:webHidden/>
          </w:rPr>
          <w:fldChar w:fldCharType="begin"/>
        </w:r>
        <w:r>
          <w:rPr>
            <w:noProof/>
            <w:webHidden/>
          </w:rPr>
          <w:instrText xml:space="preserve"> PAGEREF _Toc35334000 \h </w:instrText>
        </w:r>
        <w:r>
          <w:rPr>
            <w:noProof/>
            <w:webHidden/>
          </w:rPr>
        </w:r>
        <w:r>
          <w:rPr>
            <w:noProof/>
            <w:webHidden/>
          </w:rPr>
          <w:fldChar w:fldCharType="separate"/>
        </w:r>
        <w:r>
          <w:rPr>
            <w:noProof/>
            <w:webHidden/>
          </w:rPr>
          <w:t>160</w:t>
        </w:r>
        <w:r>
          <w:rPr>
            <w:noProof/>
            <w:webHidden/>
          </w:rPr>
          <w:fldChar w:fldCharType="end"/>
        </w:r>
      </w:hyperlink>
    </w:p>
    <w:p w:rsidR="00E32294" w:rsidRDefault="00E32294">
      <w:pPr>
        <w:pStyle w:val="TOC1"/>
        <w:tabs>
          <w:tab w:val="left" w:pos="440"/>
          <w:tab w:val="right" w:leader="dot" w:pos="9016"/>
        </w:tabs>
        <w:rPr>
          <w:rFonts w:eastAsiaTheme="minorEastAsia"/>
          <w:noProof/>
          <w:lang w:eastAsia="en-GB"/>
        </w:rPr>
      </w:pPr>
      <w:hyperlink w:anchor="_Toc35334001" w:history="1">
        <w:r w:rsidRPr="009A130A">
          <w:rPr>
            <w:rStyle w:val="Hyperlink"/>
            <w:noProof/>
          </w:rPr>
          <w:t>6</w:t>
        </w:r>
        <w:r>
          <w:rPr>
            <w:rFonts w:eastAsiaTheme="minorEastAsia"/>
            <w:noProof/>
            <w:lang w:eastAsia="en-GB"/>
          </w:rPr>
          <w:tab/>
        </w:r>
        <w:r w:rsidRPr="009A130A">
          <w:rPr>
            <w:rStyle w:val="Hyperlink"/>
            <w:i/>
            <w:noProof/>
          </w:rPr>
          <w:t>In vivo</w:t>
        </w:r>
        <w:r w:rsidRPr="009A130A">
          <w:rPr>
            <w:rStyle w:val="Hyperlink"/>
            <w:noProof/>
          </w:rPr>
          <w:t xml:space="preserve"> analysis of RNAi efficacy of chemically modified dsRNA in live insects</w:t>
        </w:r>
        <w:r>
          <w:rPr>
            <w:noProof/>
            <w:webHidden/>
          </w:rPr>
          <w:tab/>
        </w:r>
        <w:r>
          <w:rPr>
            <w:noProof/>
            <w:webHidden/>
          </w:rPr>
          <w:fldChar w:fldCharType="begin"/>
        </w:r>
        <w:r>
          <w:rPr>
            <w:noProof/>
            <w:webHidden/>
          </w:rPr>
          <w:instrText xml:space="preserve"> PAGEREF _Toc35334001 \h </w:instrText>
        </w:r>
        <w:r>
          <w:rPr>
            <w:noProof/>
            <w:webHidden/>
          </w:rPr>
        </w:r>
        <w:r>
          <w:rPr>
            <w:noProof/>
            <w:webHidden/>
          </w:rPr>
          <w:fldChar w:fldCharType="separate"/>
        </w:r>
        <w:r>
          <w:rPr>
            <w:noProof/>
            <w:webHidden/>
          </w:rPr>
          <w:t>165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4002" w:history="1">
        <w:r w:rsidRPr="009A130A">
          <w:rPr>
            <w:rStyle w:val="Hyperlink"/>
            <w:noProof/>
          </w:rPr>
          <w:t>6.1</w:t>
        </w:r>
        <w:r>
          <w:rPr>
            <w:rFonts w:eastAsiaTheme="minorEastAsia"/>
            <w:noProof/>
            <w:lang w:eastAsia="en-GB"/>
          </w:rPr>
          <w:tab/>
        </w:r>
        <w:r w:rsidRPr="009A130A">
          <w:rPr>
            <w:rStyle w:val="Hyperlink"/>
            <w:noProof/>
          </w:rPr>
          <w:t>Abstract</w:t>
        </w:r>
        <w:r>
          <w:rPr>
            <w:noProof/>
            <w:webHidden/>
          </w:rPr>
          <w:tab/>
        </w:r>
        <w:r>
          <w:rPr>
            <w:noProof/>
            <w:webHidden/>
          </w:rPr>
          <w:fldChar w:fldCharType="begin"/>
        </w:r>
        <w:r>
          <w:rPr>
            <w:noProof/>
            <w:webHidden/>
          </w:rPr>
          <w:instrText xml:space="preserve"> PAGEREF _Toc35334002 \h </w:instrText>
        </w:r>
        <w:r>
          <w:rPr>
            <w:noProof/>
            <w:webHidden/>
          </w:rPr>
        </w:r>
        <w:r>
          <w:rPr>
            <w:noProof/>
            <w:webHidden/>
          </w:rPr>
          <w:fldChar w:fldCharType="separate"/>
        </w:r>
        <w:r>
          <w:rPr>
            <w:noProof/>
            <w:webHidden/>
          </w:rPr>
          <w:t>165</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4003" w:history="1">
        <w:r w:rsidRPr="009A130A">
          <w:rPr>
            <w:rStyle w:val="Hyperlink"/>
            <w:noProof/>
          </w:rPr>
          <w:t>6.2</w:t>
        </w:r>
        <w:r>
          <w:rPr>
            <w:rFonts w:eastAsiaTheme="minorEastAsia"/>
            <w:noProof/>
            <w:lang w:eastAsia="en-GB"/>
          </w:rPr>
          <w:tab/>
        </w:r>
        <w:r w:rsidRPr="009A130A">
          <w:rPr>
            <w:rStyle w:val="Hyperlink"/>
            <w:noProof/>
          </w:rPr>
          <w:t>Introduction</w:t>
        </w:r>
        <w:r>
          <w:rPr>
            <w:noProof/>
            <w:webHidden/>
          </w:rPr>
          <w:tab/>
        </w:r>
        <w:r>
          <w:rPr>
            <w:noProof/>
            <w:webHidden/>
          </w:rPr>
          <w:fldChar w:fldCharType="begin"/>
        </w:r>
        <w:r>
          <w:rPr>
            <w:noProof/>
            <w:webHidden/>
          </w:rPr>
          <w:instrText xml:space="preserve"> PAGEREF _Toc35334003 \h </w:instrText>
        </w:r>
        <w:r>
          <w:rPr>
            <w:noProof/>
            <w:webHidden/>
          </w:rPr>
        </w:r>
        <w:r>
          <w:rPr>
            <w:noProof/>
            <w:webHidden/>
          </w:rPr>
          <w:fldChar w:fldCharType="separate"/>
        </w:r>
        <w:r>
          <w:rPr>
            <w:noProof/>
            <w:webHidden/>
          </w:rPr>
          <w:t>166</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4004" w:history="1">
        <w:r w:rsidRPr="009A130A">
          <w:rPr>
            <w:rStyle w:val="Hyperlink"/>
            <w:noProof/>
          </w:rPr>
          <w:t>6.3</w:t>
        </w:r>
        <w:r>
          <w:rPr>
            <w:rFonts w:eastAsiaTheme="minorEastAsia"/>
            <w:noProof/>
            <w:lang w:eastAsia="en-GB"/>
          </w:rPr>
          <w:tab/>
        </w:r>
        <w:r w:rsidRPr="009A130A">
          <w:rPr>
            <w:rStyle w:val="Hyperlink"/>
            <w:noProof/>
          </w:rPr>
          <w:t>Results and discussion</w:t>
        </w:r>
        <w:r>
          <w:rPr>
            <w:noProof/>
            <w:webHidden/>
          </w:rPr>
          <w:tab/>
        </w:r>
        <w:r>
          <w:rPr>
            <w:noProof/>
            <w:webHidden/>
          </w:rPr>
          <w:fldChar w:fldCharType="begin"/>
        </w:r>
        <w:r>
          <w:rPr>
            <w:noProof/>
            <w:webHidden/>
          </w:rPr>
          <w:instrText xml:space="preserve"> PAGEREF _Toc35334004 \h </w:instrText>
        </w:r>
        <w:r>
          <w:rPr>
            <w:noProof/>
            <w:webHidden/>
          </w:rPr>
        </w:r>
        <w:r>
          <w:rPr>
            <w:noProof/>
            <w:webHidden/>
          </w:rPr>
          <w:fldChar w:fldCharType="separate"/>
        </w:r>
        <w:r>
          <w:rPr>
            <w:noProof/>
            <w:webHidden/>
          </w:rPr>
          <w:t>169</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4005" w:history="1">
        <w:r w:rsidRPr="009A130A">
          <w:rPr>
            <w:rStyle w:val="Hyperlink"/>
            <w:noProof/>
          </w:rPr>
          <w:t>6.3.1</w:t>
        </w:r>
        <w:r>
          <w:rPr>
            <w:rFonts w:eastAsiaTheme="minorEastAsia"/>
            <w:noProof/>
            <w:lang w:eastAsia="en-GB"/>
          </w:rPr>
          <w:tab/>
        </w:r>
        <w:r w:rsidRPr="009A130A">
          <w:rPr>
            <w:rStyle w:val="Hyperlink"/>
            <w:noProof/>
          </w:rPr>
          <w:t>Production and analysis of dsRNA probes</w:t>
        </w:r>
        <w:r>
          <w:rPr>
            <w:noProof/>
            <w:webHidden/>
          </w:rPr>
          <w:tab/>
        </w:r>
        <w:r>
          <w:rPr>
            <w:noProof/>
            <w:webHidden/>
          </w:rPr>
          <w:fldChar w:fldCharType="begin"/>
        </w:r>
        <w:r>
          <w:rPr>
            <w:noProof/>
            <w:webHidden/>
          </w:rPr>
          <w:instrText xml:space="preserve"> PAGEREF _Toc35334005 \h </w:instrText>
        </w:r>
        <w:r>
          <w:rPr>
            <w:noProof/>
            <w:webHidden/>
          </w:rPr>
        </w:r>
        <w:r>
          <w:rPr>
            <w:noProof/>
            <w:webHidden/>
          </w:rPr>
          <w:fldChar w:fldCharType="separate"/>
        </w:r>
        <w:r>
          <w:rPr>
            <w:noProof/>
            <w:webHidden/>
          </w:rPr>
          <w:t>169</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4006" w:history="1">
        <w:r w:rsidRPr="009A130A">
          <w:rPr>
            <w:rStyle w:val="Hyperlink"/>
            <w:noProof/>
          </w:rPr>
          <w:t>6.3.2</w:t>
        </w:r>
        <w:r>
          <w:rPr>
            <w:rFonts w:eastAsiaTheme="minorEastAsia"/>
            <w:noProof/>
            <w:lang w:eastAsia="en-GB"/>
          </w:rPr>
          <w:tab/>
        </w:r>
        <w:r w:rsidRPr="009A130A">
          <w:rPr>
            <w:rStyle w:val="Hyperlink"/>
            <w:noProof/>
          </w:rPr>
          <w:t>Analysis of RNAi efficacy of chemically modified dsRNA delivered by injection in stink bug</w:t>
        </w:r>
        <w:r>
          <w:rPr>
            <w:noProof/>
            <w:webHidden/>
          </w:rPr>
          <w:tab/>
        </w:r>
        <w:r>
          <w:rPr>
            <w:noProof/>
            <w:webHidden/>
          </w:rPr>
          <w:fldChar w:fldCharType="begin"/>
        </w:r>
        <w:r>
          <w:rPr>
            <w:noProof/>
            <w:webHidden/>
          </w:rPr>
          <w:instrText xml:space="preserve"> PAGEREF _Toc35334006 \h </w:instrText>
        </w:r>
        <w:r>
          <w:rPr>
            <w:noProof/>
            <w:webHidden/>
          </w:rPr>
        </w:r>
        <w:r>
          <w:rPr>
            <w:noProof/>
            <w:webHidden/>
          </w:rPr>
          <w:fldChar w:fldCharType="separate"/>
        </w:r>
        <w:r>
          <w:rPr>
            <w:noProof/>
            <w:webHidden/>
          </w:rPr>
          <w:t>170</w:t>
        </w:r>
        <w:r>
          <w:rPr>
            <w:noProof/>
            <w:webHidden/>
          </w:rPr>
          <w:fldChar w:fldCharType="end"/>
        </w:r>
      </w:hyperlink>
    </w:p>
    <w:p w:rsidR="00E32294" w:rsidRDefault="00E32294">
      <w:pPr>
        <w:pStyle w:val="TOC3"/>
        <w:tabs>
          <w:tab w:val="left" w:pos="1320"/>
          <w:tab w:val="right" w:leader="dot" w:pos="9016"/>
        </w:tabs>
        <w:rPr>
          <w:rFonts w:eastAsiaTheme="minorEastAsia"/>
          <w:noProof/>
          <w:lang w:eastAsia="en-GB"/>
        </w:rPr>
      </w:pPr>
      <w:hyperlink w:anchor="_Toc35334007" w:history="1">
        <w:r w:rsidRPr="009A130A">
          <w:rPr>
            <w:rStyle w:val="Hyperlink"/>
            <w:noProof/>
          </w:rPr>
          <w:t>6.3.3</w:t>
        </w:r>
        <w:r>
          <w:rPr>
            <w:rFonts w:eastAsiaTheme="minorEastAsia"/>
            <w:noProof/>
            <w:lang w:eastAsia="en-GB"/>
          </w:rPr>
          <w:tab/>
        </w:r>
        <w:r w:rsidRPr="009A130A">
          <w:rPr>
            <w:rStyle w:val="Hyperlink"/>
            <w:noProof/>
          </w:rPr>
          <w:t>Analysis of RNAi efficacy of orally delivered chemically modified dsRNA in stink bug and WCR</w:t>
        </w:r>
        <w:r>
          <w:rPr>
            <w:noProof/>
            <w:webHidden/>
          </w:rPr>
          <w:tab/>
        </w:r>
        <w:r>
          <w:rPr>
            <w:noProof/>
            <w:webHidden/>
          </w:rPr>
          <w:fldChar w:fldCharType="begin"/>
        </w:r>
        <w:r>
          <w:rPr>
            <w:noProof/>
            <w:webHidden/>
          </w:rPr>
          <w:instrText xml:space="preserve"> PAGEREF _Toc35334007 \h </w:instrText>
        </w:r>
        <w:r>
          <w:rPr>
            <w:noProof/>
            <w:webHidden/>
          </w:rPr>
        </w:r>
        <w:r>
          <w:rPr>
            <w:noProof/>
            <w:webHidden/>
          </w:rPr>
          <w:fldChar w:fldCharType="separate"/>
        </w:r>
        <w:r>
          <w:rPr>
            <w:noProof/>
            <w:webHidden/>
          </w:rPr>
          <w:t>172</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4008" w:history="1">
        <w:r w:rsidRPr="009A130A">
          <w:rPr>
            <w:rStyle w:val="Hyperlink"/>
            <w:noProof/>
          </w:rPr>
          <w:t>6.3.3.1</w:t>
        </w:r>
        <w:r>
          <w:rPr>
            <w:rFonts w:eastAsiaTheme="minorEastAsia"/>
            <w:noProof/>
            <w:lang w:eastAsia="en-GB"/>
          </w:rPr>
          <w:tab/>
        </w:r>
        <w:r w:rsidRPr="009A130A">
          <w:rPr>
            <w:rStyle w:val="Hyperlink"/>
            <w:noProof/>
          </w:rPr>
          <w:t>WCR feeding mortality assay overview</w:t>
        </w:r>
        <w:r>
          <w:rPr>
            <w:noProof/>
            <w:webHidden/>
          </w:rPr>
          <w:tab/>
        </w:r>
        <w:r>
          <w:rPr>
            <w:noProof/>
            <w:webHidden/>
          </w:rPr>
          <w:fldChar w:fldCharType="begin"/>
        </w:r>
        <w:r>
          <w:rPr>
            <w:noProof/>
            <w:webHidden/>
          </w:rPr>
          <w:instrText xml:space="preserve"> PAGEREF _Toc35334008 \h </w:instrText>
        </w:r>
        <w:r>
          <w:rPr>
            <w:noProof/>
            <w:webHidden/>
          </w:rPr>
        </w:r>
        <w:r>
          <w:rPr>
            <w:noProof/>
            <w:webHidden/>
          </w:rPr>
          <w:fldChar w:fldCharType="separate"/>
        </w:r>
        <w:r>
          <w:rPr>
            <w:noProof/>
            <w:webHidden/>
          </w:rPr>
          <w:t>172</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4009" w:history="1">
        <w:r w:rsidRPr="009A130A">
          <w:rPr>
            <w:rStyle w:val="Hyperlink"/>
            <w:noProof/>
          </w:rPr>
          <w:t>6.3.3.2</w:t>
        </w:r>
        <w:r>
          <w:rPr>
            <w:rFonts w:eastAsiaTheme="minorEastAsia"/>
            <w:noProof/>
            <w:lang w:eastAsia="en-GB"/>
          </w:rPr>
          <w:tab/>
        </w:r>
        <w:r w:rsidRPr="009A130A">
          <w:rPr>
            <w:rStyle w:val="Hyperlink"/>
            <w:noProof/>
          </w:rPr>
          <w:t>WCR dsRNA diet plate feeding assay optimisation</w:t>
        </w:r>
        <w:r>
          <w:rPr>
            <w:noProof/>
            <w:webHidden/>
          </w:rPr>
          <w:tab/>
        </w:r>
        <w:r>
          <w:rPr>
            <w:noProof/>
            <w:webHidden/>
          </w:rPr>
          <w:fldChar w:fldCharType="begin"/>
        </w:r>
        <w:r>
          <w:rPr>
            <w:noProof/>
            <w:webHidden/>
          </w:rPr>
          <w:instrText xml:space="preserve"> PAGEREF _Toc35334009 \h </w:instrText>
        </w:r>
        <w:r>
          <w:rPr>
            <w:noProof/>
            <w:webHidden/>
          </w:rPr>
        </w:r>
        <w:r>
          <w:rPr>
            <w:noProof/>
            <w:webHidden/>
          </w:rPr>
          <w:fldChar w:fldCharType="separate"/>
        </w:r>
        <w:r>
          <w:rPr>
            <w:noProof/>
            <w:webHidden/>
          </w:rPr>
          <w:t>172</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4010" w:history="1">
        <w:r w:rsidRPr="009A130A">
          <w:rPr>
            <w:rStyle w:val="Hyperlink"/>
            <w:noProof/>
          </w:rPr>
          <w:t>6.3.3.3</w:t>
        </w:r>
        <w:r>
          <w:rPr>
            <w:rFonts w:eastAsiaTheme="minorEastAsia"/>
            <w:noProof/>
            <w:lang w:eastAsia="en-GB"/>
          </w:rPr>
          <w:tab/>
        </w:r>
        <w:r w:rsidRPr="009A130A">
          <w:rPr>
            <w:rStyle w:val="Hyperlink"/>
            <w:noProof/>
          </w:rPr>
          <w:t>RNAi efficacy of chemically modified dsRNA using a WCR diet plate feeding assay</w:t>
        </w:r>
        <w:r>
          <w:rPr>
            <w:noProof/>
            <w:webHidden/>
          </w:rPr>
          <w:tab/>
        </w:r>
        <w:r>
          <w:rPr>
            <w:noProof/>
            <w:webHidden/>
          </w:rPr>
          <w:fldChar w:fldCharType="begin"/>
        </w:r>
        <w:r>
          <w:rPr>
            <w:noProof/>
            <w:webHidden/>
          </w:rPr>
          <w:instrText xml:space="preserve"> PAGEREF _Toc35334010 \h </w:instrText>
        </w:r>
        <w:r>
          <w:rPr>
            <w:noProof/>
            <w:webHidden/>
          </w:rPr>
        </w:r>
        <w:r>
          <w:rPr>
            <w:noProof/>
            <w:webHidden/>
          </w:rPr>
          <w:fldChar w:fldCharType="separate"/>
        </w:r>
        <w:r>
          <w:rPr>
            <w:noProof/>
            <w:webHidden/>
          </w:rPr>
          <w:t>173</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4011" w:history="1">
        <w:r w:rsidRPr="009A130A">
          <w:rPr>
            <w:rStyle w:val="Hyperlink"/>
            <w:noProof/>
          </w:rPr>
          <w:t>6.3.3.4</w:t>
        </w:r>
        <w:r>
          <w:rPr>
            <w:rFonts w:eastAsiaTheme="minorEastAsia"/>
            <w:noProof/>
            <w:lang w:eastAsia="en-GB"/>
          </w:rPr>
          <w:tab/>
        </w:r>
        <w:r w:rsidRPr="009A130A">
          <w:rPr>
            <w:rStyle w:val="Hyperlink"/>
            <w:noProof/>
          </w:rPr>
          <w:t>RNAi efficacy of 1PS and 2PS modified dsRNA using a WCR diet plate feeding assay</w:t>
        </w:r>
        <w:r>
          <w:rPr>
            <w:noProof/>
            <w:webHidden/>
          </w:rPr>
          <w:tab/>
        </w:r>
        <w:r>
          <w:rPr>
            <w:noProof/>
            <w:webHidden/>
          </w:rPr>
          <w:fldChar w:fldCharType="begin"/>
        </w:r>
        <w:r>
          <w:rPr>
            <w:noProof/>
            <w:webHidden/>
          </w:rPr>
          <w:instrText xml:space="preserve"> PAGEREF _Toc35334011 \h </w:instrText>
        </w:r>
        <w:r>
          <w:rPr>
            <w:noProof/>
            <w:webHidden/>
          </w:rPr>
        </w:r>
        <w:r>
          <w:rPr>
            <w:noProof/>
            <w:webHidden/>
          </w:rPr>
          <w:fldChar w:fldCharType="separate"/>
        </w:r>
        <w:r>
          <w:rPr>
            <w:noProof/>
            <w:webHidden/>
          </w:rPr>
          <w:t>181</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4012" w:history="1">
        <w:r w:rsidRPr="009A130A">
          <w:rPr>
            <w:rStyle w:val="Hyperlink"/>
            <w:noProof/>
          </w:rPr>
          <w:t>6.3.3.5</w:t>
        </w:r>
        <w:r>
          <w:rPr>
            <w:rFonts w:eastAsiaTheme="minorEastAsia"/>
            <w:noProof/>
            <w:lang w:eastAsia="en-GB"/>
          </w:rPr>
          <w:tab/>
        </w:r>
        <w:r w:rsidRPr="009A130A">
          <w:rPr>
            <w:rStyle w:val="Hyperlink"/>
            <w:noProof/>
          </w:rPr>
          <w:t>WCR soil feeding assay</w:t>
        </w:r>
        <w:r>
          <w:rPr>
            <w:noProof/>
            <w:webHidden/>
          </w:rPr>
          <w:tab/>
        </w:r>
        <w:r>
          <w:rPr>
            <w:noProof/>
            <w:webHidden/>
          </w:rPr>
          <w:fldChar w:fldCharType="begin"/>
        </w:r>
        <w:r>
          <w:rPr>
            <w:noProof/>
            <w:webHidden/>
          </w:rPr>
          <w:instrText xml:space="preserve"> PAGEREF _Toc35334012 \h </w:instrText>
        </w:r>
        <w:r>
          <w:rPr>
            <w:noProof/>
            <w:webHidden/>
          </w:rPr>
        </w:r>
        <w:r>
          <w:rPr>
            <w:noProof/>
            <w:webHidden/>
          </w:rPr>
          <w:fldChar w:fldCharType="separate"/>
        </w:r>
        <w:r>
          <w:rPr>
            <w:noProof/>
            <w:webHidden/>
          </w:rPr>
          <w:t>184</w:t>
        </w:r>
        <w:r>
          <w:rPr>
            <w:noProof/>
            <w:webHidden/>
          </w:rPr>
          <w:fldChar w:fldCharType="end"/>
        </w:r>
      </w:hyperlink>
    </w:p>
    <w:p w:rsidR="00E32294" w:rsidRDefault="00E32294">
      <w:pPr>
        <w:pStyle w:val="TOC4"/>
        <w:tabs>
          <w:tab w:val="left" w:pos="1540"/>
          <w:tab w:val="right" w:leader="dot" w:pos="9016"/>
        </w:tabs>
        <w:rPr>
          <w:rFonts w:eastAsiaTheme="minorEastAsia"/>
          <w:noProof/>
          <w:lang w:eastAsia="en-GB"/>
        </w:rPr>
      </w:pPr>
      <w:hyperlink w:anchor="_Toc35334013" w:history="1">
        <w:r w:rsidRPr="009A130A">
          <w:rPr>
            <w:rStyle w:val="Hyperlink"/>
            <w:noProof/>
          </w:rPr>
          <w:t>6.3.3.6</w:t>
        </w:r>
        <w:r>
          <w:rPr>
            <w:rFonts w:eastAsiaTheme="minorEastAsia"/>
            <w:noProof/>
            <w:lang w:eastAsia="en-GB"/>
          </w:rPr>
          <w:tab/>
        </w:r>
        <w:r w:rsidRPr="009A130A">
          <w:rPr>
            <w:rStyle w:val="Hyperlink"/>
            <w:noProof/>
          </w:rPr>
          <w:t>SGSB feeding mortality assay and supporting injection assay</w:t>
        </w:r>
        <w:r>
          <w:rPr>
            <w:noProof/>
            <w:webHidden/>
          </w:rPr>
          <w:tab/>
        </w:r>
        <w:r>
          <w:rPr>
            <w:noProof/>
            <w:webHidden/>
          </w:rPr>
          <w:fldChar w:fldCharType="begin"/>
        </w:r>
        <w:r>
          <w:rPr>
            <w:noProof/>
            <w:webHidden/>
          </w:rPr>
          <w:instrText xml:space="preserve"> PAGEREF _Toc35334013 \h </w:instrText>
        </w:r>
        <w:r>
          <w:rPr>
            <w:noProof/>
            <w:webHidden/>
          </w:rPr>
        </w:r>
        <w:r>
          <w:rPr>
            <w:noProof/>
            <w:webHidden/>
          </w:rPr>
          <w:fldChar w:fldCharType="separate"/>
        </w:r>
        <w:r>
          <w:rPr>
            <w:noProof/>
            <w:webHidden/>
          </w:rPr>
          <w:t>187</w:t>
        </w:r>
        <w:r>
          <w:rPr>
            <w:noProof/>
            <w:webHidden/>
          </w:rPr>
          <w:fldChar w:fldCharType="end"/>
        </w:r>
      </w:hyperlink>
    </w:p>
    <w:p w:rsidR="00E32294" w:rsidRDefault="00E32294">
      <w:pPr>
        <w:pStyle w:val="TOC2"/>
        <w:tabs>
          <w:tab w:val="left" w:pos="880"/>
          <w:tab w:val="right" w:leader="dot" w:pos="9016"/>
        </w:tabs>
        <w:rPr>
          <w:rFonts w:eastAsiaTheme="minorEastAsia"/>
          <w:noProof/>
          <w:lang w:eastAsia="en-GB"/>
        </w:rPr>
      </w:pPr>
      <w:hyperlink w:anchor="_Toc35334014" w:history="1">
        <w:r w:rsidRPr="009A130A">
          <w:rPr>
            <w:rStyle w:val="Hyperlink"/>
            <w:noProof/>
          </w:rPr>
          <w:t>6.4</w:t>
        </w:r>
        <w:r>
          <w:rPr>
            <w:rFonts w:eastAsiaTheme="minorEastAsia"/>
            <w:noProof/>
            <w:lang w:eastAsia="en-GB"/>
          </w:rPr>
          <w:tab/>
        </w:r>
        <w:r w:rsidRPr="009A130A">
          <w:rPr>
            <w:rStyle w:val="Hyperlink"/>
            <w:noProof/>
          </w:rPr>
          <w:t>Conclusions</w:t>
        </w:r>
        <w:r>
          <w:rPr>
            <w:noProof/>
            <w:webHidden/>
          </w:rPr>
          <w:tab/>
        </w:r>
        <w:r>
          <w:rPr>
            <w:noProof/>
            <w:webHidden/>
          </w:rPr>
          <w:fldChar w:fldCharType="begin"/>
        </w:r>
        <w:r>
          <w:rPr>
            <w:noProof/>
            <w:webHidden/>
          </w:rPr>
          <w:instrText xml:space="preserve"> PAGEREF _Toc35334014 \h </w:instrText>
        </w:r>
        <w:r>
          <w:rPr>
            <w:noProof/>
            <w:webHidden/>
          </w:rPr>
        </w:r>
        <w:r>
          <w:rPr>
            <w:noProof/>
            <w:webHidden/>
          </w:rPr>
          <w:fldChar w:fldCharType="separate"/>
        </w:r>
        <w:r>
          <w:rPr>
            <w:noProof/>
            <w:webHidden/>
          </w:rPr>
          <w:t>192</w:t>
        </w:r>
        <w:r>
          <w:rPr>
            <w:noProof/>
            <w:webHidden/>
          </w:rPr>
          <w:fldChar w:fldCharType="end"/>
        </w:r>
      </w:hyperlink>
    </w:p>
    <w:p w:rsidR="00E32294" w:rsidRDefault="00E32294">
      <w:pPr>
        <w:pStyle w:val="TOC1"/>
        <w:tabs>
          <w:tab w:val="left" w:pos="440"/>
          <w:tab w:val="right" w:leader="dot" w:pos="9016"/>
        </w:tabs>
        <w:rPr>
          <w:rFonts w:eastAsiaTheme="minorEastAsia"/>
          <w:noProof/>
          <w:lang w:eastAsia="en-GB"/>
        </w:rPr>
      </w:pPr>
      <w:hyperlink w:anchor="_Toc35334015" w:history="1">
        <w:r w:rsidRPr="009A130A">
          <w:rPr>
            <w:rStyle w:val="Hyperlink"/>
            <w:noProof/>
          </w:rPr>
          <w:t>7</w:t>
        </w:r>
        <w:r>
          <w:rPr>
            <w:rFonts w:eastAsiaTheme="minorEastAsia"/>
            <w:noProof/>
            <w:lang w:eastAsia="en-GB"/>
          </w:rPr>
          <w:tab/>
        </w:r>
        <w:r w:rsidRPr="009A130A">
          <w:rPr>
            <w:rStyle w:val="Hyperlink"/>
            <w:noProof/>
          </w:rPr>
          <w:t>Conclusions and Future Work</w:t>
        </w:r>
        <w:r>
          <w:rPr>
            <w:noProof/>
            <w:webHidden/>
          </w:rPr>
          <w:tab/>
        </w:r>
        <w:r>
          <w:rPr>
            <w:noProof/>
            <w:webHidden/>
          </w:rPr>
          <w:fldChar w:fldCharType="begin"/>
        </w:r>
        <w:r>
          <w:rPr>
            <w:noProof/>
            <w:webHidden/>
          </w:rPr>
          <w:instrText xml:space="preserve"> PAGEREF _Toc35334015 \h </w:instrText>
        </w:r>
        <w:r>
          <w:rPr>
            <w:noProof/>
            <w:webHidden/>
          </w:rPr>
        </w:r>
        <w:r>
          <w:rPr>
            <w:noProof/>
            <w:webHidden/>
          </w:rPr>
          <w:fldChar w:fldCharType="separate"/>
        </w:r>
        <w:r>
          <w:rPr>
            <w:noProof/>
            <w:webHidden/>
          </w:rPr>
          <w:t>195</w:t>
        </w:r>
        <w:r>
          <w:rPr>
            <w:noProof/>
            <w:webHidden/>
          </w:rPr>
          <w:fldChar w:fldCharType="end"/>
        </w:r>
      </w:hyperlink>
    </w:p>
    <w:p w:rsidR="00E32294" w:rsidRDefault="00E32294">
      <w:pPr>
        <w:pStyle w:val="TOC1"/>
        <w:tabs>
          <w:tab w:val="right" w:leader="dot" w:pos="9016"/>
        </w:tabs>
        <w:rPr>
          <w:rFonts w:eastAsiaTheme="minorEastAsia"/>
          <w:noProof/>
          <w:lang w:eastAsia="en-GB"/>
        </w:rPr>
      </w:pPr>
      <w:hyperlink w:anchor="_Toc35334016" w:history="1">
        <w:r w:rsidRPr="009A130A">
          <w:rPr>
            <w:rStyle w:val="Hyperlink"/>
            <w:noProof/>
          </w:rPr>
          <w:t>Appendix 1</w:t>
        </w:r>
        <w:r>
          <w:rPr>
            <w:noProof/>
            <w:webHidden/>
          </w:rPr>
          <w:tab/>
        </w:r>
        <w:r>
          <w:rPr>
            <w:noProof/>
            <w:webHidden/>
          </w:rPr>
          <w:fldChar w:fldCharType="begin"/>
        </w:r>
        <w:r>
          <w:rPr>
            <w:noProof/>
            <w:webHidden/>
          </w:rPr>
          <w:instrText xml:space="preserve"> PAGEREF _Toc35334016 \h </w:instrText>
        </w:r>
        <w:r>
          <w:rPr>
            <w:noProof/>
            <w:webHidden/>
          </w:rPr>
        </w:r>
        <w:r>
          <w:rPr>
            <w:noProof/>
            <w:webHidden/>
          </w:rPr>
          <w:fldChar w:fldCharType="separate"/>
        </w:r>
        <w:r>
          <w:rPr>
            <w:noProof/>
            <w:webHidden/>
          </w:rPr>
          <w:t>206</w:t>
        </w:r>
        <w:r>
          <w:rPr>
            <w:noProof/>
            <w:webHidden/>
          </w:rPr>
          <w:fldChar w:fldCharType="end"/>
        </w:r>
      </w:hyperlink>
    </w:p>
    <w:p w:rsidR="00E32294" w:rsidRDefault="00E32294">
      <w:pPr>
        <w:pStyle w:val="TOC1"/>
        <w:tabs>
          <w:tab w:val="right" w:leader="dot" w:pos="9016"/>
        </w:tabs>
        <w:rPr>
          <w:rFonts w:eastAsiaTheme="minorEastAsia"/>
          <w:noProof/>
          <w:lang w:eastAsia="en-GB"/>
        </w:rPr>
      </w:pPr>
      <w:hyperlink w:anchor="_Toc35334017" w:history="1">
        <w:r w:rsidRPr="009A130A">
          <w:rPr>
            <w:rStyle w:val="Hyperlink"/>
            <w:noProof/>
          </w:rPr>
          <w:t>Appendix 2</w:t>
        </w:r>
        <w:r>
          <w:rPr>
            <w:noProof/>
            <w:webHidden/>
          </w:rPr>
          <w:tab/>
        </w:r>
        <w:r>
          <w:rPr>
            <w:noProof/>
            <w:webHidden/>
          </w:rPr>
          <w:fldChar w:fldCharType="begin"/>
        </w:r>
        <w:r>
          <w:rPr>
            <w:noProof/>
            <w:webHidden/>
          </w:rPr>
          <w:instrText xml:space="preserve"> PAGEREF _Toc35334017 \h </w:instrText>
        </w:r>
        <w:r>
          <w:rPr>
            <w:noProof/>
            <w:webHidden/>
          </w:rPr>
        </w:r>
        <w:r>
          <w:rPr>
            <w:noProof/>
            <w:webHidden/>
          </w:rPr>
          <w:fldChar w:fldCharType="separate"/>
        </w:r>
        <w:r>
          <w:rPr>
            <w:noProof/>
            <w:webHidden/>
          </w:rPr>
          <w:t>211</w:t>
        </w:r>
        <w:r>
          <w:rPr>
            <w:noProof/>
            <w:webHidden/>
          </w:rPr>
          <w:fldChar w:fldCharType="end"/>
        </w:r>
      </w:hyperlink>
    </w:p>
    <w:p w:rsidR="00E32294" w:rsidRDefault="00E32294">
      <w:pPr>
        <w:pStyle w:val="TOC1"/>
        <w:tabs>
          <w:tab w:val="right" w:leader="dot" w:pos="9016"/>
        </w:tabs>
        <w:rPr>
          <w:rFonts w:eastAsiaTheme="minorEastAsia"/>
          <w:noProof/>
          <w:lang w:eastAsia="en-GB"/>
        </w:rPr>
      </w:pPr>
      <w:hyperlink w:anchor="_Toc35334018" w:history="1">
        <w:r w:rsidRPr="009A130A">
          <w:rPr>
            <w:rStyle w:val="Hyperlink"/>
            <w:noProof/>
          </w:rPr>
          <w:t>Appendix 3</w:t>
        </w:r>
        <w:r>
          <w:rPr>
            <w:noProof/>
            <w:webHidden/>
          </w:rPr>
          <w:tab/>
        </w:r>
        <w:r>
          <w:rPr>
            <w:noProof/>
            <w:webHidden/>
          </w:rPr>
          <w:fldChar w:fldCharType="begin"/>
        </w:r>
        <w:r>
          <w:rPr>
            <w:noProof/>
            <w:webHidden/>
          </w:rPr>
          <w:instrText xml:space="preserve"> PAGEREF _Toc35334018 \h </w:instrText>
        </w:r>
        <w:r>
          <w:rPr>
            <w:noProof/>
            <w:webHidden/>
          </w:rPr>
        </w:r>
        <w:r>
          <w:rPr>
            <w:noProof/>
            <w:webHidden/>
          </w:rPr>
          <w:fldChar w:fldCharType="separate"/>
        </w:r>
        <w:r>
          <w:rPr>
            <w:noProof/>
            <w:webHidden/>
          </w:rPr>
          <w:t>214</w:t>
        </w:r>
        <w:r>
          <w:rPr>
            <w:noProof/>
            <w:webHidden/>
          </w:rPr>
          <w:fldChar w:fldCharType="end"/>
        </w:r>
      </w:hyperlink>
    </w:p>
    <w:p w:rsidR="00E32294" w:rsidRDefault="00E32294">
      <w:pPr>
        <w:pStyle w:val="TOC1"/>
        <w:tabs>
          <w:tab w:val="right" w:leader="dot" w:pos="9016"/>
        </w:tabs>
        <w:rPr>
          <w:rFonts w:eastAsiaTheme="minorEastAsia"/>
          <w:noProof/>
          <w:lang w:eastAsia="en-GB"/>
        </w:rPr>
      </w:pPr>
      <w:hyperlink w:anchor="_Toc35334019" w:history="1">
        <w:r w:rsidRPr="009A130A">
          <w:rPr>
            <w:rStyle w:val="Hyperlink"/>
            <w:noProof/>
          </w:rPr>
          <w:t>References</w:t>
        </w:r>
        <w:r>
          <w:rPr>
            <w:noProof/>
            <w:webHidden/>
          </w:rPr>
          <w:tab/>
        </w:r>
        <w:r>
          <w:rPr>
            <w:noProof/>
            <w:webHidden/>
          </w:rPr>
          <w:fldChar w:fldCharType="begin"/>
        </w:r>
        <w:r>
          <w:rPr>
            <w:noProof/>
            <w:webHidden/>
          </w:rPr>
          <w:instrText xml:space="preserve"> PAGEREF _Toc35334019 \h </w:instrText>
        </w:r>
        <w:r>
          <w:rPr>
            <w:noProof/>
            <w:webHidden/>
          </w:rPr>
        </w:r>
        <w:r>
          <w:rPr>
            <w:noProof/>
            <w:webHidden/>
          </w:rPr>
          <w:fldChar w:fldCharType="separate"/>
        </w:r>
        <w:r>
          <w:rPr>
            <w:noProof/>
            <w:webHidden/>
          </w:rPr>
          <w:t>215</w:t>
        </w:r>
        <w:r>
          <w:rPr>
            <w:noProof/>
            <w:webHidden/>
          </w:rPr>
          <w:fldChar w:fldCharType="end"/>
        </w:r>
      </w:hyperlink>
    </w:p>
    <w:p w:rsidR="000441D9" w:rsidRDefault="005C0E76">
      <w:pPr>
        <w:spacing w:after="200"/>
        <w:jc w:val="left"/>
        <w:rPr>
          <w:rFonts w:eastAsiaTheme="majorEastAsia" w:cstheme="majorBidi"/>
          <w:b/>
          <w:bCs/>
          <w:sz w:val="28"/>
          <w:szCs w:val="28"/>
        </w:rPr>
      </w:pPr>
      <w:r>
        <w:fldChar w:fldCharType="end"/>
      </w:r>
      <w:r w:rsidR="000441D9">
        <w:br w:type="page"/>
      </w:r>
    </w:p>
    <w:p w:rsidR="00E36351" w:rsidRDefault="00E36351" w:rsidP="000441D9">
      <w:pPr>
        <w:pStyle w:val="Heading1"/>
        <w:numPr>
          <w:ilvl w:val="0"/>
          <w:numId w:val="0"/>
        </w:numPr>
      </w:pPr>
      <w:bookmarkStart w:id="3" w:name="_Toc35333908"/>
      <w:r>
        <w:lastRenderedPageBreak/>
        <w:t>Abbreviations</w:t>
      </w:r>
      <w:r w:rsidR="000441D9">
        <w:t xml:space="preserve"> and Acronyms</w:t>
      </w:r>
      <w:bookmarkEnd w:id="3"/>
    </w:p>
    <w:p w:rsidR="00531E63" w:rsidRPr="00531E63" w:rsidRDefault="00531E63" w:rsidP="00531E63"/>
    <w:p w:rsidR="00ED364F" w:rsidRPr="00905D2D" w:rsidRDefault="00ED364F" w:rsidP="00ED364F">
      <w:r>
        <w:t>A</w:t>
      </w:r>
      <w:r w:rsidRPr="00905D2D">
        <w:rPr>
          <w:vertAlign w:val="subscript"/>
        </w:rPr>
        <w:t>260</w:t>
      </w:r>
      <w:r w:rsidR="00905D2D">
        <w:tab/>
      </w:r>
      <w:r w:rsidR="00905D2D">
        <w:tab/>
      </w:r>
      <w:r w:rsidR="00905D2D">
        <w:tab/>
      </w:r>
      <w:r w:rsidR="00905D2D">
        <w:tab/>
        <w:t>Absorbance at 260 nm</w:t>
      </w:r>
    </w:p>
    <w:p w:rsidR="00905D2D" w:rsidRDefault="00ED364F" w:rsidP="00905D2D">
      <w:r>
        <w:t>ACN</w:t>
      </w:r>
      <w:r w:rsidR="00905D2D">
        <w:tab/>
      </w:r>
      <w:r w:rsidR="00905D2D">
        <w:tab/>
      </w:r>
      <w:r w:rsidR="00905D2D">
        <w:tab/>
      </w:r>
      <w:r w:rsidR="00905D2D">
        <w:tab/>
        <w:t>Acetonitrile</w:t>
      </w:r>
    </w:p>
    <w:p w:rsidR="00905D2D" w:rsidRDefault="00905D2D" w:rsidP="00905D2D">
      <w:r>
        <w:t>AFM</w:t>
      </w:r>
      <w:r>
        <w:tab/>
      </w:r>
      <w:r>
        <w:tab/>
      </w:r>
      <w:r>
        <w:tab/>
      </w:r>
      <w:r>
        <w:tab/>
        <w:t>Atomic force microscopy</w:t>
      </w:r>
    </w:p>
    <w:p w:rsidR="00ED364F" w:rsidRDefault="00ED364F" w:rsidP="00905D2D">
      <w:r>
        <w:t>Ago-1</w:t>
      </w:r>
      <w:r w:rsidR="00905D2D">
        <w:tab/>
      </w:r>
      <w:r w:rsidR="00905D2D">
        <w:tab/>
      </w:r>
      <w:r w:rsidR="00905D2D">
        <w:tab/>
      </w:r>
      <w:r w:rsidR="00905D2D">
        <w:tab/>
        <w:t>Argonaute-1</w:t>
      </w:r>
    </w:p>
    <w:p w:rsidR="00ED364F" w:rsidRDefault="00ED364F" w:rsidP="00ED364F">
      <w:r>
        <w:t>Ago-2</w:t>
      </w:r>
      <w:r w:rsidR="00905D2D">
        <w:tab/>
      </w:r>
      <w:r w:rsidR="00905D2D">
        <w:tab/>
      </w:r>
      <w:r w:rsidR="00905D2D">
        <w:tab/>
      </w:r>
      <w:r w:rsidR="00905D2D">
        <w:tab/>
        <w:t>Argonaute-2</w:t>
      </w:r>
    </w:p>
    <w:p w:rsidR="00ED364F" w:rsidRDefault="00ED364F" w:rsidP="00ED364F">
      <w:r>
        <w:t>Ago-3</w:t>
      </w:r>
      <w:r w:rsidR="00905D2D">
        <w:tab/>
      </w:r>
      <w:r w:rsidR="00905D2D">
        <w:tab/>
      </w:r>
      <w:r w:rsidR="00905D2D">
        <w:tab/>
      </w:r>
      <w:r w:rsidR="00905D2D">
        <w:tab/>
        <w:t>Argonaute-3</w:t>
      </w:r>
    </w:p>
    <w:p w:rsidR="00ED364F" w:rsidRDefault="00ED364F" w:rsidP="00ED364F">
      <w:r>
        <w:t>Ago-4</w:t>
      </w:r>
      <w:r w:rsidR="00905D2D">
        <w:tab/>
      </w:r>
      <w:r w:rsidR="00905D2D">
        <w:tab/>
      </w:r>
      <w:r w:rsidR="00905D2D">
        <w:tab/>
      </w:r>
      <w:r w:rsidR="00905D2D">
        <w:tab/>
        <w:t>Argonaute-4</w:t>
      </w:r>
    </w:p>
    <w:p w:rsidR="00ED364F" w:rsidRDefault="00ED364F" w:rsidP="00ED364F">
      <w:r>
        <w:t>AMP</w:t>
      </w:r>
      <w:r w:rsidR="00905D2D">
        <w:tab/>
      </w:r>
      <w:r w:rsidR="00905D2D">
        <w:tab/>
      </w:r>
      <w:r w:rsidR="00905D2D">
        <w:tab/>
      </w:r>
      <w:r w:rsidR="00905D2D">
        <w:tab/>
        <w:t>Adenosine monophosphate</w:t>
      </w:r>
    </w:p>
    <w:p w:rsidR="00ED364F" w:rsidRDefault="00ED364F" w:rsidP="00ED364F">
      <w:r>
        <w:t>ATP</w:t>
      </w:r>
      <w:r w:rsidR="00905D2D">
        <w:tab/>
      </w:r>
      <w:r w:rsidR="00905D2D">
        <w:tab/>
      </w:r>
      <w:r w:rsidR="00905D2D">
        <w:tab/>
      </w:r>
      <w:r w:rsidR="00905D2D">
        <w:tab/>
        <w:t>Adenosine triphosphate</w:t>
      </w:r>
    </w:p>
    <w:p w:rsidR="00ED364F" w:rsidRDefault="00ED364F" w:rsidP="00ED364F"/>
    <w:p w:rsidR="00ED364F" w:rsidRDefault="00ED364F" w:rsidP="00ED364F">
      <w:r>
        <w:t>bp</w:t>
      </w:r>
      <w:r w:rsidR="00905D2D">
        <w:tab/>
      </w:r>
      <w:r w:rsidR="00905D2D">
        <w:tab/>
      </w:r>
      <w:r w:rsidR="00905D2D">
        <w:tab/>
      </w:r>
      <w:r w:rsidR="00905D2D">
        <w:tab/>
        <w:t>Base pair(s)</w:t>
      </w:r>
    </w:p>
    <w:p w:rsidR="00ED364F" w:rsidRDefault="00ED364F" w:rsidP="00ED364F">
      <w:r w:rsidRPr="00ED364F">
        <w:rPr>
          <w:i/>
        </w:rPr>
        <w:t>Bt</w:t>
      </w:r>
      <w:r>
        <w:tab/>
      </w:r>
      <w:r>
        <w:tab/>
      </w:r>
      <w:r w:rsidR="00905D2D">
        <w:tab/>
      </w:r>
      <w:r w:rsidR="00905D2D">
        <w:tab/>
      </w:r>
      <w:r w:rsidR="00905D2D" w:rsidRPr="00905D2D">
        <w:rPr>
          <w:i/>
        </w:rPr>
        <w:t>Bacillus thuringiensis</w:t>
      </w:r>
      <w:r w:rsidR="00905D2D">
        <w:t xml:space="preserve">  </w:t>
      </w:r>
    </w:p>
    <w:p w:rsidR="00ED364F" w:rsidRPr="00ED364F" w:rsidRDefault="00ED364F" w:rsidP="00ED364F"/>
    <w:p w:rsidR="00ED364F" w:rsidRDefault="00ED364F" w:rsidP="00ED364F">
      <w:pPr>
        <w:jc w:val="left"/>
      </w:pPr>
      <w:r w:rsidRPr="00ED364F">
        <w:rPr>
          <w:i/>
        </w:rPr>
        <w:t>C. elegans</w:t>
      </w:r>
      <w:r>
        <w:tab/>
      </w:r>
      <w:r w:rsidR="00905D2D">
        <w:tab/>
      </w:r>
      <w:r w:rsidR="00905D2D">
        <w:tab/>
      </w:r>
      <w:r w:rsidR="00905D2D" w:rsidRPr="00905D2D">
        <w:rPr>
          <w:i/>
        </w:rPr>
        <w:t>Caenorhabditis elegans</w:t>
      </w:r>
    </w:p>
    <w:p w:rsidR="00ED364F" w:rsidRDefault="00ED364F" w:rsidP="00ED364F">
      <w:pPr>
        <w:jc w:val="left"/>
      </w:pPr>
      <w:r>
        <w:t>CPB</w:t>
      </w:r>
      <w:r w:rsidR="00905D2D">
        <w:tab/>
      </w:r>
      <w:r w:rsidR="00905D2D">
        <w:tab/>
      </w:r>
      <w:r w:rsidR="00905D2D">
        <w:tab/>
      </w:r>
      <w:r w:rsidR="00905D2D">
        <w:tab/>
        <w:t>Colorado potato beetle</w:t>
      </w:r>
      <w:r w:rsidR="000B6791">
        <w:t xml:space="preserve"> (</w:t>
      </w:r>
      <w:r w:rsidR="000B6791" w:rsidRPr="000B6791">
        <w:rPr>
          <w:i/>
        </w:rPr>
        <w:t>Leptinotarsa decemlineata</w:t>
      </w:r>
      <w:r w:rsidR="000B6791">
        <w:t>)</w:t>
      </w:r>
    </w:p>
    <w:p w:rsidR="00905D2D" w:rsidRDefault="00ED364F" w:rsidP="00905D2D">
      <w:r>
        <w:t>CTP</w:t>
      </w:r>
      <w:r w:rsidR="00905D2D">
        <w:tab/>
      </w:r>
      <w:r w:rsidR="00905D2D">
        <w:tab/>
      </w:r>
      <w:r w:rsidR="00905D2D">
        <w:tab/>
      </w:r>
      <w:r w:rsidR="00905D2D">
        <w:tab/>
        <w:t>Cytidine triphosphate</w:t>
      </w:r>
    </w:p>
    <w:p w:rsidR="00ED364F" w:rsidRDefault="00ED364F" w:rsidP="00ED364F">
      <w:pPr>
        <w:jc w:val="left"/>
      </w:pPr>
    </w:p>
    <w:p w:rsidR="00ED364F" w:rsidRDefault="00ED364F" w:rsidP="00ED364F">
      <w:pPr>
        <w:jc w:val="left"/>
      </w:pPr>
      <w:r>
        <w:t>D</w:t>
      </w:r>
      <w:r>
        <w:tab/>
      </w:r>
      <w:r>
        <w:tab/>
      </w:r>
      <w:r w:rsidR="00905D2D">
        <w:tab/>
      </w:r>
      <w:r w:rsidR="00905D2D">
        <w:tab/>
        <w:t>A</w:t>
      </w:r>
      <w:r>
        <w:t>spart</w:t>
      </w:r>
      <w:r w:rsidR="00905D2D">
        <w:t>ic acid</w:t>
      </w:r>
    </w:p>
    <w:p w:rsidR="00905D2D" w:rsidRDefault="00905D2D" w:rsidP="00905D2D">
      <w:pPr>
        <w:jc w:val="left"/>
      </w:pPr>
      <w:r>
        <w:t>dATP</w:t>
      </w:r>
      <w:r>
        <w:tab/>
      </w:r>
      <w:r>
        <w:tab/>
      </w:r>
      <w:r>
        <w:tab/>
      </w:r>
      <w:r>
        <w:tab/>
        <w:t>deoxy</w:t>
      </w:r>
      <w:r w:rsidR="00F7717F">
        <w:t>a</w:t>
      </w:r>
      <w:r>
        <w:t>denosine triphosphate</w:t>
      </w:r>
    </w:p>
    <w:p w:rsidR="00ED364F" w:rsidRDefault="00ED364F" w:rsidP="00ED364F">
      <w:pPr>
        <w:jc w:val="left"/>
      </w:pPr>
      <w:r>
        <w:t>D-Coe</w:t>
      </w:r>
      <w:r w:rsidRPr="00ED364F">
        <w:t xml:space="preserve"> </w:t>
      </w:r>
      <w:r w:rsidR="00F7717F">
        <w:tab/>
      </w:r>
      <w:r w:rsidR="00F7717F">
        <w:tab/>
      </w:r>
      <w:r w:rsidR="00F7717F">
        <w:tab/>
      </w:r>
      <w:r w:rsidR="00F7717F">
        <w:tab/>
        <w:t>D-Coelenterazin</w:t>
      </w:r>
    </w:p>
    <w:p w:rsidR="00ED364F" w:rsidRDefault="00ED364F" w:rsidP="00ED364F">
      <w:pPr>
        <w:jc w:val="left"/>
      </w:pPr>
      <w:r>
        <w:t>dCTP</w:t>
      </w:r>
      <w:r w:rsidR="00F7717F">
        <w:tab/>
      </w:r>
      <w:r w:rsidR="00F7717F">
        <w:tab/>
      </w:r>
      <w:r w:rsidR="00F7717F">
        <w:tab/>
      </w:r>
      <w:r w:rsidR="00F7717F">
        <w:tab/>
        <w:t>deoxycytidine triphosphate</w:t>
      </w:r>
    </w:p>
    <w:p w:rsidR="00ED364F" w:rsidRDefault="00ED364F" w:rsidP="00ED364F">
      <w:pPr>
        <w:jc w:val="left"/>
      </w:pPr>
      <w:r>
        <w:t>Dcr-1</w:t>
      </w:r>
      <w:r w:rsidR="00F7717F">
        <w:tab/>
      </w:r>
      <w:r w:rsidR="00F7717F">
        <w:tab/>
      </w:r>
      <w:r w:rsidR="00F7717F">
        <w:tab/>
      </w:r>
      <w:r w:rsidR="00F7717F">
        <w:tab/>
        <w:t>Dicer-1</w:t>
      </w:r>
    </w:p>
    <w:p w:rsidR="00ED364F" w:rsidRDefault="00ED364F" w:rsidP="00ED364F">
      <w:pPr>
        <w:jc w:val="left"/>
      </w:pPr>
      <w:r>
        <w:t>Dcr-2</w:t>
      </w:r>
      <w:r w:rsidR="00F7717F">
        <w:tab/>
      </w:r>
      <w:r w:rsidR="00F7717F">
        <w:tab/>
      </w:r>
      <w:r w:rsidR="00F7717F">
        <w:tab/>
      </w:r>
      <w:r w:rsidR="00F7717F">
        <w:tab/>
        <w:t>Dicer-2</w:t>
      </w:r>
    </w:p>
    <w:p w:rsidR="00ED364F" w:rsidRDefault="00ED364F" w:rsidP="00ED364F">
      <w:pPr>
        <w:jc w:val="left"/>
      </w:pPr>
      <w:r>
        <w:t>DDT</w:t>
      </w:r>
      <w:r w:rsidR="00F7717F">
        <w:tab/>
      </w:r>
      <w:r w:rsidR="00F7717F">
        <w:tab/>
      </w:r>
      <w:r w:rsidR="00F7717F">
        <w:tab/>
      </w:r>
      <w:r w:rsidR="00F7717F">
        <w:tab/>
        <w:t>Dichlorodiphenyltrichloroethane</w:t>
      </w:r>
    </w:p>
    <w:p w:rsidR="00ED364F" w:rsidRDefault="00ED364F" w:rsidP="00ED364F">
      <w:pPr>
        <w:jc w:val="left"/>
      </w:pPr>
      <w:r>
        <w:t>DGRC</w:t>
      </w:r>
      <w:r w:rsidR="00F7717F">
        <w:tab/>
      </w:r>
      <w:r w:rsidR="00F7717F">
        <w:tab/>
      </w:r>
      <w:r w:rsidR="00F7717F">
        <w:tab/>
      </w:r>
      <w:r w:rsidR="00F7717F">
        <w:tab/>
      </w:r>
      <w:r w:rsidR="00F7717F" w:rsidRPr="00F7717F">
        <w:rPr>
          <w:i/>
        </w:rPr>
        <w:t>Drosophila</w:t>
      </w:r>
      <w:r w:rsidR="00F7717F">
        <w:t xml:space="preserve"> Genomics Resource Centre</w:t>
      </w:r>
    </w:p>
    <w:p w:rsidR="00ED364F" w:rsidRDefault="00ED364F" w:rsidP="00ED364F">
      <w:pPr>
        <w:jc w:val="left"/>
      </w:pPr>
      <w:r>
        <w:t>dGTP</w:t>
      </w:r>
      <w:r w:rsidR="00F7717F">
        <w:tab/>
      </w:r>
      <w:r w:rsidR="00F7717F">
        <w:tab/>
      </w:r>
      <w:r w:rsidR="00F7717F">
        <w:tab/>
      </w:r>
      <w:r w:rsidR="00F7717F">
        <w:tab/>
        <w:t>deoxyguanosine triphosphate</w:t>
      </w:r>
    </w:p>
    <w:p w:rsidR="00ED364F" w:rsidRDefault="00ED364F" w:rsidP="00ED364F">
      <w:pPr>
        <w:jc w:val="left"/>
      </w:pPr>
      <w:r>
        <w:t>D-Luc</w:t>
      </w:r>
      <w:r w:rsidR="00F7717F">
        <w:tab/>
      </w:r>
      <w:r w:rsidR="00F7717F">
        <w:tab/>
      </w:r>
      <w:r w:rsidR="00F7717F">
        <w:tab/>
      </w:r>
      <w:r w:rsidR="00F7717F">
        <w:tab/>
        <w:t>D-Luciferin</w:t>
      </w:r>
    </w:p>
    <w:p w:rsidR="00F7717F" w:rsidRPr="00ED364F" w:rsidRDefault="00F7717F" w:rsidP="00F7717F">
      <w:pPr>
        <w:jc w:val="left"/>
        <w:rPr>
          <w:i/>
        </w:rPr>
      </w:pPr>
      <w:r w:rsidRPr="00ED364F">
        <w:rPr>
          <w:i/>
        </w:rPr>
        <w:t xml:space="preserve">D. melanogaster </w:t>
      </w:r>
      <w:r>
        <w:rPr>
          <w:i/>
        </w:rPr>
        <w:tab/>
      </w:r>
      <w:r>
        <w:rPr>
          <w:i/>
        </w:rPr>
        <w:tab/>
      </w:r>
      <w:r w:rsidRPr="00ED364F">
        <w:rPr>
          <w:i/>
        </w:rPr>
        <w:t>Drosophila</w:t>
      </w:r>
      <w:r>
        <w:rPr>
          <w:i/>
        </w:rPr>
        <w:t xml:space="preserve"> </w:t>
      </w:r>
      <w:r w:rsidRPr="00ED364F">
        <w:rPr>
          <w:i/>
        </w:rPr>
        <w:t>melanogaster</w:t>
      </w:r>
      <w:r>
        <w:rPr>
          <w:i/>
        </w:rPr>
        <w:t xml:space="preserve"> </w:t>
      </w:r>
      <w:r>
        <w:t>(fruit fly)</w:t>
      </w:r>
    </w:p>
    <w:p w:rsidR="00ED364F" w:rsidRDefault="00ED364F" w:rsidP="00ED364F">
      <w:pPr>
        <w:jc w:val="left"/>
      </w:pPr>
      <w:r>
        <w:t>DNA</w:t>
      </w:r>
      <w:r w:rsidR="00F7717F">
        <w:tab/>
      </w:r>
      <w:r w:rsidR="00F7717F">
        <w:tab/>
      </w:r>
      <w:r w:rsidR="00F7717F">
        <w:tab/>
      </w:r>
      <w:r w:rsidR="00F7717F">
        <w:tab/>
        <w:t>Deoxyribonucleic acid</w:t>
      </w:r>
    </w:p>
    <w:p w:rsidR="00ED364F" w:rsidRDefault="00ED364F" w:rsidP="00ED364F">
      <w:pPr>
        <w:jc w:val="left"/>
      </w:pPr>
      <w:r>
        <w:t>DNase</w:t>
      </w:r>
      <w:r w:rsidR="00F7717F">
        <w:tab/>
      </w:r>
      <w:r w:rsidR="00F7717F">
        <w:tab/>
      </w:r>
      <w:r w:rsidR="00F7717F">
        <w:tab/>
      </w:r>
      <w:r w:rsidR="00F7717F">
        <w:tab/>
        <w:t>Deoxyribonuclease</w:t>
      </w:r>
    </w:p>
    <w:p w:rsidR="00ED364F" w:rsidRDefault="00ED364F" w:rsidP="00ED364F">
      <w:pPr>
        <w:jc w:val="left"/>
      </w:pPr>
      <w:r>
        <w:t>dNTP</w:t>
      </w:r>
      <w:r w:rsidR="00F7717F">
        <w:tab/>
      </w:r>
      <w:r w:rsidR="00F7717F">
        <w:tab/>
      </w:r>
      <w:r w:rsidR="00F7717F">
        <w:tab/>
      </w:r>
      <w:r w:rsidR="00F7717F">
        <w:tab/>
        <w:t>Deoxynucleotide triphosphate</w:t>
      </w:r>
    </w:p>
    <w:p w:rsidR="00ED364F" w:rsidRDefault="00ED364F" w:rsidP="00ED364F">
      <w:pPr>
        <w:jc w:val="left"/>
      </w:pPr>
      <w:r>
        <w:t>Dome</w:t>
      </w:r>
      <w:r w:rsidR="00F7717F">
        <w:tab/>
      </w:r>
      <w:r w:rsidR="00F7717F">
        <w:tab/>
      </w:r>
      <w:r w:rsidR="00F7717F">
        <w:tab/>
      </w:r>
      <w:r w:rsidR="00F7717F">
        <w:tab/>
        <w:t>Domeless</w:t>
      </w:r>
    </w:p>
    <w:p w:rsidR="00F7717F" w:rsidRPr="00F7717F" w:rsidRDefault="00ED364F" w:rsidP="00F7717F">
      <w:pPr>
        <w:jc w:val="left"/>
      </w:pPr>
      <w:r w:rsidRPr="00ED364F">
        <w:rPr>
          <w:i/>
        </w:rPr>
        <w:t>Drosophila</w:t>
      </w:r>
      <w:r w:rsidR="00F7717F">
        <w:rPr>
          <w:i/>
        </w:rPr>
        <w:tab/>
      </w:r>
      <w:r w:rsidR="00F7717F">
        <w:rPr>
          <w:i/>
        </w:rPr>
        <w:tab/>
      </w:r>
      <w:r w:rsidR="00F7717F">
        <w:rPr>
          <w:i/>
        </w:rPr>
        <w:tab/>
      </w:r>
      <w:r w:rsidR="00F7717F" w:rsidRPr="00ED364F">
        <w:rPr>
          <w:i/>
        </w:rPr>
        <w:t>Drosophila</w:t>
      </w:r>
      <w:r w:rsidR="00F7717F">
        <w:rPr>
          <w:i/>
        </w:rPr>
        <w:t xml:space="preserve"> </w:t>
      </w:r>
      <w:r w:rsidR="00F7717F" w:rsidRPr="00ED364F">
        <w:rPr>
          <w:i/>
        </w:rPr>
        <w:t>melanogaster</w:t>
      </w:r>
      <w:r w:rsidR="00F7717F">
        <w:rPr>
          <w:i/>
        </w:rPr>
        <w:t xml:space="preserve"> </w:t>
      </w:r>
      <w:r w:rsidR="00F7717F">
        <w:t>(fruit fly)</w:t>
      </w:r>
    </w:p>
    <w:p w:rsidR="00ED364F" w:rsidRDefault="00ED364F" w:rsidP="00ED364F">
      <w:pPr>
        <w:jc w:val="left"/>
      </w:pPr>
      <w:r>
        <w:t>ds</w:t>
      </w:r>
      <w:r w:rsidR="00F7717F">
        <w:tab/>
      </w:r>
      <w:r w:rsidR="00F7717F">
        <w:tab/>
      </w:r>
      <w:r w:rsidR="00F7717F">
        <w:tab/>
      </w:r>
      <w:r w:rsidR="00F7717F">
        <w:tab/>
        <w:t>Double stranded</w:t>
      </w:r>
    </w:p>
    <w:p w:rsidR="00ED364F" w:rsidRDefault="00ED364F" w:rsidP="00ED364F">
      <w:pPr>
        <w:jc w:val="left"/>
      </w:pPr>
      <w:r>
        <w:t>dsRBD</w:t>
      </w:r>
      <w:r w:rsidR="00F7717F">
        <w:tab/>
      </w:r>
      <w:r w:rsidR="00F7717F">
        <w:tab/>
      </w:r>
      <w:r w:rsidR="00F7717F">
        <w:tab/>
      </w:r>
      <w:r w:rsidR="00F7717F">
        <w:tab/>
        <w:t>Double stranded RNA binding domain</w:t>
      </w:r>
    </w:p>
    <w:p w:rsidR="00ED364F" w:rsidRDefault="00ED364F" w:rsidP="00ED364F">
      <w:pPr>
        <w:jc w:val="left"/>
      </w:pPr>
      <w:r>
        <w:t>dsRNA</w:t>
      </w:r>
      <w:r w:rsidR="00F7717F">
        <w:tab/>
      </w:r>
      <w:r w:rsidR="00F7717F">
        <w:tab/>
      </w:r>
      <w:r w:rsidR="00F7717F">
        <w:tab/>
      </w:r>
      <w:r w:rsidR="00F7717F">
        <w:tab/>
        <w:t>Double stranded RNA</w:t>
      </w:r>
    </w:p>
    <w:p w:rsidR="00ED364F" w:rsidRDefault="00ED364F" w:rsidP="00ED364F">
      <w:pPr>
        <w:jc w:val="left"/>
      </w:pPr>
      <w:r>
        <w:t>DTT</w:t>
      </w:r>
      <w:r w:rsidR="00F7717F">
        <w:tab/>
      </w:r>
      <w:r w:rsidR="00F7717F">
        <w:tab/>
      </w:r>
      <w:r w:rsidR="00F7717F">
        <w:tab/>
      </w:r>
      <w:r w:rsidR="00F7717F">
        <w:tab/>
        <w:t>Dithiothreitol</w:t>
      </w:r>
    </w:p>
    <w:p w:rsidR="00F7717F" w:rsidRDefault="00ED364F" w:rsidP="00F7717F">
      <w:pPr>
        <w:jc w:val="left"/>
      </w:pPr>
      <w:r>
        <w:t>dTTP</w:t>
      </w:r>
      <w:r w:rsidR="00F7717F">
        <w:tab/>
      </w:r>
      <w:r w:rsidR="00F7717F">
        <w:tab/>
      </w:r>
      <w:r w:rsidR="00F7717F">
        <w:tab/>
      </w:r>
      <w:r w:rsidR="00F7717F">
        <w:tab/>
        <w:t>Deoxythymidine triphosphate</w:t>
      </w:r>
    </w:p>
    <w:p w:rsidR="00ED364F" w:rsidRDefault="00ED364F" w:rsidP="00ED364F">
      <w:pPr>
        <w:jc w:val="left"/>
      </w:pPr>
      <w:r>
        <w:t>DUF</w:t>
      </w:r>
      <w:r w:rsidR="00F7717F">
        <w:tab/>
      </w:r>
      <w:r w:rsidR="00F7717F">
        <w:tab/>
      </w:r>
      <w:r w:rsidR="00F7717F">
        <w:tab/>
      </w:r>
      <w:r w:rsidR="00F7717F">
        <w:tab/>
        <w:t>Domain of unknown function</w:t>
      </w:r>
    </w:p>
    <w:p w:rsidR="00ED364F" w:rsidRDefault="00ED364F" w:rsidP="00ED364F">
      <w:pPr>
        <w:jc w:val="left"/>
      </w:pPr>
      <w:r w:rsidRPr="00ED364F">
        <w:rPr>
          <w:i/>
        </w:rPr>
        <w:t>D. v. virgifera</w:t>
      </w:r>
      <w:r w:rsidR="00F7717F">
        <w:rPr>
          <w:i/>
        </w:rPr>
        <w:tab/>
      </w:r>
      <w:r w:rsidR="00F7717F">
        <w:rPr>
          <w:i/>
        </w:rPr>
        <w:tab/>
      </w:r>
      <w:r w:rsidR="00F7717F">
        <w:rPr>
          <w:i/>
        </w:rPr>
        <w:tab/>
        <w:t xml:space="preserve">Diabrotica virgifera virgifera </w:t>
      </w:r>
      <w:r w:rsidR="00F7717F">
        <w:t>(Western corn rootworm)</w:t>
      </w:r>
    </w:p>
    <w:p w:rsidR="00FC71BD" w:rsidRPr="00F7717F" w:rsidRDefault="00FC71BD" w:rsidP="00ED364F">
      <w:pPr>
        <w:jc w:val="left"/>
      </w:pPr>
    </w:p>
    <w:p w:rsidR="00ED364F" w:rsidRDefault="00ED364F" w:rsidP="00ED364F">
      <w:pPr>
        <w:jc w:val="left"/>
      </w:pPr>
      <w:r>
        <w:t>E</w:t>
      </w:r>
      <w:r>
        <w:tab/>
      </w:r>
      <w:r>
        <w:tab/>
      </w:r>
      <w:r>
        <w:tab/>
      </w:r>
      <w:r w:rsidR="00FC71BD">
        <w:tab/>
      </w:r>
      <w:r>
        <w:t>Glutamic acid</w:t>
      </w:r>
    </w:p>
    <w:p w:rsidR="00ED364F" w:rsidRDefault="00ED364F" w:rsidP="00ED364F">
      <w:pPr>
        <w:jc w:val="left"/>
      </w:pPr>
      <w:r>
        <w:t>EC50</w:t>
      </w:r>
      <w:r w:rsidR="00FC71BD">
        <w:tab/>
      </w:r>
      <w:r w:rsidR="00FC71BD">
        <w:tab/>
      </w:r>
      <w:r w:rsidR="00FC71BD">
        <w:tab/>
      </w:r>
      <w:r w:rsidR="00FC71BD">
        <w:tab/>
        <w:t xml:space="preserve">Half maximal </w:t>
      </w:r>
      <w:r w:rsidR="00FC71BD" w:rsidRPr="00FC71BD">
        <w:rPr>
          <w:u w:val="single"/>
        </w:rPr>
        <w:t>e</w:t>
      </w:r>
      <w:r w:rsidR="00FC71BD">
        <w:t xml:space="preserve">ffective </w:t>
      </w:r>
      <w:r w:rsidR="00FC71BD" w:rsidRPr="00FC71BD">
        <w:rPr>
          <w:u w:val="single"/>
        </w:rPr>
        <w:t>c</w:t>
      </w:r>
      <w:r w:rsidR="00FC71BD">
        <w:t>oncentration</w:t>
      </w:r>
    </w:p>
    <w:p w:rsidR="00ED364F" w:rsidRPr="00ED364F" w:rsidRDefault="00ED364F" w:rsidP="00ED364F">
      <w:pPr>
        <w:jc w:val="left"/>
        <w:rPr>
          <w:i/>
        </w:rPr>
      </w:pPr>
      <w:r w:rsidRPr="00ED364F">
        <w:rPr>
          <w:i/>
        </w:rPr>
        <w:lastRenderedPageBreak/>
        <w:t>E. coli</w:t>
      </w:r>
      <w:r w:rsidR="00FC71BD">
        <w:rPr>
          <w:i/>
        </w:rPr>
        <w:tab/>
      </w:r>
      <w:r w:rsidR="00FC71BD">
        <w:rPr>
          <w:i/>
        </w:rPr>
        <w:tab/>
      </w:r>
      <w:r w:rsidR="00FC71BD">
        <w:rPr>
          <w:i/>
        </w:rPr>
        <w:tab/>
      </w:r>
      <w:r w:rsidR="00FC71BD">
        <w:rPr>
          <w:i/>
        </w:rPr>
        <w:tab/>
        <w:t>Escherichia coli</w:t>
      </w:r>
    </w:p>
    <w:p w:rsidR="00ED364F" w:rsidRDefault="00ED364F" w:rsidP="00ED364F">
      <w:pPr>
        <w:jc w:val="left"/>
      </w:pPr>
      <w:r>
        <w:t>EDTA</w:t>
      </w:r>
      <w:r w:rsidR="00FC71BD">
        <w:tab/>
      </w:r>
      <w:r w:rsidR="00FC71BD">
        <w:tab/>
      </w:r>
      <w:r w:rsidR="00FC71BD">
        <w:tab/>
      </w:r>
      <w:r w:rsidR="00FC71BD">
        <w:tab/>
        <w:t>Ethylenediaminetetraacetic acid</w:t>
      </w:r>
    </w:p>
    <w:p w:rsidR="00ED364F" w:rsidRDefault="00ED364F" w:rsidP="00ED364F">
      <w:pPr>
        <w:jc w:val="left"/>
      </w:pPr>
      <w:r>
        <w:t>endoND</w:t>
      </w:r>
      <w:r>
        <w:tab/>
      </w:r>
      <w:r>
        <w:tab/>
      </w:r>
      <w:r w:rsidR="00FC71BD">
        <w:tab/>
      </w:r>
      <w:r>
        <w:t>Endo</w:t>
      </w:r>
      <w:r w:rsidR="00FC71BD">
        <w:t>ribo</w:t>
      </w:r>
      <w:r>
        <w:t>nuclease domain</w:t>
      </w:r>
    </w:p>
    <w:p w:rsidR="00ED364F" w:rsidRDefault="00ED364F" w:rsidP="00ED364F">
      <w:pPr>
        <w:jc w:val="left"/>
      </w:pPr>
      <w:r>
        <w:t>esiRNA</w:t>
      </w:r>
      <w:r>
        <w:tab/>
      </w:r>
      <w:r>
        <w:tab/>
      </w:r>
      <w:r>
        <w:tab/>
      </w:r>
      <w:r w:rsidR="00FC71BD">
        <w:tab/>
      </w:r>
      <w:r>
        <w:t>Endoribonuclease-prepared siRNA</w:t>
      </w:r>
    </w:p>
    <w:p w:rsidR="00ED364F" w:rsidRDefault="00ED364F" w:rsidP="00ED364F">
      <w:pPr>
        <w:jc w:val="left"/>
      </w:pPr>
      <w:r>
        <w:t>EPA</w:t>
      </w:r>
      <w:r>
        <w:tab/>
      </w:r>
      <w:r>
        <w:tab/>
      </w:r>
      <w:r>
        <w:tab/>
      </w:r>
      <w:r w:rsidR="00FC71BD">
        <w:tab/>
      </w:r>
      <w:r>
        <w:t>Environmental Protection Agency (US)</w:t>
      </w:r>
    </w:p>
    <w:p w:rsidR="00ED364F" w:rsidRDefault="00ED364F" w:rsidP="00ED364F">
      <w:pPr>
        <w:jc w:val="left"/>
      </w:pPr>
      <w:r>
        <w:t>EtBr</w:t>
      </w:r>
      <w:r>
        <w:tab/>
      </w:r>
      <w:r>
        <w:tab/>
      </w:r>
      <w:r>
        <w:tab/>
      </w:r>
      <w:r w:rsidR="00FC71BD">
        <w:tab/>
      </w:r>
      <w:r>
        <w:t>Ethidium bromide</w:t>
      </w:r>
    </w:p>
    <w:p w:rsidR="00ED364F" w:rsidRDefault="00ED364F" w:rsidP="00ED364F">
      <w:pPr>
        <w:jc w:val="left"/>
      </w:pPr>
    </w:p>
    <w:p w:rsidR="00ED364F" w:rsidRDefault="00ED364F" w:rsidP="00ED364F">
      <w:pPr>
        <w:jc w:val="left"/>
      </w:pPr>
      <w:r>
        <w:t>2’F</w:t>
      </w:r>
      <w:r w:rsidR="00FC71BD">
        <w:tab/>
      </w:r>
      <w:r w:rsidR="00FC71BD">
        <w:tab/>
      </w:r>
      <w:r w:rsidR="00FC71BD">
        <w:tab/>
      </w:r>
      <w:r w:rsidR="00FC71BD">
        <w:tab/>
        <w:t>2’-Fluoro</w:t>
      </w:r>
    </w:p>
    <w:p w:rsidR="00ED364F" w:rsidRDefault="00ED364F" w:rsidP="00ED364F">
      <w:pPr>
        <w:jc w:val="left"/>
      </w:pPr>
      <w:r>
        <w:t>FBS</w:t>
      </w:r>
      <w:r w:rsidR="00FC71BD">
        <w:tab/>
      </w:r>
      <w:r w:rsidR="00FC71BD">
        <w:tab/>
      </w:r>
      <w:r w:rsidR="00FC71BD">
        <w:tab/>
      </w:r>
      <w:r w:rsidR="00FC71BD">
        <w:tab/>
        <w:t>Foetal bovine serum</w:t>
      </w:r>
    </w:p>
    <w:p w:rsidR="00ED364F" w:rsidRDefault="00ED364F" w:rsidP="00ED364F">
      <w:pPr>
        <w:jc w:val="left"/>
      </w:pPr>
      <w:r>
        <w:t>FDA</w:t>
      </w:r>
      <w:r w:rsidR="00FC71BD">
        <w:tab/>
      </w:r>
      <w:r w:rsidR="00FC71BD">
        <w:tab/>
      </w:r>
      <w:r w:rsidR="00FC71BD">
        <w:tab/>
      </w:r>
      <w:r w:rsidR="00FC71BD">
        <w:tab/>
        <w:t>Food and Drug Administration (US)</w:t>
      </w:r>
    </w:p>
    <w:p w:rsidR="00ED364F" w:rsidRDefault="00ED364F" w:rsidP="00ED364F">
      <w:pPr>
        <w:jc w:val="left"/>
      </w:pPr>
      <w:r>
        <w:t>FL</w:t>
      </w:r>
      <w:r w:rsidR="00FC71BD">
        <w:tab/>
      </w:r>
      <w:r w:rsidR="00FC71BD">
        <w:tab/>
      </w:r>
      <w:r w:rsidR="00FC71BD">
        <w:tab/>
      </w:r>
      <w:r w:rsidR="00FC71BD">
        <w:tab/>
        <w:t>Firefly luciferase (luminescence)</w:t>
      </w:r>
    </w:p>
    <w:p w:rsidR="00ED364F" w:rsidRDefault="00ED364F" w:rsidP="00ED364F">
      <w:pPr>
        <w:jc w:val="left"/>
      </w:pPr>
      <w:r>
        <w:t>FLuc</w:t>
      </w:r>
      <w:r w:rsidR="00FC71BD">
        <w:tab/>
      </w:r>
      <w:r w:rsidR="00FC71BD">
        <w:tab/>
      </w:r>
      <w:r w:rsidR="00FC71BD">
        <w:tab/>
      </w:r>
      <w:r w:rsidR="00FC71BD">
        <w:tab/>
        <w:t>Firefly luciferase dsRNA</w:t>
      </w:r>
    </w:p>
    <w:p w:rsidR="00ED364F" w:rsidRDefault="00ED364F" w:rsidP="00ED364F">
      <w:pPr>
        <w:jc w:val="left"/>
      </w:pPr>
    </w:p>
    <w:p w:rsidR="00ED364F" w:rsidRDefault="00ED364F" w:rsidP="00ED364F">
      <w:pPr>
        <w:jc w:val="left"/>
      </w:pPr>
      <w:r>
        <w:t>GC (content)</w:t>
      </w:r>
      <w:r w:rsidR="00FC71BD">
        <w:tab/>
      </w:r>
      <w:r w:rsidR="00FC71BD">
        <w:tab/>
      </w:r>
      <w:r w:rsidR="00FC71BD">
        <w:tab/>
        <w:t>Guanosine/cytidine content</w:t>
      </w:r>
    </w:p>
    <w:p w:rsidR="00ED364F" w:rsidRDefault="00ED364F" w:rsidP="00ED364F">
      <w:pPr>
        <w:jc w:val="left"/>
      </w:pPr>
      <w:r>
        <w:t>gDNA</w:t>
      </w:r>
      <w:r w:rsidR="00FC71BD">
        <w:tab/>
      </w:r>
      <w:r w:rsidR="00FC71BD">
        <w:tab/>
      </w:r>
      <w:r w:rsidR="00FC71BD">
        <w:tab/>
      </w:r>
      <w:r w:rsidR="00FC71BD">
        <w:tab/>
        <w:t>Genomic DNA</w:t>
      </w:r>
    </w:p>
    <w:p w:rsidR="00ED364F" w:rsidRDefault="00ED364F" w:rsidP="00ED364F">
      <w:pPr>
        <w:jc w:val="left"/>
      </w:pPr>
      <w:r>
        <w:t>GFP (EGFP)</w:t>
      </w:r>
      <w:r w:rsidR="00FC71BD">
        <w:tab/>
      </w:r>
      <w:r w:rsidR="00FC71BD">
        <w:tab/>
      </w:r>
      <w:r w:rsidR="00FC71BD">
        <w:tab/>
        <w:t>Green fluorescent protein</w:t>
      </w:r>
    </w:p>
    <w:p w:rsidR="00FC71BD" w:rsidRPr="00ED364F" w:rsidRDefault="00ED364F" w:rsidP="00FC71BD">
      <w:pPr>
        <w:jc w:val="left"/>
        <w:rPr>
          <w:i/>
        </w:rPr>
      </w:pPr>
      <w:r w:rsidRPr="00ED364F">
        <w:rPr>
          <w:i/>
        </w:rPr>
        <w:t>Giardia</w:t>
      </w:r>
      <w:r w:rsidR="00FC71BD">
        <w:rPr>
          <w:i/>
        </w:rPr>
        <w:tab/>
      </w:r>
      <w:r w:rsidR="00FC71BD">
        <w:rPr>
          <w:i/>
        </w:rPr>
        <w:tab/>
      </w:r>
      <w:r w:rsidR="00FC71BD">
        <w:rPr>
          <w:i/>
        </w:rPr>
        <w:tab/>
      </w:r>
      <w:r w:rsidR="00FC71BD">
        <w:rPr>
          <w:i/>
        </w:rPr>
        <w:tab/>
      </w:r>
      <w:r w:rsidR="00FC71BD" w:rsidRPr="00ED364F">
        <w:rPr>
          <w:i/>
        </w:rPr>
        <w:t>Giardia</w:t>
      </w:r>
      <w:r w:rsidR="00FC71BD">
        <w:rPr>
          <w:i/>
        </w:rPr>
        <w:tab/>
      </w:r>
      <w:r w:rsidR="00FC71BD" w:rsidRPr="00ED364F">
        <w:rPr>
          <w:i/>
        </w:rPr>
        <w:t>intestinalis</w:t>
      </w:r>
    </w:p>
    <w:p w:rsidR="00ED364F" w:rsidRDefault="00ED364F" w:rsidP="00ED364F">
      <w:pPr>
        <w:jc w:val="left"/>
        <w:rPr>
          <w:i/>
        </w:rPr>
      </w:pPr>
      <w:r w:rsidRPr="00ED364F">
        <w:rPr>
          <w:i/>
        </w:rPr>
        <w:t>G. intestinalis</w:t>
      </w:r>
      <w:r w:rsidR="00FC71BD">
        <w:rPr>
          <w:i/>
        </w:rPr>
        <w:tab/>
      </w:r>
      <w:r w:rsidR="00FC71BD">
        <w:rPr>
          <w:i/>
        </w:rPr>
        <w:tab/>
      </w:r>
      <w:r w:rsidR="00FC71BD">
        <w:rPr>
          <w:i/>
        </w:rPr>
        <w:tab/>
      </w:r>
      <w:r w:rsidR="00FC71BD" w:rsidRPr="00ED364F">
        <w:rPr>
          <w:i/>
        </w:rPr>
        <w:t>Giardia</w:t>
      </w:r>
      <w:r w:rsidR="00FC71BD">
        <w:rPr>
          <w:i/>
        </w:rPr>
        <w:tab/>
      </w:r>
      <w:r w:rsidR="00FC71BD" w:rsidRPr="00ED364F">
        <w:rPr>
          <w:i/>
        </w:rPr>
        <w:t>intestinalis</w:t>
      </w:r>
    </w:p>
    <w:p w:rsidR="00ED364F" w:rsidRPr="00ED364F" w:rsidRDefault="00ED364F" w:rsidP="00ED364F">
      <w:pPr>
        <w:jc w:val="left"/>
      </w:pPr>
      <w:r>
        <w:t>Gluc-HMdC</w:t>
      </w:r>
      <w:r w:rsidR="00FC71BD">
        <w:tab/>
      </w:r>
      <w:r w:rsidR="00FC71BD">
        <w:tab/>
      </w:r>
      <w:r w:rsidR="00FC71BD">
        <w:tab/>
        <w:t>Glucose hydroxymethylcytidine</w:t>
      </w:r>
    </w:p>
    <w:p w:rsidR="00ED364F" w:rsidRDefault="00ED364F" w:rsidP="00ED364F">
      <w:pPr>
        <w:jc w:val="left"/>
      </w:pPr>
      <w:r>
        <w:t>GTP</w:t>
      </w:r>
      <w:r w:rsidR="00FC71BD">
        <w:tab/>
      </w:r>
      <w:r w:rsidR="00FC71BD">
        <w:tab/>
      </w:r>
      <w:r w:rsidR="00FC71BD">
        <w:tab/>
      </w:r>
      <w:r w:rsidR="00FC71BD">
        <w:tab/>
        <w:t>Guanosine triphosphate</w:t>
      </w:r>
    </w:p>
    <w:p w:rsidR="00ED364F" w:rsidRDefault="00ED364F" w:rsidP="00ED364F">
      <w:pPr>
        <w:jc w:val="left"/>
      </w:pPr>
    </w:p>
    <w:p w:rsidR="00ED364F" w:rsidRDefault="00ED364F" w:rsidP="00ED364F">
      <w:pPr>
        <w:jc w:val="left"/>
      </w:pPr>
      <w:r>
        <w:t>HEPES</w:t>
      </w:r>
      <w:r w:rsidR="0033783F">
        <w:tab/>
      </w:r>
      <w:r w:rsidR="0033783F">
        <w:tab/>
      </w:r>
      <w:r w:rsidR="0033783F">
        <w:tab/>
      </w:r>
      <w:r w:rsidR="0033783F">
        <w:tab/>
        <w:t>4-(2-hydroxyethyl)-1-piperazineethanesulfonic acid</w:t>
      </w:r>
    </w:p>
    <w:p w:rsidR="00ED364F" w:rsidRDefault="00ED364F" w:rsidP="00ED364F">
      <w:pPr>
        <w:jc w:val="left"/>
      </w:pPr>
      <w:r>
        <w:t>HIV</w:t>
      </w:r>
      <w:r w:rsidR="0033783F">
        <w:tab/>
      </w:r>
      <w:r w:rsidR="0033783F">
        <w:tab/>
      </w:r>
      <w:r w:rsidR="0033783F">
        <w:tab/>
      </w:r>
      <w:r w:rsidR="0033783F">
        <w:tab/>
        <w:t>Human immunodeficiency virus</w:t>
      </w:r>
    </w:p>
    <w:p w:rsidR="00ED364F" w:rsidRDefault="00ED364F" w:rsidP="00ED364F">
      <w:pPr>
        <w:jc w:val="left"/>
      </w:pPr>
      <w:r>
        <w:t>5-HM</w:t>
      </w:r>
      <w:r w:rsidR="0033783F">
        <w:tab/>
      </w:r>
      <w:r w:rsidR="0033783F">
        <w:tab/>
      </w:r>
      <w:r w:rsidR="0033783F">
        <w:tab/>
      </w:r>
      <w:r w:rsidR="0033783F">
        <w:tab/>
        <w:t>5-Hydroxymethyl</w:t>
      </w:r>
    </w:p>
    <w:p w:rsidR="00ED364F" w:rsidRDefault="00ED364F" w:rsidP="00ED364F">
      <w:pPr>
        <w:jc w:val="left"/>
      </w:pPr>
      <w:r>
        <w:t>HMr</w:t>
      </w:r>
      <w:r w:rsidR="0033783F">
        <w:tab/>
      </w:r>
      <w:r w:rsidR="0033783F">
        <w:tab/>
      </w:r>
      <w:r w:rsidR="0033783F">
        <w:tab/>
      </w:r>
      <w:r w:rsidR="0033783F">
        <w:tab/>
        <w:t>5-Hydroxymethyl(ribo)nucleotide</w:t>
      </w:r>
    </w:p>
    <w:p w:rsidR="00ED364F" w:rsidRDefault="00ED364F" w:rsidP="00ED364F">
      <w:pPr>
        <w:jc w:val="left"/>
      </w:pPr>
      <w:r>
        <w:t>HMd</w:t>
      </w:r>
      <w:r w:rsidR="0033783F">
        <w:tab/>
      </w:r>
      <w:r w:rsidR="0033783F">
        <w:tab/>
      </w:r>
      <w:r w:rsidR="0033783F">
        <w:tab/>
      </w:r>
      <w:r w:rsidR="0033783F">
        <w:tab/>
        <w:t>5-Hydroxymethyldeoxyribonucleotide</w:t>
      </w:r>
    </w:p>
    <w:p w:rsidR="00ED364F" w:rsidRDefault="00ED364F" w:rsidP="00ED364F">
      <w:pPr>
        <w:jc w:val="left"/>
      </w:pPr>
      <w:r>
        <w:t>hp</w:t>
      </w:r>
      <w:r w:rsidR="0033783F">
        <w:tab/>
      </w:r>
      <w:r w:rsidR="0033783F">
        <w:tab/>
      </w:r>
      <w:r w:rsidR="0033783F">
        <w:tab/>
      </w:r>
      <w:r w:rsidR="0033783F">
        <w:tab/>
        <w:t>Hairpin</w:t>
      </w:r>
    </w:p>
    <w:p w:rsidR="00ED364F" w:rsidRDefault="00ED364F" w:rsidP="00ED364F">
      <w:pPr>
        <w:jc w:val="left"/>
      </w:pPr>
      <w:r>
        <w:t>HPLC</w:t>
      </w:r>
      <w:r w:rsidR="0033783F">
        <w:tab/>
      </w:r>
      <w:r w:rsidR="0033783F">
        <w:tab/>
      </w:r>
      <w:r w:rsidR="0033783F">
        <w:tab/>
      </w:r>
      <w:r w:rsidR="0033783F">
        <w:tab/>
        <w:t>High performance liquid chromatography</w:t>
      </w:r>
    </w:p>
    <w:p w:rsidR="00ED364F" w:rsidRDefault="00ED364F" w:rsidP="00ED364F">
      <w:pPr>
        <w:jc w:val="left"/>
      </w:pPr>
      <w:r>
        <w:t>hr/hrs</w:t>
      </w:r>
      <w:r w:rsidR="0033783F">
        <w:tab/>
      </w:r>
      <w:r w:rsidR="0033783F">
        <w:tab/>
      </w:r>
      <w:r w:rsidR="0033783F">
        <w:tab/>
      </w:r>
      <w:r w:rsidR="0033783F">
        <w:tab/>
        <w:t>Hour(s)</w:t>
      </w:r>
    </w:p>
    <w:p w:rsidR="00ED364F" w:rsidRPr="0033783F" w:rsidRDefault="00ED364F" w:rsidP="00ED364F">
      <w:pPr>
        <w:jc w:val="left"/>
      </w:pPr>
      <w:r w:rsidRPr="00ED364F">
        <w:rPr>
          <w:i/>
        </w:rPr>
        <w:t>H. sapiens</w:t>
      </w:r>
      <w:r w:rsidR="0033783F">
        <w:rPr>
          <w:i/>
        </w:rPr>
        <w:tab/>
      </w:r>
      <w:r w:rsidR="0033783F">
        <w:rPr>
          <w:i/>
        </w:rPr>
        <w:tab/>
      </w:r>
      <w:r w:rsidR="0033783F">
        <w:rPr>
          <w:i/>
        </w:rPr>
        <w:tab/>
        <w:t>Homo sapiens</w:t>
      </w:r>
      <w:r w:rsidR="0033783F">
        <w:t xml:space="preserve"> (Human)</w:t>
      </w:r>
    </w:p>
    <w:p w:rsidR="00ED364F" w:rsidRDefault="00ED364F" w:rsidP="00ED364F">
      <w:pPr>
        <w:jc w:val="left"/>
      </w:pPr>
    </w:p>
    <w:p w:rsidR="00ED364F" w:rsidRDefault="00ED364F" w:rsidP="00ED364F">
      <w:pPr>
        <w:jc w:val="left"/>
      </w:pPr>
      <w:r>
        <w:t>IP</w:t>
      </w:r>
      <w:r w:rsidR="0033783F">
        <w:tab/>
      </w:r>
      <w:r w:rsidR="0033783F">
        <w:tab/>
      </w:r>
      <w:r w:rsidR="0033783F">
        <w:tab/>
      </w:r>
      <w:r w:rsidR="0033783F">
        <w:tab/>
        <w:t>Ion pair</w:t>
      </w:r>
    </w:p>
    <w:p w:rsidR="00ED364F" w:rsidRDefault="00ED364F" w:rsidP="00ED364F">
      <w:pPr>
        <w:jc w:val="left"/>
      </w:pPr>
      <w:r>
        <w:t>IP RP HPLC</w:t>
      </w:r>
      <w:r w:rsidR="0033783F">
        <w:tab/>
      </w:r>
      <w:r w:rsidR="0033783F">
        <w:tab/>
      </w:r>
      <w:r w:rsidR="0033783F">
        <w:tab/>
        <w:t>Ion pair reverse phase high performance liquid chromatography</w:t>
      </w:r>
    </w:p>
    <w:p w:rsidR="00ED364F" w:rsidRDefault="00ED364F" w:rsidP="00ED364F">
      <w:pPr>
        <w:jc w:val="left"/>
      </w:pPr>
      <w:r>
        <w:t>IVT</w:t>
      </w:r>
      <w:r w:rsidR="0033783F">
        <w:tab/>
      </w:r>
      <w:r w:rsidR="0033783F">
        <w:tab/>
      </w:r>
      <w:r w:rsidR="0033783F">
        <w:tab/>
      </w:r>
      <w:r w:rsidR="0033783F">
        <w:tab/>
      </w:r>
      <w:r w:rsidR="0033783F" w:rsidRPr="0033783F">
        <w:rPr>
          <w:i/>
        </w:rPr>
        <w:t>In vitro</w:t>
      </w:r>
      <w:r w:rsidR="0033783F">
        <w:t xml:space="preserve"> transcription (reaction)</w:t>
      </w:r>
    </w:p>
    <w:p w:rsidR="00ED364F" w:rsidRDefault="00ED364F" w:rsidP="00ED364F">
      <w:pPr>
        <w:jc w:val="left"/>
      </w:pPr>
    </w:p>
    <w:p w:rsidR="00ED364F" w:rsidRDefault="00ED364F" w:rsidP="00ED364F">
      <w:pPr>
        <w:jc w:val="left"/>
      </w:pPr>
      <w:r>
        <w:t>JAK</w:t>
      </w:r>
      <w:r w:rsidR="0033783F">
        <w:tab/>
      </w:r>
      <w:r w:rsidR="0033783F">
        <w:tab/>
      </w:r>
      <w:r w:rsidR="0033783F">
        <w:tab/>
      </w:r>
      <w:r w:rsidR="0033783F">
        <w:tab/>
        <w:t>Janus kinase</w:t>
      </w:r>
    </w:p>
    <w:p w:rsidR="00ED364F" w:rsidRDefault="00ED364F" w:rsidP="00ED364F">
      <w:pPr>
        <w:jc w:val="left"/>
      </w:pPr>
    </w:p>
    <w:p w:rsidR="00ED364F" w:rsidRDefault="00ED364F" w:rsidP="00ED364F">
      <w:pPr>
        <w:jc w:val="left"/>
      </w:pPr>
      <w:r>
        <w:t>kb</w:t>
      </w:r>
      <w:r w:rsidR="0033783F">
        <w:tab/>
      </w:r>
      <w:r w:rsidR="0033783F">
        <w:tab/>
      </w:r>
      <w:r w:rsidR="0033783F">
        <w:tab/>
      </w:r>
      <w:r w:rsidR="0033783F">
        <w:tab/>
        <w:t>Kilobase(s)</w:t>
      </w:r>
    </w:p>
    <w:p w:rsidR="00ED364F" w:rsidRDefault="00ED364F" w:rsidP="00ED364F">
      <w:pPr>
        <w:jc w:val="left"/>
      </w:pPr>
    </w:p>
    <w:p w:rsidR="00ED364F" w:rsidRDefault="00ED364F" w:rsidP="00ED364F">
      <w:pPr>
        <w:jc w:val="left"/>
      </w:pPr>
      <w:r>
        <w:t>L</w:t>
      </w:r>
      <w:r>
        <w:tab/>
      </w:r>
      <w:r>
        <w:tab/>
      </w:r>
      <w:r>
        <w:tab/>
      </w:r>
      <w:r>
        <w:tab/>
      </w:r>
      <w:r w:rsidR="00F5650A">
        <w:t>Leucine</w:t>
      </w:r>
    </w:p>
    <w:p w:rsidR="00ED364F" w:rsidRDefault="00ED364F" w:rsidP="00ED364F">
      <w:pPr>
        <w:jc w:val="left"/>
      </w:pPr>
      <w:r>
        <w:t>L1/2</w:t>
      </w:r>
      <w:r w:rsidR="0033783F">
        <w:tab/>
      </w:r>
      <w:r w:rsidR="0033783F">
        <w:tab/>
      </w:r>
      <w:r w:rsidR="0033783F">
        <w:tab/>
      </w:r>
      <w:r w:rsidR="0033783F">
        <w:tab/>
        <w:t>Larval stage 1/2</w:t>
      </w:r>
    </w:p>
    <w:p w:rsidR="00ED364F" w:rsidRDefault="00ED364F" w:rsidP="00ED364F">
      <w:pPr>
        <w:jc w:val="left"/>
      </w:pPr>
      <w:r>
        <w:t>LARII</w:t>
      </w:r>
      <w:r w:rsidR="0033783F">
        <w:tab/>
      </w:r>
      <w:r w:rsidR="0033783F">
        <w:tab/>
      </w:r>
      <w:r w:rsidR="0033783F">
        <w:tab/>
      </w:r>
      <w:r w:rsidR="0033783F">
        <w:tab/>
        <w:t>Luciferase assay reagent II</w:t>
      </w:r>
    </w:p>
    <w:p w:rsidR="00ED364F" w:rsidRDefault="00ED364F" w:rsidP="00ED364F">
      <w:pPr>
        <w:jc w:val="left"/>
      </w:pPr>
      <w:r>
        <w:t>LNA</w:t>
      </w:r>
      <w:r w:rsidR="0033783F">
        <w:tab/>
      </w:r>
      <w:r w:rsidR="0033783F">
        <w:tab/>
      </w:r>
      <w:r w:rsidR="0033783F">
        <w:tab/>
      </w:r>
      <w:r w:rsidR="0033783F">
        <w:tab/>
        <w:t>Locked nucleic acid</w:t>
      </w:r>
    </w:p>
    <w:p w:rsidR="00ED364F" w:rsidRDefault="001A7C8F" w:rsidP="00ED364F">
      <w:pPr>
        <w:jc w:val="left"/>
      </w:pPr>
      <w:r>
        <w:t>mAU</w:t>
      </w:r>
      <w:r w:rsidR="0033783F">
        <w:tab/>
      </w:r>
      <w:r w:rsidR="0033783F">
        <w:tab/>
      </w:r>
      <w:r w:rsidR="0033783F">
        <w:tab/>
      </w:r>
      <w:r w:rsidR="0033783F">
        <w:tab/>
        <w:t>Milli absorbance units</w:t>
      </w:r>
    </w:p>
    <w:p w:rsidR="001A7C8F" w:rsidRPr="0033783F" w:rsidRDefault="001A7C8F" w:rsidP="00ED364F">
      <w:pPr>
        <w:jc w:val="left"/>
      </w:pPr>
      <w:r>
        <w:t>Mg</w:t>
      </w:r>
      <w:r w:rsidRPr="0033783F">
        <w:rPr>
          <w:vertAlign w:val="superscript"/>
        </w:rPr>
        <w:t>2+</w:t>
      </w:r>
      <w:r w:rsidR="0033783F">
        <w:tab/>
      </w:r>
      <w:r w:rsidR="0033783F">
        <w:tab/>
      </w:r>
      <w:r w:rsidR="0033783F">
        <w:tab/>
      </w:r>
      <w:r w:rsidR="0033783F">
        <w:tab/>
        <w:t>Magnesium ion (divalent)</w:t>
      </w:r>
    </w:p>
    <w:p w:rsidR="00ED364F" w:rsidRPr="0033783F" w:rsidRDefault="001A7C8F" w:rsidP="00ED364F">
      <w:pPr>
        <w:jc w:val="left"/>
      </w:pPr>
      <w:r>
        <w:lastRenderedPageBreak/>
        <w:t>MgCl</w:t>
      </w:r>
      <w:r w:rsidRPr="0033783F">
        <w:rPr>
          <w:vertAlign w:val="subscript"/>
        </w:rPr>
        <w:t>2</w:t>
      </w:r>
      <w:r w:rsidR="0033783F">
        <w:tab/>
      </w:r>
      <w:r w:rsidR="0033783F">
        <w:tab/>
      </w:r>
      <w:r w:rsidR="0033783F">
        <w:tab/>
      </w:r>
      <w:r w:rsidR="0033783F">
        <w:tab/>
        <w:t>Magnesium chloride</w:t>
      </w:r>
    </w:p>
    <w:p w:rsidR="001A7C8F" w:rsidRDefault="001A7C8F" w:rsidP="00ED364F">
      <w:pPr>
        <w:jc w:val="left"/>
      </w:pPr>
      <w:r>
        <w:t>Min(s)</w:t>
      </w:r>
      <w:r w:rsidR="0033783F">
        <w:tab/>
      </w:r>
      <w:r w:rsidR="0033783F">
        <w:tab/>
      </w:r>
      <w:r w:rsidR="0033783F">
        <w:tab/>
      </w:r>
      <w:r w:rsidR="0033783F">
        <w:tab/>
        <w:t>Minute(s)</w:t>
      </w:r>
    </w:p>
    <w:p w:rsidR="001A7C8F" w:rsidRDefault="001A7C8F" w:rsidP="00ED364F">
      <w:pPr>
        <w:jc w:val="left"/>
      </w:pPr>
      <w:r>
        <w:t>Mini-III</w:t>
      </w:r>
      <w:r w:rsidR="0033783F">
        <w:tab/>
      </w:r>
      <w:r w:rsidR="0033783F">
        <w:tab/>
      </w:r>
      <w:r w:rsidR="0033783F">
        <w:tab/>
      </w:r>
      <w:r w:rsidR="0033783F">
        <w:tab/>
        <w:t>Mini RNase III</w:t>
      </w:r>
    </w:p>
    <w:p w:rsidR="001A7C8F" w:rsidRDefault="001A7C8F" w:rsidP="00ED364F">
      <w:pPr>
        <w:jc w:val="left"/>
      </w:pPr>
      <w:r>
        <w:t>mi-RISC</w:t>
      </w:r>
      <w:r w:rsidR="0033783F">
        <w:tab/>
      </w:r>
      <w:r w:rsidR="0033783F">
        <w:tab/>
      </w:r>
      <w:r w:rsidR="0033783F">
        <w:tab/>
      </w:r>
      <w:r w:rsidR="0033783F">
        <w:tab/>
        <w:t>miRNA RISC (RISC formed with a</w:t>
      </w:r>
      <w:r w:rsidR="000B6791">
        <w:t>n</w:t>
      </w:r>
      <w:r w:rsidR="0033783F">
        <w:t xml:space="preserve"> miRNA)</w:t>
      </w:r>
    </w:p>
    <w:p w:rsidR="001A7C8F" w:rsidRDefault="001A7C8F" w:rsidP="00ED364F">
      <w:pPr>
        <w:jc w:val="left"/>
      </w:pPr>
      <w:r>
        <w:t>miRNA</w:t>
      </w:r>
      <w:r w:rsidR="0033783F">
        <w:tab/>
      </w:r>
      <w:r w:rsidR="0033783F">
        <w:tab/>
      </w:r>
      <w:r w:rsidR="0033783F">
        <w:tab/>
      </w:r>
      <w:r w:rsidR="0033783F">
        <w:tab/>
        <w:t>Micro RNA</w:t>
      </w:r>
    </w:p>
    <w:p w:rsidR="001A7C8F" w:rsidRDefault="001A7C8F" w:rsidP="00ED364F">
      <w:pPr>
        <w:jc w:val="left"/>
      </w:pPr>
      <w:r>
        <w:t>ml</w:t>
      </w:r>
      <w:r w:rsidR="0033783F">
        <w:tab/>
      </w:r>
      <w:r w:rsidR="0033783F">
        <w:tab/>
      </w:r>
      <w:r w:rsidR="0033783F">
        <w:tab/>
      </w:r>
      <w:r w:rsidR="0033783F">
        <w:tab/>
        <w:t xml:space="preserve">Millilitre </w:t>
      </w:r>
    </w:p>
    <w:p w:rsidR="001A7C8F" w:rsidRDefault="001A7C8F" w:rsidP="00ED364F">
      <w:pPr>
        <w:jc w:val="left"/>
      </w:pPr>
      <w:r>
        <w:t>mM</w:t>
      </w:r>
      <w:r w:rsidR="0033783F">
        <w:tab/>
      </w:r>
      <w:r w:rsidR="0033783F">
        <w:tab/>
      </w:r>
      <w:r w:rsidR="0033783F">
        <w:tab/>
      </w:r>
      <w:r w:rsidR="0033783F">
        <w:tab/>
        <w:t>Millimolar</w:t>
      </w:r>
    </w:p>
    <w:p w:rsidR="0033783F" w:rsidRPr="0033783F" w:rsidRDefault="001A7C8F" w:rsidP="0033783F">
      <w:pPr>
        <w:jc w:val="left"/>
      </w:pPr>
      <w:r>
        <w:t>Mn</w:t>
      </w:r>
      <w:r w:rsidRPr="0033783F">
        <w:rPr>
          <w:vertAlign w:val="superscript"/>
        </w:rPr>
        <w:t>2+</w:t>
      </w:r>
      <w:r w:rsidR="0033783F">
        <w:tab/>
      </w:r>
      <w:r w:rsidR="0033783F">
        <w:tab/>
      </w:r>
      <w:r w:rsidR="0033783F">
        <w:tab/>
      </w:r>
      <w:r w:rsidR="0033783F">
        <w:tab/>
        <w:t>Manganese ion (divalent)</w:t>
      </w:r>
    </w:p>
    <w:p w:rsidR="001A7C8F" w:rsidRPr="0033783F" w:rsidRDefault="001A7C8F" w:rsidP="00ED364F">
      <w:pPr>
        <w:jc w:val="left"/>
      </w:pPr>
      <w:r>
        <w:t>MnCl</w:t>
      </w:r>
      <w:r w:rsidRPr="0033783F">
        <w:rPr>
          <w:vertAlign w:val="subscript"/>
        </w:rPr>
        <w:t>2</w:t>
      </w:r>
      <w:r w:rsidR="0033783F">
        <w:tab/>
      </w:r>
      <w:r w:rsidR="0033783F">
        <w:tab/>
      </w:r>
      <w:r w:rsidR="0033783F">
        <w:tab/>
      </w:r>
      <w:r w:rsidR="0033783F">
        <w:tab/>
        <w:t>Manganese chloride</w:t>
      </w:r>
    </w:p>
    <w:p w:rsidR="001A7C8F" w:rsidRDefault="001A7C8F" w:rsidP="00ED364F">
      <w:pPr>
        <w:jc w:val="left"/>
      </w:pPr>
      <w:r>
        <w:t>2’-MOE</w:t>
      </w:r>
      <w:r w:rsidR="0033783F">
        <w:tab/>
      </w:r>
      <w:r w:rsidR="0033783F">
        <w:tab/>
      </w:r>
      <w:r w:rsidR="0033783F">
        <w:tab/>
      </w:r>
      <w:r w:rsidR="0033783F">
        <w:tab/>
        <w:t>2’-Methoxyethyl</w:t>
      </w:r>
    </w:p>
    <w:p w:rsidR="001A7C8F" w:rsidRDefault="001A7C8F" w:rsidP="00ED364F">
      <w:pPr>
        <w:jc w:val="left"/>
      </w:pPr>
    </w:p>
    <w:p w:rsidR="001A7C8F" w:rsidRDefault="001A7C8F" w:rsidP="00ED364F">
      <w:pPr>
        <w:jc w:val="left"/>
      </w:pPr>
      <w:r>
        <w:t>n</w:t>
      </w:r>
      <w:r>
        <w:tab/>
      </w:r>
      <w:r>
        <w:tab/>
      </w:r>
      <w:r>
        <w:tab/>
      </w:r>
      <w:r w:rsidR="0033783F">
        <w:tab/>
        <w:t xml:space="preserve">Number of replicates </w:t>
      </w:r>
      <w:r w:rsidR="0033783F" w:rsidRPr="0033783F">
        <w:rPr>
          <w:b/>
        </w:rPr>
        <w:t>or</w:t>
      </w:r>
      <w:r>
        <w:t xml:space="preserve"> </w:t>
      </w:r>
      <w:r w:rsidR="0033783F">
        <w:t xml:space="preserve">desired/expected </w:t>
      </w:r>
      <w:r>
        <w:t xml:space="preserve">length of </w:t>
      </w:r>
      <w:r w:rsidR="0033783F">
        <w:t>nucleic acid</w:t>
      </w:r>
    </w:p>
    <w:p w:rsidR="001A7C8F" w:rsidRDefault="001A7C8F" w:rsidP="00ED364F">
      <w:pPr>
        <w:jc w:val="left"/>
      </w:pPr>
      <w:r>
        <w:t>N2</w:t>
      </w:r>
      <w:r w:rsidR="0033783F">
        <w:tab/>
      </w:r>
      <w:r w:rsidR="0033783F">
        <w:tab/>
      </w:r>
      <w:r w:rsidR="0033783F">
        <w:tab/>
      </w:r>
      <w:r w:rsidR="0033783F">
        <w:tab/>
        <w:t>Nymphal stage 2</w:t>
      </w:r>
    </w:p>
    <w:p w:rsidR="001A7C8F" w:rsidRDefault="001A7C8F" w:rsidP="00ED364F">
      <w:pPr>
        <w:jc w:val="left"/>
      </w:pPr>
      <w:r>
        <w:t>NaCl</w:t>
      </w:r>
      <w:r w:rsidR="0033783F">
        <w:tab/>
      </w:r>
      <w:r w:rsidR="0033783F">
        <w:tab/>
      </w:r>
      <w:r w:rsidR="0033783F">
        <w:tab/>
      </w:r>
      <w:r w:rsidR="0033783F">
        <w:tab/>
        <w:t>Sodium chloride</w:t>
      </w:r>
    </w:p>
    <w:p w:rsidR="001A7C8F" w:rsidRDefault="001A7C8F" w:rsidP="00ED364F">
      <w:pPr>
        <w:jc w:val="left"/>
      </w:pPr>
      <w:r>
        <w:t>Nanodrop</w:t>
      </w:r>
      <w:r w:rsidR="0033783F">
        <w:tab/>
      </w:r>
      <w:r w:rsidR="0033783F">
        <w:tab/>
      </w:r>
      <w:r w:rsidR="0033783F">
        <w:tab/>
        <w:t>Nanodrop UV spectrophotometer</w:t>
      </w:r>
    </w:p>
    <w:p w:rsidR="001A7C8F" w:rsidRDefault="001A7C8F" w:rsidP="00ED364F">
      <w:pPr>
        <w:jc w:val="left"/>
      </w:pPr>
      <w:r>
        <w:t>ng</w:t>
      </w:r>
      <w:r w:rsidR="0033783F">
        <w:tab/>
      </w:r>
      <w:r w:rsidR="0033783F">
        <w:tab/>
      </w:r>
      <w:r w:rsidR="0033783F">
        <w:tab/>
      </w:r>
      <w:r w:rsidR="0033783F">
        <w:tab/>
        <w:t>nanogram</w:t>
      </w:r>
    </w:p>
    <w:p w:rsidR="001A7C8F" w:rsidRDefault="001A7C8F" w:rsidP="00ED364F">
      <w:pPr>
        <w:jc w:val="left"/>
      </w:pPr>
      <w:r>
        <w:t>nl</w:t>
      </w:r>
      <w:r w:rsidR="0033783F">
        <w:tab/>
      </w:r>
      <w:r w:rsidR="0033783F">
        <w:tab/>
      </w:r>
      <w:r w:rsidR="0033783F">
        <w:tab/>
      </w:r>
      <w:r w:rsidR="0033783F">
        <w:tab/>
        <w:t>nanolitre</w:t>
      </w:r>
    </w:p>
    <w:p w:rsidR="001A7C8F" w:rsidRDefault="001A7C8F" w:rsidP="00ED364F">
      <w:pPr>
        <w:jc w:val="left"/>
      </w:pPr>
      <w:r>
        <w:t>ns</w:t>
      </w:r>
      <w:r w:rsidR="0033783F">
        <w:tab/>
      </w:r>
      <w:r w:rsidR="0033783F">
        <w:tab/>
      </w:r>
      <w:r w:rsidR="0033783F">
        <w:tab/>
      </w:r>
      <w:r w:rsidR="0033783F">
        <w:tab/>
        <w:t>Not significant</w:t>
      </w:r>
    </w:p>
    <w:p w:rsidR="001A7C8F" w:rsidRDefault="001A7C8F" w:rsidP="00ED364F">
      <w:pPr>
        <w:jc w:val="left"/>
      </w:pPr>
      <w:r>
        <w:t>nt</w:t>
      </w:r>
      <w:r>
        <w:tab/>
      </w:r>
      <w:r>
        <w:tab/>
      </w:r>
      <w:r>
        <w:tab/>
      </w:r>
      <w:r w:rsidR="0033783F">
        <w:tab/>
      </w:r>
      <w:r>
        <w:t>Nucleotide(s)</w:t>
      </w:r>
    </w:p>
    <w:p w:rsidR="001A7C8F" w:rsidRDefault="001A7C8F" w:rsidP="00ED364F">
      <w:pPr>
        <w:jc w:val="left"/>
      </w:pPr>
      <w:r>
        <w:t>NT</w:t>
      </w:r>
      <w:r>
        <w:tab/>
      </w:r>
      <w:r>
        <w:tab/>
      </w:r>
      <w:r>
        <w:tab/>
      </w:r>
      <w:r w:rsidR="0033783F">
        <w:tab/>
      </w:r>
      <w:r>
        <w:t>Not tested</w:t>
      </w:r>
    </w:p>
    <w:p w:rsidR="001A7C8F" w:rsidRDefault="001A7C8F" w:rsidP="00ED364F">
      <w:pPr>
        <w:jc w:val="left"/>
      </w:pPr>
      <w:r>
        <w:t>NTP</w:t>
      </w:r>
      <w:r w:rsidR="0033783F">
        <w:tab/>
      </w:r>
      <w:r w:rsidR="0033783F">
        <w:tab/>
      </w:r>
      <w:r w:rsidR="0033783F">
        <w:tab/>
      </w:r>
      <w:r w:rsidR="0033783F">
        <w:tab/>
        <w:t>Nucleotide triphosphate</w:t>
      </w:r>
    </w:p>
    <w:p w:rsidR="001A7C8F" w:rsidRDefault="001A7C8F" w:rsidP="00ED364F">
      <w:pPr>
        <w:jc w:val="left"/>
      </w:pPr>
    </w:p>
    <w:p w:rsidR="001A7C8F" w:rsidRDefault="001A7C8F" w:rsidP="00ED364F">
      <w:pPr>
        <w:jc w:val="left"/>
      </w:pPr>
      <w:r>
        <w:t>2’-OH</w:t>
      </w:r>
      <w:r w:rsidR="002B29A8">
        <w:tab/>
      </w:r>
      <w:r w:rsidR="002B29A8">
        <w:tab/>
      </w:r>
      <w:r w:rsidR="002B29A8">
        <w:tab/>
      </w:r>
      <w:r w:rsidR="002B29A8">
        <w:tab/>
        <w:t>2’-Hydroxyl</w:t>
      </w:r>
    </w:p>
    <w:p w:rsidR="001A7C8F" w:rsidRDefault="001A7C8F" w:rsidP="00ED364F">
      <w:pPr>
        <w:jc w:val="left"/>
      </w:pPr>
      <w:r>
        <w:t>Oligo</w:t>
      </w:r>
      <w:r w:rsidR="002B29A8">
        <w:tab/>
      </w:r>
      <w:r w:rsidR="002B29A8">
        <w:tab/>
      </w:r>
      <w:r w:rsidR="002B29A8">
        <w:tab/>
      </w:r>
      <w:r w:rsidR="002B29A8">
        <w:tab/>
        <w:t>Oligonucleotide</w:t>
      </w:r>
    </w:p>
    <w:p w:rsidR="001A7C8F" w:rsidRDefault="001A7C8F" w:rsidP="00ED364F">
      <w:pPr>
        <w:jc w:val="left"/>
      </w:pPr>
      <w:r>
        <w:t>2’-O-Me</w:t>
      </w:r>
      <w:r w:rsidR="002B29A8">
        <w:tab/>
      </w:r>
      <w:r w:rsidR="002B29A8">
        <w:tab/>
      </w:r>
      <w:r w:rsidR="002B29A8">
        <w:tab/>
        <w:t>2’-</w:t>
      </w:r>
      <w:r w:rsidR="00184DA1">
        <w:t>Methoxy</w:t>
      </w:r>
    </w:p>
    <w:p w:rsidR="001A7C8F" w:rsidRDefault="001A7C8F" w:rsidP="00ED364F">
      <w:pPr>
        <w:jc w:val="left"/>
      </w:pPr>
      <w:r>
        <w:t>O/N</w:t>
      </w:r>
      <w:r w:rsidR="00184DA1">
        <w:tab/>
      </w:r>
      <w:r w:rsidR="00184DA1">
        <w:tab/>
      </w:r>
      <w:r w:rsidR="00184DA1">
        <w:tab/>
      </w:r>
      <w:r w:rsidR="00184DA1">
        <w:tab/>
        <w:t>Overnight</w:t>
      </w:r>
    </w:p>
    <w:p w:rsidR="001A7C8F" w:rsidRDefault="001A7C8F" w:rsidP="00ED364F">
      <w:pPr>
        <w:jc w:val="left"/>
      </w:pPr>
    </w:p>
    <w:p w:rsidR="001A7C8F" w:rsidRDefault="001A7C8F" w:rsidP="00ED364F">
      <w:pPr>
        <w:jc w:val="left"/>
      </w:pPr>
      <w:r>
        <w:t>P</w:t>
      </w:r>
      <w:r w:rsidR="00184DA1">
        <w:tab/>
      </w:r>
      <w:r w:rsidR="00184DA1">
        <w:tab/>
      </w:r>
      <w:r w:rsidR="00184DA1">
        <w:tab/>
      </w:r>
      <w:r w:rsidR="00184DA1">
        <w:tab/>
        <w:t>P value</w:t>
      </w:r>
    </w:p>
    <w:p w:rsidR="001A7C8F" w:rsidRDefault="001A7C8F" w:rsidP="00ED364F">
      <w:pPr>
        <w:jc w:val="left"/>
      </w:pPr>
      <w:r>
        <w:t>PAZ</w:t>
      </w:r>
      <w:r w:rsidR="00184DA1">
        <w:tab/>
      </w:r>
      <w:r w:rsidR="00184DA1">
        <w:tab/>
      </w:r>
      <w:r w:rsidR="00184DA1">
        <w:tab/>
      </w:r>
      <w:r w:rsidR="00184DA1">
        <w:tab/>
        <w:t>Piwi-Argonaute-Zwille</w:t>
      </w:r>
    </w:p>
    <w:p w:rsidR="001A7C8F" w:rsidRDefault="001A7C8F" w:rsidP="00ED364F">
      <w:pPr>
        <w:jc w:val="left"/>
      </w:pPr>
      <w:r>
        <w:t>PBS</w:t>
      </w:r>
      <w:r w:rsidR="00184DA1">
        <w:tab/>
      </w:r>
      <w:r w:rsidR="00184DA1">
        <w:tab/>
      </w:r>
      <w:r w:rsidR="00184DA1">
        <w:tab/>
      </w:r>
      <w:r w:rsidR="00184DA1">
        <w:tab/>
        <w:t>Phosphate buffered saline</w:t>
      </w:r>
    </w:p>
    <w:p w:rsidR="001A7C8F" w:rsidRDefault="001A7C8F" w:rsidP="00ED364F">
      <w:pPr>
        <w:jc w:val="left"/>
      </w:pPr>
      <w:r>
        <w:t>PCR</w:t>
      </w:r>
      <w:r w:rsidR="00184DA1">
        <w:tab/>
      </w:r>
      <w:r w:rsidR="00184DA1">
        <w:tab/>
      </w:r>
      <w:r w:rsidR="00184DA1">
        <w:tab/>
      </w:r>
      <w:r w:rsidR="00184DA1">
        <w:tab/>
        <w:t>Polymerase chain reaction</w:t>
      </w:r>
    </w:p>
    <w:p w:rsidR="001A7C8F" w:rsidRDefault="001A7C8F" w:rsidP="00ED364F">
      <w:pPr>
        <w:jc w:val="left"/>
      </w:pPr>
      <w:r>
        <w:t>pDNA</w:t>
      </w:r>
      <w:r w:rsidR="00184DA1">
        <w:tab/>
      </w:r>
      <w:r w:rsidR="00184DA1">
        <w:tab/>
      </w:r>
      <w:r w:rsidR="00184DA1">
        <w:tab/>
      </w:r>
      <w:r w:rsidR="00184DA1">
        <w:tab/>
        <w:t>Plasmid DNA</w:t>
      </w:r>
    </w:p>
    <w:p w:rsidR="001A7C8F" w:rsidRDefault="001A7C8F" w:rsidP="00ED364F">
      <w:pPr>
        <w:jc w:val="left"/>
      </w:pPr>
      <w:r>
        <w:t>Pen-Strep</w:t>
      </w:r>
      <w:r w:rsidR="00184DA1">
        <w:tab/>
      </w:r>
      <w:r w:rsidR="00184DA1">
        <w:tab/>
      </w:r>
      <w:r w:rsidR="00184DA1">
        <w:tab/>
        <w:t xml:space="preserve">Penicillin-Streptomycin </w:t>
      </w:r>
    </w:p>
    <w:p w:rsidR="001A7C8F" w:rsidRDefault="001A7C8F" w:rsidP="00ED364F">
      <w:pPr>
        <w:jc w:val="left"/>
      </w:pPr>
      <w:r>
        <w:t>piRNA</w:t>
      </w:r>
      <w:r w:rsidR="0007444A">
        <w:tab/>
      </w:r>
      <w:r w:rsidR="0007444A">
        <w:tab/>
      </w:r>
      <w:r w:rsidR="0007444A">
        <w:tab/>
      </w:r>
      <w:r w:rsidR="0007444A">
        <w:tab/>
        <w:t>Piwi-interacting RNA</w:t>
      </w:r>
    </w:p>
    <w:p w:rsidR="001A7C8F" w:rsidRDefault="001A7C8F" w:rsidP="00ED364F">
      <w:pPr>
        <w:jc w:val="left"/>
      </w:pPr>
      <w:r>
        <w:t>PLB</w:t>
      </w:r>
      <w:r w:rsidR="0007444A">
        <w:tab/>
      </w:r>
      <w:r w:rsidR="0007444A">
        <w:tab/>
      </w:r>
      <w:r w:rsidR="0007444A">
        <w:tab/>
      </w:r>
      <w:r w:rsidR="0007444A">
        <w:tab/>
        <w:t>Passive lysis buffer</w:t>
      </w:r>
    </w:p>
    <w:p w:rsidR="001A7C8F" w:rsidRDefault="001A7C8F" w:rsidP="00ED364F">
      <w:pPr>
        <w:jc w:val="left"/>
      </w:pPr>
      <w:r>
        <w:t>pre-miRNA</w:t>
      </w:r>
      <w:r w:rsidR="0007444A">
        <w:tab/>
      </w:r>
      <w:r w:rsidR="0007444A">
        <w:tab/>
      </w:r>
      <w:r w:rsidR="0007444A">
        <w:tab/>
        <w:t>Precursor miRNA</w:t>
      </w:r>
    </w:p>
    <w:p w:rsidR="001A7C8F" w:rsidRDefault="001A7C8F" w:rsidP="00ED364F">
      <w:pPr>
        <w:jc w:val="left"/>
      </w:pPr>
      <w:r>
        <w:t xml:space="preserve">pri-miRNA </w:t>
      </w:r>
      <w:r w:rsidR="0007444A">
        <w:tab/>
      </w:r>
      <w:r w:rsidR="0007444A">
        <w:tab/>
      </w:r>
      <w:r w:rsidR="0007444A">
        <w:tab/>
        <w:t>Primary miRNA</w:t>
      </w:r>
    </w:p>
    <w:p w:rsidR="001A7C8F" w:rsidRDefault="001A7C8F" w:rsidP="00ED364F">
      <w:pPr>
        <w:jc w:val="left"/>
      </w:pPr>
      <w:r>
        <w:t>PS</w:t>
      </w:r>
      <w:r>
        <w:tab/>
      </w:r>
      <w:r>
        <w:tab/>
      </w:r>
      <w:r>
        <w:tab/>
      </w:r>
      <w:r w:rsidR="0007444A">
        <w:tab/>
      </w:r>
      <w:r>
        <w:t xml:space="preserve">Phosphorothioate </w:t>
      </w:r>
    </w:p>
    <w:p w:rsidR="001A7C8F" w:rsidRDefault="001A7C8F" w:rsidP="00ED364F">
      <w:pPr>
        <w:jc w:val="left"/>
      </w:pPr>
      <w:r>
        <w:t>PTGS</w:t>
      </w:r>
      <w:r w:rsidR="0007444A">
        <w:tab/>
      </w:r>
      <w:r w:rsidR="0007444A">
        <w:tab/>
      </w:r>
      <w:r w:rsidR="0007444A">
        <w:tab/>
      </w:r>
      <w:r w:rsidR="0007444A">
        <w:tab/>
        <w:t>Post-transcriptional gene silencing</w:t>
      </w:r>
    </w:p>
    <w:p w:rsidR="001A7C8F" w:rsidRDefault="001A7C8F" w:rsidP="00ED364F">
      <w:pPr>
        <w:jc w:val="left"/>
      </w:pPr>
    </w:p>
    <w:p w:rsidR="001A7C8F" w:rsidRDefault="001A7C8F" w:rsidP="00ED364F">
      <w:pPr>
        <w:jc w:val="left"/>
      </w:pPr>
      <w:r>
        <w:t>Q</w:t>
      </w:r>
      <w:r>
        <w:tab/>
      </w:r>
      <w:r w:rsidR="0007444A">
        <w:tab/>
      </w:r>
      <w:r>
        <w:tab/>
      </w:r>
      <w:r>
        <w:tab/>
      </w:r>
      <w:r w:rsidR="0007444A">
        <w:t>Glutamine</w:t>
      </w:r>
    </w:p>
    <w:p w:rsidR="001A7C8F" w:rsidRDefault="001A7C8F" w:rsidP="00ED364F">
      <w:pPr>
        <w:jc w:val="left"/>
      </w:pPr>
    </w:p>
    <w:p w:rsidR="001A7C8F" w:rsidRDefault="001A7C8F" w:rsidP="00ED364F">
      <w:pPr>
        <w:jc w:val="left"/>
      </w:pPr>
      <w:r>
        <w:t>RBM</w:t>
      </w:r>
      <w:r w:rsidR="0007444A">
        <w:tab/>
      </w:r>
      <w:r w:rsidR="0007444A">
        <w:tab/>
      </w:r>
      <w:r w:rsidR="0007444A">
        <w:tab/>
      </w:r>
      <w:r w:rsidR="0007444A">
        <w:tab/>
        <w:t>RNA binding motif</w:t>
      </w:r>
    </w:p>
    <w:p w:rsidR="001A7C8F" w:rsidRDefault="001A7C8F" w:rsidP="00ED364F">
      <w:pPr>
        <w:jc w:val="left"/>
      </w:pPr>
      <w:r>
        <w:t>REase</w:t>
      </w:r>
      <w:r w:rsidR="0007444A">
        <w:tab/>
      </w:r>
      <w:r w:rsidR="0007444A">
        <w:tab/>
      </w:r>
      <w:r w:rsidR="0007444A">
        <w:tab/>
      </w:r>
      <w:r w:rsidR="0007444A">
        <w:tab/>
        <w:t>RNAi efficiency-related nuclease</w:t>
      </w:r>
    </w:p>
    <w:p w:rsidR="001A7C8F" w:rsidRDefault="001A7C8F" w:rsidP="00ED364F">
      <w:pPr>
        <w:jc w:val="left"/>
      </w:pPr>
    </w:p>
    <w:p w:rsidR="0007444A" w:rsidRDefault="001A7C8F" w:rsidP="00ED364F">
      <w:pPr>
        <w:jc w:val="left"/>
      </w:pPr>
      <w:r>
        <w:lastRenderedPageBreak/>
        <w:t>RdRP</w:t>
      </w:r>
      <w:r>
        <w:tab/>
      </w:r>
      <w:r>
        <w:tab/>
      </w:r>
      <w:r>
        <w:tab/>
      </w:r>
      <w:r w:rsidR="0007444A">
        <w:tab/>
      </w:r>
      <w:r>
        <w:t>RNA-dependent RNA polymerase</w:t>
      </w:r>
    </w:p>
    <w:p w:rsidR="001A7C8F" w:rsidRDefault="0007444A" w:rsidP="00ED364F">
      <w:pPr>
        <w:jc w:val="left"/>
      </w:pPr>
      <w:r>
        <w:rPr>
          <w:i/>
        </w:rPr>
        <w:t>Renilla</w:t>
      </w:r>
      <w:r>
        <w:rPr>
          <w:i/>
        </w:rPr>
        <w:tab/>
      </w:r>
      <w:r>
        <w:rPr>
          <w:i/>
        </w:rPr>
        <w:tab/>
      </w:r>
      <w:r>
        <w:rPr>
          <w:i/>
        </w:rPr>
        <w:tab/>
      </w:r>
      <w:r>
        <w:rPr>
          <w:i/>
        </w:rPr>
        <w:tab/>
        <w:t>Renilla reniformis</w:t>
      </w:r>
      <w:r>
        <w:t xml:space="preserve"> (Sea pansy)</w:t>
      </w:r>
      <w:r>
        <w:rPr>
          <w:i/>
        </w:rPr>
        <w:t xml:space="preserve"> </w:t>
      </w:r>
      <w:r w:rsidR="001A7C8F">
        <w:t xml:space="preserve"> </w:t>
      </w:r>
    </w:p>
    <w:p w:rsidR="001A7C8F" w:rsidRDefault="001A7C8F" w:rsidP="00ED364F">
      <w:pPr>
        <w:jc w:val="left"/>
      </w:pPr>
      <w:r>
        <w:t>Rep</w:t>
      </w:r>
      <w:r>
        <w:tab/>
      </w:r>
      <w:r>
        <w:tab/>
      </w:r>
      <w:r>
        <w:tab/>
      </w:r>
      <w:r w:rsidR="0007444A">
        <w:tab/>
      </w:r>
      <w:r>
        <w:t>Replicate</w:t>
      </w:r>
    </w:p>
    <w:p w:rsidR="001A7C8F" w:rsidRDefault="001A7C8F" w:rsidP="00ED364F">
      <w:pPr>
        <w:jc w:val="left"/>
      </w:pPr>
      <w:r>
        <w:t>RISC</w:t>
      </w:r>
      <w:r w:rsidR="0007444A">
        <w:tab/>
      </w:r>
      <w:r w:rsidR="0007444A">
        <w:tab/>
      </w:r>
      <w:r w:rsidR="0007444A">
        <w:tab/>
      </w:r>
      <w:r w:rsidR="0007444A">
        <w:tab/>
        <w:t>RNA-induced silencing complex</w:t>
      </w:r>
    </w:p>
    <w:p w:rsidR="001A7C8F" w:rsidRDefault="001A7C8F" w:rsidP="00ED364F">
      <w:pPr>
        <w:jc w:val="left"/>
      </w:pPr>
      <w:r>
        <w:t>RL</w:t>
      </w:r>
      <w:r w:rsidR="0007444A">
        <w:tab/>
      </w:r>
      <w:r w:rsidR="0007444A">
        <w:tab/>
      </w:r>
      <w:r w:rsidR="0007444A">
        <w:tab/>
      </w:r>
      <w:r w:rsidR="0007444A">
        <w:tab/>
      </w:r>
      <w:r w:rsidR="0007444A" w:rsidRPr="0007444A">
        <w:rPr>
          <w:i/>
        </w:rPr>
        <w:t>Renilla</w:t>
      </w:r>
      <w:r w:rsidR="0007444A">
        <w:t xml:space="preserve"> luciferase (luminescence)</w:t>
      </w:r>
    </w:p>
    <w:p w:rsidR="001A7C8F" w:rsidRDefault="001A7C8F" w:rsidP="00ED364F">
      <w:pPr>
        <w:jc w:val="left"/>
      </w:pPr>
      <w:r>
        <w:t>RNA</w:t>
      </w:r>
      <w:r w:rsidR="0007444A">
        <w:tab/>
      </w:r>
      <w:r w:rsidR="0007444A">
        <w:tab/>
      </w:r>
      <w:r w:rsidR="0007444A">
        <w:tab/>
      </w:r>
      <w:r w:rsidR="0007444A">
        <w:tab/>
        <w:t>Ribonucleic acid</w:t>
      </w:r>
    </w:p>
    <w:p w:rsidR="001A7C8F" w:rsidRDefault="001A7C8F" w:rsidP="00ED364F">
      <w:pPr>
        <w:jc w:val="left"/>
      </w:pPr>
      <w:r>
        <w:t>RNAi</w:t>
      </w:r>
      <w:r w:rsidR="0007444A">
        <w:tab/>
      </w:r>
      <w:r w:rsidR="0007444A">
        <w:tab/>
      </w:r>
      <w:r w:rsidR="0007444A">
        <w:tab/>
      </w:r>
      <w:r w:rsidR="0007444A">
        <w:tab/>
        <w:t>RNA interference</w:t>
      </w:r>
    </w:p>
    <w:p w:rsidR="001A7C8F" w:rsidRDefault="001A7C8F" w:rsidP="00ED364F">
      <w:pPr>
        <w:jc w:val="left"/>
      </w:pPr>
      <w:r>
        <w:t>RNase</w:t>
      </w:r>
      <w:r w:rsidR="0007444A">
        <w:tab/>
      </w:r>
      <w:r w:rsidR="0007444A">
        <w:tab/>
      </w:r>
      <w:r w:rsidR="0007444A">
        <w:tab/>
      </w:r>
      <w:r w:rsidR="0007444A">
        <w:tab/>
        <w:t>Ribonuclease</w:t>
      </w:r>
    </w:p>
    <w:p w:rsidR="001A7C8F" w:rsidRDefault="001A7C8F" w:rsidP="00ED364F">
      <w:pPr>
        <w:jc w:val="left"/>
      </w:pPr>
      <w:r>
        <w:t>RP</w:t>
      </w:r>
      <w:r w:rsidR="0007444A">
        <w:tab/>
      </w:r>
      <w:r w:rsidR="0007444A">
        <w:tab/>
      </w:r>
      <w:r w:rsidR="0007444A">
        <w:tab/>
      </w:r>
      <w:r w:rsidR="0007444A">
        <w:tab/>
        <w:t>Reverse phase</w:t>
      </w:r>
    </w:p>
    <w:p w:rsidR="001A7C8F" w:rsidRDefault="001A7C8F" w:rsidP="00ED364F">
      <w:pPr>
        <w:jc w:val="left"/>
      </w:pPr>
      <w:r>
        <w:t>rRNA</w:t>
      </w:r>
      <w:r w:rsidR="0007444A">
        <w:tab/>
      </w:r>
      <w:r w:rsidR="0007444A">
        <w:tab/>
      </w:r>
      <w:r w:rsidR="0007444A">
        <w:tab/>
      </w:r>
      <w:r w:rsidR="0007444A">
        <w:tab/>
        <w:t>Ribosomal RNA</w:t>
      </w:r>
    </w:p>
    <w:p w:rsidR="001A7C8F" w:rsidRDefault="001A7C8F" w:rsidP="00ED364F">
      <w:pPr>
        <w:jc w:val="left"/>
      </w:pPr>
    </w:p>
    <w:p w:rsidR="001A7C8F" w:rsidRDefault="000B6791" w:rsidP="00ED364F">
      <w:pPr>
        <w:jc w:val="left"/>
      </w:pPr>
      <w:r>
        <w:t>S</w:t>
      </w:r>
      <w:r>
        <w:tab/>
      </w:r>
      <w:r>
        <w:tab/>
      </w:r>
      <w:r>
        <w:tab/>
      </w:r>
      <w:r>
        <w:tab/>
        <w:t>Serine</w:t>
      </w:r>
    </w:p>
    <w:p w:rsidR="00382EF7" w:rsidRDefault="00382EF7" w:rsidP="00ED364F">
      <w:pPr>
        <w:jc w:val="left"/>
      </w:pPr>
      <w:r>
        <w:t>SD</w:t>
      </w:r>
      <w:r>
        <w:tab/>
      </w:r>
      <w:r>
        <w:tab/>
      </w:r>
      <w:r>
        <w:tab/>
      </w:r>
      <w:r>
        <w:tab/>
        <w:t>Standard deviation</w:t>
      </w:r>
    </w:p>
    <w:p w:rsidR="001A7C8F" w:rsidRDefault="001A7C8F" w:rsidP="00ED364F">
      <w:pPr>
        <w:jc w:val="left"/>
      </w:pPr>
      <w:r>
        <w:t>sec(s)</w:t>
      </w:r>
      <w:r w:rsidR="000B6791">
        <w:tab/>
      </w:r>
      <w:r w:rsidR="000B6791">
        <w:tab/>
      </w:r>
      <w:r w:rsidR="000B6791">
        <w:tab/>
      </w:r>
      <w:r w:rsidR="000B6791">
        <w:tab/>
        <w:t>Second(s)</w:t>
      </w:r>
    </w:p>
    <w:p w:rsidR="001A7C8F" w:rsidRDefault="001A7C8F" w:rsidP="00ED364F">
      <w:pPr>
        <w:jc w:val="left"/>
      </w:pPr>
      <w:r>
        <w:t>SEM</w:t>
      </w:r>
      <w:r w:rsidR="000B6791">
        <w:tab/>
      </w:r>
      <w:r w:rsidR="000B6791">
        <w:tab/>
      </w:r>
      <w:r w:rsidR="000B6791">
        <w:tab/>
      </w:r>
      <w:r w:rsidR="000B6791">
        <w:tab/>
        <w:t>Standard error of the mean</w:t>
      </w:r>
    </w:p>
    <w:p w:rsidR="001A7C8F" w:rsidRDefault="001A7C8F" w:rsidP="00ED364F">
      <w:pPr>
        <w:jc w:val="left"/>
      </w:pPr>
      <w:r>
        <w:t>SGSB</w:t>
      </w:r>
      <w:r w:rsidR="000B6791">
        <w:tab/>
      </w:r>
      <w:r w:rsidR="000B6791">
        <w:tab/>
      </w:r>
      <w:r w:rsidR="000B6791">
        <w:tab/>
      </w:r>
      <w:r w:rsidR="000B6791">
        <w:tab/>
        <w:t>Southern green stink bug (</w:t>
      </w:r>
      <w:r w:rsidR="000B6791" w:rsidRPr="000B6791">
        <w:rPr>
          <w:i/>
        </w:rPr>
        <w:t>Nezara viridula</w:t>
      </w:r>
      <w:r w:rsidR="000B6791">
        <w:t>)</w:t>
      </w:r>
    </w:p>
    <w:p w:rsidR="001A7C8F" w:rsidRDefault="001A7C8F" w:rsidP="00ED364F">
      <w:pPr>
        <w:jc w:val="left"/>
      </w:pPr>
      <w:r>
        <w:t>SID</w:t>
      </w:r>
      <w:r w:rsidR="000B6791">
        <w:tab/>
      </w:r>
      <w:r w:rsidR="000B6791">
        <w:tab/>
      </w:r>
      <w:r w:rsidR="000B6791">
        <w:tab/>
      </w:r>
      <w:r w:rsidR="000B6791">
        <w:tab/>
        <w:t>Systemic RNAi defective (receptor)</w:t>
      </w:r>
    </w:p>
    <w:p w:rsidR="001A7C8F" w:rsidRDefault="001A7C8F" w:rsidP="00ED364F">
      <w:pPr>
        <w:jc w:val="left"/>
      </w:pPr>
      <w:r>
        <w:t>si-RISC</w:t>
      </w:r>
      <w:r w:rsidR="000B6791">
        <w:tab/>
      </w:r>
      <w:r w:rsidR="000B6791">
        <w:tab/>
      </w:r>
      <w:r w:rsidR="000B6791">
        <w:tab/>
      </w:r>
      <w:r w:rsidR="000B6791">
        <w:tab/>
        <w:t>siRNA RISC (RISC formed with an siRNA)</w:t>
      </w:r>
    </w:p>
    <w:p w:rsidR="001A7C8F" w:rsidRDefault="001A7C8F" w:rsidP="00ED364F">
      <w:pPr>
        <w:jc w:val="left"/>
      </w:pPr>
      <w:r>
        <w:t>siRNA</w:t>
      </w:r>
      <w:r w:rsidR="000B6791">
        <w:tab/>
      </w:r>
      <w:r w:rsidR="000B6791">
        <w:tab/>
      </w:r>
      <w:r w:rsidR="000B6791">
        <w:tab/>
      </w:r>
      <w:r w:rsidR="000B6791">
        <w:tab/>
        <w:t>S</w:t>
      </w:r>
      <w:r w:rsidR="00F5650A">
        <w:t>hort</w:t>
      </w:r>
      <w:r w:rsidR="000B6791">
        <w:t xml:space="preserve"> interfering RNA</w:t>
      </w:r>
    </w:p>
    <w:p w:rsidR="00905D2D" w:rsidRDefault="00905D2D" w:rsidP="00ED364F">
      <w:pPr>
        <w:jc w:val="left"/>
      </w:pPr>
      <w:r>
        <w:t>S</w:t>
      </w:r>
      <w:r w:rsidRPr="00905D2D">
        <w:rPr>
          <w:vertAlign w:val="subscript"/>
        </w:rPr>
        <w:t>N</w:t>
      </w:r>
      <w:r>
        <w:t>2</w:t>
      </w:r>
      <w:r w:rsidR="000B6791">
        <w:tab/>
      </w:r>
      <w:r w:rsidR="000B6791">
        <w:tab/>
      </w:r>
      <w:r w:rsidR="000B6791">
        <w:tab/>
      </w:r>
      <w:r w:rsidR="000B6791">
        <w:tab/>
        <w:t>Substitution nucleophilic bimolecular (reaction)</w:t>
      </w:r>
    </w:p>
    <w:p w:rsidR="001A7C8F" w:rsidRDefault="001A7C8F" w:rsidP="00ED364F">
      <w:pPr>
        <w:jc w:val="left"/>
      </w:pPr>
      <w:r>
        <w:t>SP6</w:t>
      </w:r>
      <w:r w:rsidR="000B6791">
        <w:tab/>
      </w:r>
      <w:r w:rsidR="000B6791">
        <w:tab/>
      </w:r>
      <w:r w:rsidR="000B6791">
        <w:tab/>
      </w:r>
      <w:r w:rsidR="000B6791">
        <w:tab/>
        <w:t>SP6 RNA polymerase</w:t>
      </w:r>
    </w:p>
    <w:p w:rsidR="001A7C8F" w:rsidRDefault="001A7C8F" w:rsidP="00ED364F">
      <w:pPr>
        <w:jc w:val="left"/>
      </w:pPr>
      <w:r>
        <w:t>SPE</w:t>
      </w:r>
      <w:r w:rsidR="000B6791">
        <w:tab/>
      </w:r>
      <w:r w:rsidR="000B6791">
        <w:tab/>
      </w:r>
      <w:r w:rsidR="000B6791">
        <w:tab/>
      </w:r>
      <w:r w:rsidR="000B6791">
        <w:tab/>
        <w:t>Solid phase extraction</w:t>
      </w:r>
    </w:p>
    <w:p w:rsidR="001A7C8F" w:rsidRDefault="001A7C8F" w:rsidP="00ED364F">
      <w:pPr>
        <w:jc w:val="left"/>
      </w:pPr>
      <w:r>
        <w:t>SR-CI</w:t>
      </w:r>
      <w:r>
        <w:tab/>
      </w:r>
      <w:r>
        <w:tab/>
      </w:r>
      <w:r>
        <w:tab/>
      </w:r>
      <w:r>
        <w:tab/>
        <w:t xml:space="preserve">Scavenger receptor </w:t>
      </w:r>
      <w:r w:rsidR="000B6791">
        <w:t>class C, type I</w:t>
      </w:r>
    </w:p>
    <w:p w:rsidR="001A7C8F" w:rsidRDefault="001A7C8F" w:rsidP="00ED364F">
      <w:pPr>
        <w:jc w:val="left"/>
      </w:pPr>
      <w:r>
        <w:t>sRNA</w:t>
      </w:r>
      <w:r w:rsidR="000B6791">
        <w:tab/>
      </w:r>
      <w:r w:rsidR="000B6791">
        <w:tab/>
      </w:r>
      <w:r w:rsidR="000B6791">
        <w:tab/>
      </w:r>
      <w:r w:rsidR="000B6791">
        <w:tab/>
        <w:t>Small RNA</w:t>
      </w:r>
    </w:p>
    <w:p w:rsidR="00905D2D" w:rsidRDefault="00905D2D" w:rsidP="00ED364F">
      <w:pPr>
        <w:jc w:val="left"/>
      </w:pPr>
      <w:r>
        <w:t>SRSF</w:t>
      </w:r>
      <w:r w:rsidR="000B6791">
        <w:tab/>
      </w:r>
      <w:r w:rsidR="000B6791">
        <w:tab/>
      </w:r>
      <w:r w:rsidR="000B6791">
        <w:tab/>
      </w:r>
      <w:r w:rsidR="000B6791">
        <w:tab/>
        <w:t>Sheffield RNAi Screening Facility</w:t>
      </w:r>
    </w:p>
    <w:p w:rsidR="001A7C8F" w:rsidRDefault="001A7C8F" w:rsidP="00ED364F">
      <w:pPr>
        <w:jc w:val="left"/>
      </w:pPr>
      <w:r>
        <w:t>ss</w:t>
      </w:r>
      <w:r w:rsidR="000B6791">
        <w:tab/>
      </w:r>
      <w:r w:rsidR="000B6791">
        <w:tab/>
      </w:r>
      <w:r w:rsidR="000B6791">
        <w:tab/>
      </w:r>
      <w:r w:rsidR="000B6791">
        <w:tab/>
        <w:t>Single stranded</w:t>
      </w:r>
    </w:p>
    <w:p w:rsidR="001A7C8F" w:rsidRDefault="001A7C8F" w:rsidP="00ED364F">
      <w:pPr>
        <w:jc w:val="left"/>
      </w:pPr>
      <w:r>
        <w:t>ssRNA</w:t>
      </w:r>
      <w:r w:rsidR="000B6791">
        <w:tab/>
      </w:r>
      <w:r w:rsidR="000B6791">
        <w:tab/>
      </w:r>
      <w:r w:rsidR="000B6791">
        <w:tab/>
      </w:r>
      <w:r w:rsidR="000B6791">
        <w:tab/>
        <w:t>Single stranded RNA</w:t>
      </w:r>
    </w:p>
    <w:p w:rsidR="001A7C8F" w:rsidRDefault="001A7C8F" w:rsidP="00ED364F">
      <w:pPr>
        <w:jc w:val="left"/>
      </w:pPr>
      <w:r>
        <w:t>ss-siRNA</w:t>
      </w:r>
      <w:r w:rsidR="000B6791">
        <w:tab/>
      </w:r>
      <w:r w:rsidR="000B6791">
        <w:tab/>
      </w:r>
      <w:r w:rsidR="000B6791">
        <w:tab/>
        <w:t>Single stranded short interfering RNA</w:t>
      </w:r>
    </w:p>
    <w:p w:rsidR="00905D2D" w:rsidRDefault="00905D2D" w:rsidP="00ED364F">
      <w:pPr>
        <w:jc w:val="left"/>
      </w:pPr>
      <w:r>
        <w:t>STAT(92E)</w:t>
      </w:r>
      <w:r w:rsidR="000B6791">
        <w:tab/>
      </w:r>
      <w:r w:rsidR="000B6791">
        <w:tab/>
      </w:r>
      <w:r w:rsidR="000B6791">
        <w:tab/>
        <w:t>Signal transducer and activator of transcription</w:t>
      </w:r>
    </w:p>
    <w:p w:rsidR="00905D2D" w:rsidRDefault="00905D2D" w:rsidP="00ED364F">
      <w:pPr>
        <w:jc w:val="left"/>
      </w:pPr>
    </w:p>
    <w:p w:rsidR="00905D2D" w:rsidRDefault="00905D2D" w:rsidP="00ED364F">
      <w:pPr>
        <w:jc w:val="left"/>
      </w:pPr>
      <w:r>
        <w:t>T</w:t>
      </w:r>
      <w:r>
        <w:tab/>
      </w:r>
      <w:r>
        <w:tab/>
      </w:r>
      <w:r>
        <w:tab/>
      </w:r>
      <w:r>
        <w:tab/>
        <w:t>Threonine</w:t>
      </w:r>
    </w:p>
    <w:p w:rsidR="00905D2D" w:rsidRDefault="00905D2D" w:rsidP="00ED364F">
      <w:pPr>
        <w:jc w:val="left"/>
      </w:pPr>
      <w:r>
        <w:t>T4-BGT</w:t>
      </w:r>
      <w:r w:rsidR="000B6791">
        <w:tab/>
      </w:r>
      <w:r w:rsidR="000B6791">
        <w:tab/>
      </w:r>
      <w:r w:rsidR="000B6791">
        <w:tab/>
      </w:r>
      <w:r w:rsidR="000B6791">
        <w:tab/>
        <w:t>T4 Phage β-glucosyltransferase</w:t>
      </w:r>
    </w:p>
    <w:p w:rsidR="00905D2D" w:rsidRDefault="00905D2D" w:rsidP="00ED364F">
      <w:pPr>
        <w:jc w:val="left"/>
      </w:pPr>
      <w:r>
        <w:t>T7</w:t>
      </w:r>
      <w:r w:rsidR="000B6791">
        <w:tab/>
      </w:r>
      <w:r w:rsidR="000B6791">
        <w:tab/>
      </w:r>
      <w:r w:rsidR="000B6791">
        <w:tab/>
      </w:r>
      <w:r w:rsidR="000B6791">
        <w:tab/>
        <w:t>T7 RNA polymerase</w:t>
      </w:r>
    </w:p>
    <w:p w:rsidR="00905D2D" w:rsidRDefault="00905D2D" w:rsidP="00ED364F">
      <w:pPr>
        <w:jc w:val="left"/>
      </w:pPr>
      <w:r>
        <w:t>T7R&amp;D</w:t>
      </w:r>
      <w:r w:rsidR="000B6791">
        <w:tab/>
      </w:r>
      <w:r w:rsidR="000B6791">
        <w:tab/>
      </w:r>
      <w:r w:rsidR="000B6791">
        <w:tab/>
      </w:r>
      <w:r w:rsidR="000B6791">
        <w:tab/>
        <w:t>T7 RNA and DNA polymerase</w:t>
      </w:r>
    </w:p>
    <w:p w:rsidR="00905D2D" w:rsidRDefault="00905D2D" w:rsidP="00ED364F">
      <w:pPr>
        <w:jc w:val="left"/>
      </w:pPr>
      <w:r>
        <w:t>TAE</w:t>
      </w:r>
      <w:r w:rsidR="000B6791">
        <w:tab/>
      </w:r>
      <w:r w:rsidR="000B6791">
        <w:tab/>
      </w:r>
      <w:r w:rsidR="000B6791">
        <w:tab/>
      </w:r>
      <w:r w:rsidR="000B6791">
        <w:tab/>
        <w:t>Tris-Acetate-EDTA (buffer)</w:t>
      </w:r>
    </w:p>
    <w:p w:rsidR="00905D2D" w:rsidRDefault="00905D2D" w:rsidP="00ED364F">
      <w:pPr>
        <w:jc w:val="left"/>
      </w:pPr>
      <w:r>
        <w:t>TEAA</w:t>
      </w:r>
      <w:r w:rsidR="000B6791">
        <w:tab/>
      </w:r>
      <w:r w:rsidR="000B6791">
        <w:tab/>
      </w:r>
      <w:r w:rsidR="000B6791">
        <w:tab/>
      </w:r>
      <w:r w:rsidR="000B6791">
        <w:tab/>
        <w:t>Triethylammonium acetate</w:t>
      </w:r>
    </w:p>
    <w:p w:rsidR="00905D2D" w:rsidRDefault="00905D2D" w:rsidP="00ED364F">
      <w:pPr>
        <w:jc w:val="left"/>
      </w:pPr>
      <w:r>
        <w:t>tRNA</w:t>
      </w:r>
      <w:r w:rsidR="00717CC7">
        <w:tab/>
      </w:r>
      <w:r w:rsidR="00717CC7">
        <w:tab/>
      </w:r>
      <w:r w:rsidR="00717CC7">
        <w:tab/>
      </w:r>
      <w:r w:rsidR="00717CC7">
        <w:tab/>
        <w:t>Transfer RNA</w:t>
      </w:r>
    </w:p>
    <w:p w:rsidR="00905D2D" w:rsidRDefault="00905D2D" w:rsidP="00ED364F">
      <w:pPr>
        <w:jc w:val="left"/>
      </w:pPr>
      <w:r>
        <w:t>T-test</w:t>
      </w:r>
      <w:r w:rsidR="00717CC7">
        <w:tab/>
      </w:r>
      <w:r w:rsidR="00717CC7">
        <w:tab/>
      </w:r>
      <w:r w:rsidR="00717CC7">
        <w:tab/>
      </w:r>
      <w:r w:rsidR="00717CC7">
        <w:tab/>
        <w:t>Student’s T-test</w:t>
      </w:r>
    </w:p>
    <w:p w:rsidR="00905D2D" w:rsidRDefault="00905D2D" w:rsidP="00ED364F">
      <w:pPr>
        <w:jc w:val="left"/>
      </w:pPr>
    </w:p>
    <w:p w:rsidR="00905D2D" w:rsidRDefault="00905D2D" w:rsidP="00ED364F">
      <w:pPr>
        <w:jc w:val="left"/>
      </w:pPr>
      <w:r>
        <w:t>U</w:t>
      </w:r>
      <w:r>
        <w:tab/>
      </w:r>
      <w:r>
        <w:tab/>
      </w:r>
      <w:r>
        <w:tab/>
      </w:r>
      <w:r>
        <w:tab/>
        <w:t>Unit of protein</w:t>
      </w:r>
    </w:p>
    <w:p w:rsidR="00905D2D" w:rsidRDefault="00905D2D" w:rsidP="00ED364F">
      <w:pPr>
        <w:jc w:val="left"/>
      </w:pPr>
      <w:r>
        <w:t>UDP</w:t>
      </w:r>
      <w:r w:rsidR="00717CC7">
        <w:t>G</w:t>
      </w:r>
      <w:r w:rsidR="00717CC7">
        <w:tab/>
      </w:r>
      <w:r w:rsidR="00717CC7">
        <w:tab/>
      </w:r>
      <w:r w:rsidR="00717CC7">
        <w:tab/>
      </w:r>
      <w:r w:rsidR="00717CC7">
        <w:tab/>
        <w:t xml:space="preserve">Uridine diphosphate glucose </w:t>
      </w:r>
    </w:p>
    <w:p w:rsidR="00905D2D" w:rsidRDefault="00905D2D" w:rsidP="00ED364F">
      <w:pPr>
        <w:jc w:val="left"/>
      </w:pPr>
      <w:r>
        <w:t>Un</w:t>
      </w:r>
      <w:r w:rsidR="00717CC7">
        <w:tab/>
      </w:r>
      <w:r w:rsidR="00717CC7">
        <w:tab/>
      </w:r>
      <w:r w:rsidR="00717CC7">
        <w:tab/>
      </w:r>
      <w:r w:rsidR="00717CC7">
        <w:tab/>
        <w:t>Unmodified</w:t>
      </w:r>
    </w:p>
    <w:p w:rsidR="00905D2D" w:rsidRDefault="00905D2D" w:rsidP="00ED364F">
      <w:pPr>
        <w:jc w:val="left"/>
      </w:pPr>
      <w:r>
        <w:t>UNA</w:t>
      </w:r>
      <w:r w:rsidR="00717CC7">
        <w:tab/>
      </w:r>
      <w:r w:rsidR="00717CC7">
        <w:tab/>
      </w:r>
      <w:r w:rsidR="00717CC7">
        <w:tab/>
      </w:r>
      <w:r w:rsidR="00717CC7">
        <w:tab/>
        <w:t>Unlocked nucleic acid</w:t>
      </w:r>
    </w:p>
    <w:p w:rsidR="00905D2D" w:rsidRDefault="00905D2D" w:rsidP="00ED364F">
      <w:pPr>
        <w:jc w:val="left"/>
      </w:pPr>
      <w:r>
        <w:t>Unmod</w:t>
      </w:r>
      <w:r w:rsidR="00717CC7">
        <w:tab/>
      </w:r>
      <w:r w:rsidR="00717CC7">
        <w:tab/>
      </w:r>
      <w:r w:rsidR="00717CC7">
        <w:tab/>
      </w:r>
      <w:r w:rsidR="00717CC7">
        <w:tab/>
        <w:t>Unmodified</w:t>
      </w:r>
    </w:p>
    <w:p w:rsidR="00905D2D" w:rsidRDefault="00905D2D" w:rsidP="00ED364F">
      <w:pPr>
        <w:jc w:val="left"/>
      </w:pPr>
      <w:r>
        <w:t>Upd</w:t>
      </w:r>
      <w:r w:rsidR="00717CC7">
        <w:tab/>
      </w:r>
      <w:r w:rsidR="00717CC7">
        <w:tab/>
      </w:r>
      <w:r w:rsidR="00717CC7">
        <w:tab/>
      </w:r>
      <w:r w:rsidR="00717CC7">
        <w:tab/>
        <w:t>Unpaired</w:t>
      </w:r>
    </w:p>
    <w:p w:rsidR="00905D2D" w:rsidRDefault="00905D2D" w:rsidP="00ED364F">
      <w:pPr>
        <w:jc w:val="left"/>
      </w:pPr>
      <w:r>
        <w:lastRenderedPageBreak/>
        <w:t>UTP</w:t>
      </w:r>
      <w:r w:rsidR="00717CC7">
        <w:tab/>
      </w:r>
      <w:r w:rsidR="00717CC7">
        <w:tab/>
      </w:r>
      <w:r w:rsidR="00717CC7">
        <w:tab/>
      </w:r>
      <w:r w:rsidR="00717CC7">
        <w:tab/>
        <w:t>Uridine triphosphate</w:t>
      </w:r>
    </w:p>
    <w:p w:rsidR="00905D2D" w:rsidRDefault="00905D2D" w:rsidP="00ED364F">
      <w:pPr>
        <w:jc w:val="left"/>
      </w:pPr>
      <w:r>
        <w:t>UV</w:t>
      </w:r>
      <w:r w:rsidR="00717CC7">
        <w:tab/>
      </w:r>
      <w:r w:rsidR="00717CC7">
        <w:tab/>
      </w:r>
      <w:r w:rsidR="00717CC7">
        <w:tab/>
      </w:r>
      <w:r w:rsidR="00717CC7">
        <w:tab/>
        <w:t xml:space="preserve">Ultraviolet </w:t>
      </w:r>
    </w:p>
    <w:p w:rsidR="00905D2D" w:rsidRDefault="00905D2D" w:rsidP="00ED364F">
      <w:pPr>
        <w:jc w:val="left"/>
      </w:pPr>
      <w:r>
        <w:t>µg</w:t>
      </w:r>
      <w:r w:rsidR="00717CC7">
        <w:tab/>
      </w:r>
      <w:r w:rsidR="00717CC7">
        <w:tab/>
      </w:r>
      <w:r w:rsidR="00717CC7">
        <w:tab/>
      </w:r>
      <w:r w:rsidR="00717CC7">
        <w:tab/>
        <w:t>Microgram</w:t>
      </w:r>
    </w:p>
    <w:p w:rsidR="00905D2D" w:rsidRDefault="00905D2D" w:rsidP="00ED364F">
      <w:pPr>
        <w:jc w:val="left"/>
      </w:pPr>
      <w:r>
        <w:t>µl</w:t>
      </w:r>
      <w:r w:rsidR="00717CC7">
        <w:tab/>
      </w:r>
      <w:r w:rsidR="00717CC7">
        <w:tab/>
      </w:r>
      <w:r w:rsidR="00717CC7">
        <w:tab/>
      </w:r>
      <w:r w:rsidR="00717CC7">
        <w:tab/>
        <w:t>Microlitre</w:t>
      </w:r>
    </w:p>
    <w:p w:rsidR="00905D2D" w:rsidRDefault="00905D2D" w:rsidP="00ED364F">
      <w:pPr>
        <w:jc w:val="left"/>
      </w:pPr>
      <w:r>
        <w:t>µM</w:t>
      </w:r>
      <w:r w:rsidR="00717CC7">
        <w:tab/>
      </w:r>
      <w:r w:rsidR="00717CC7">
        <w:tab/>
      </w:r>
      <w:r w:rsidR="00717CC7">
        <w:tab/>
      </w:r>
      <w:r w:rsidR="00717CC7">
        <w:tab/>
        <w:t>Micromolar</w:t>
      </w:r>
    </w:p>
    <w:p w:rsidR="00905D2D" w:rsidRDefault="00905D2D" w:rsidP="00ED364F">
      <w:pPr>
        <w:jc w:val="left"/>
      </w:pPr>
    </w:p>
    <w:p w:rsidR="00905D2D" w:rsidRDefault="00905D2D" w:rsidP="00ED364F">
      <w:pPr>
        <w:jc w:val="left"/>
      </w:pPr>
      <w:r>
        <w:t>vsiRNAs</w:t>
      </w:r>
      <w:r w:rsidR="00717CC7">
        <w:tab/>
      </w:r>
      <w:r w:rsidR="00717CC7">
        <w:tab/>
      </w:r>
      <w:r w:rsidR="00717CC7">
        <w:tab/>
      </w:r>
      <w:r w:rsidR="00717CC7">
        <w:tab/>
        <w:t>Virus-derived siRNAs</w:t>
      </w:r>
    </w:p>
    <w:p w:rsidR="00905D2D" w:rsidRDefault="00905D2D" w:rsidP="00ED364F">
      <w:pPr>
        <w:jc w:val="left"/>
      </w:pPr>
    </w:p>
    <w:p w:rsidR="00905D2D" w:rsidRDefault="00905D2D" w:rsidP="00ED364F">
      <w:pPr>
        <w:jc w:val="left"/>
      </w:pPr>
      <w:r>
        <w:t>WCR</w:t>
      </w:r>
      <w:r w:rsidR="00717CC7">
        <w:tab/>
      </w:r>
      <w:r w:rsidR="00717CC7">
        <w:tab/>
      </w:r>
      <w:r w:rsidR="00717CC7">
        <w:tab/>
      </w:r>
      <w:r w:rsidR="00717CC7">
        <w:tab/>
        <w:t>Western corn rootworm (</w:t>
      </w:r>
      <w:r w:rsidR="00717CC7" w:rsidRPr="00717CC7">
        <w:rPr>
          <w:i/>
        </w:rPr>
        <w:t>Diabrotica virgifera virgifera</w:t>
      </w:r>
      <w:r w:rsidR="00717CC7">
        <w:t>)</w:t>
      </w:r>
    </w:p>
    <w:p w:rsidR="00905D2D" w:rsidRDefault="00905D2D" w:rsidP="00ED364F">
      <w:pPr>
        <w:jc w:val="left"/>
      </w:pPr>
      <w:r>
        <w:t>w/v</w:t>
      </w:r>
      <w:r w:rsidR="00717CC7">
        <w:tab/>
      </w:r>
      <w:r w:rsidR="00717CC7">
        <w:tab/>
      </w:r>
      <w:r w:rsidR="00717CC7">
        <w:tab/>
      </w:r>
      <w:r w:rsidR="00717CC7">
        <w:tab/>
        <w:t>Weight per volume (percentage)</w:t>
      </w:r>
    </w:p>
    <w:p w:rsidR="00905D2D" w:rsidRDefault="00905D2D" w:rsidP="00ED364F">
      <w:pPr>
        <w:jc w:val="left"/>
      </w:pPr>
    </w:p>
    <w:p w:rsidR="001A7C8F" w:rsidRDefault="001A7C8F" w:rsidP="00ED364F">
      <w:pPr>
        <w:jc w:val="left"/>
      </w:pPr>
    </w:p>
    <w:p w:rsidR="001A7C8F" w:rsidRDefault="001A7C8F" w:rsidP="00ED364F">
      <w:pPr>
        <w:jc w:val="left"/>
      </w:pPr>
    </w:p>
    <w:p w:rsidR="001A7C8F" w:rsidRDefault="001A7C8F" w:rsidP="00ED364F">
      <w:pPr>
        <w:jc w:val="left"/>
      </w:pPr>
    </w:p>
    <w:p w:rsidR="001A7C8F" w:rsidRDefault="001A7C8F" w:rsidP="00ED364F">
      <w:pPr>
        <w:jc w:val="left"/>
      </w:pPr>
    </w:p>
    <w:p w:rsidR="001A7C8F" w:rsidRDefault="001A7C8F" w:rsidP="00ED364F">
      <w:pPr>
        <w:jc w:val="left"/>
      </w:pPr>
    </w:p>
    <w:p w:rsidR="001A7C8F" w:rsidRDefault="001A7C8F" w:rsidP="00ED364F">
      <w:pPr>
        <w:jc w:val="left"/>
      </w:pPr>
    </w:p>
    <w:p w:rsidR="001A7C8F" w:rsidRDefault="001A7C8F" w:rsidP="00ED364F">
      <w:pPr>
        <w:jc w:val="left"/>
      </w:pPr>
    </w:p>
    <w:p w:rsidR="00ED364F" w:rsidRPr="00ED364F" w:rsidRDefault="00ED364F" w:rsidP="00ED364F">
      <w:pPr>
        <w:jc w:val="left"/>
      </w:pPr>
    </w:p>
    <w:p w:rsidR="00ED364F" w:rsidRDefault="00ED364F" w:rsidP="00ED364F">
      <w:pPr>
        <w:jc w:val="left"/>
      </w:pPr>
    </w:p>
    <w:p w:rsidR="00ED364F" w:rsidRDefault="00ED364F" w:rsidP="00ED364F">
      <w:pPr>
        <w:jc w:val="left"/>
      </w:pPr>
    </w:p>
    <w:p w:rsidR="00ED364F" w:rsidRDefault="00ED364F" w:rsidP="00ED364F">
      <w:pPr>
        <w:jc w:val="left"/>
      </w:pPr>
    </w:p>
    <w:p w:rsidR="00ED364F" w:rsidRDefault="00ED364F" w:rsidP="00ED364F">
      <w:pPr>
        <w:jc w:val="left"/>
      </w:pPr>
    </w:p>
    <w:p w:rsidR="00717CC7" w:rsidRDefault="00717CC7">
      <w:pPr>
        <w:spacing w:after="200"/>
        <w:jc w:val="left"/>
        <w:rPr>
          <w:i/>
        </w:rPr>
      </w:pPr>
      <w:r>
        <w:rPr>
          <w:i/>
        </w:rPr>
        <w:br w:type="page"/>
      </w:r>
    </w:p>
    <w:p w:rsidR="000441D9" w:rsidRPr="00ED364F" w:rsidRDefault="000441D9" w:rsidP="00ED364F">
      <w:pPr>
        <w:jc w:val="left"/>
        <w:rPr>
          <w:i/>
        </w:rPr>
      </w:pPr>
      <w:r w:rsidRPr="00ED364F">
        <w:rPr>
          <w:i/>
        </w:rPr>
        <w:lastRenderedPageBreak/>
        <w:br w:type="page"/>
      </w:r>
    </w:p>
    <w:p w:rsidR="00184A9F" w:rsidRDefault="00184A9F" w:rsidP="000441D9">
      <w:pPr>
        <w:pStyle w:val="Heading1"/>
        <w:numPr>
          <w:ilvl w:val="0"/>
          <w:numId w:val="0"/>
        </w:numPr>
      </w:pPr>
      <w:bookmarkStart w:id="4" w:name="_Toc35333909"/>
      <w:r>
        <w:lastRenderedPageBreak/>
        <w:t>List of figures</w:t>
      </w:r>
      <w:r w:rsidR="000441D9">
        <w:t xml:space="preserve"> and tables</w:t>
      </w:r>
      <w:bookmarkEnd w:id="4"/>
    </w:p>
    <w:p w:rsidR="00595094" w:rsidRDefault="00595094" w:rsidP="00595094"/>
    <w:p w:rsidR="00595094" w:rsidRPr="00595094" w:rsidRDefault="00595094" w:rsidP="00595094">
      <w:pPr>
        <w:rPr>
          <w:b/>
        </w:rPr>
      </w:pPr>
      <w:r w:rsidRPr="00595094">
        <w:rPr>
          <w:b/>
        </w:rPr>
        <w:t>Figures</w:t>
      </w:r>
    </w:p>
    <w:p w:rsidR="00D515A4" w:rsidRDefault="00D515A4" w:rsidP="00D515A4"/>
    <w:p w:rsidR="00792A33" w:rsidRDefault="005C0E76" w:rsidP="00792A33">
      <w:pPr>
        <w:pStyle w:val="TableofFigures"/>
        <w:tabs>
          <w:tab w:val="right" w:leader="dot" w:pos="9016"/>
        </w:tabs>
        <w:spacing w:after="120"/>
        <w:rPr>
          <w:rFonts w:eastAsiaTheme="minorEastAsia"/>
          <w:noProof/>
          <w:lang w:eastAsia="en-GB"/>
        </w:rPr>
      </w:pPr>
      <w:r>
        <w:fldChar w:fldCharType="begin"/>
      </w:r>
      <w:r w:rsidR="00D515A4">
        <w:instrText xml:space="preserve"> TOC \h \z \c "Figure" </w:instrText>
      </w:r>
      <w:r>
        <w:fldChar w:fldCharType="separate"/>
      </w:r>
      <w:hyperlink w:anchor="_Toc20411626" w:history="1">
        <w:r w:rsidR="00792A33" w:rsidRPr="004B6B6E">
          <w:rPr>
            <w:rStyle w:val="Hyperlink"/>
            <w:noProof/>
          </w:rPr>
          <w:t>Figure 1.1 An example of protection of potato plants from insect pests (Colorado potato beetle) using a dsRNA based biocontrol.</w:t>
        </w:r>
        <w:r w:rsidR="00792A33">
          <w:rPr>
            <w:noProof/>
            <w:webHidden/>
          </w:rPr>
          <w:tab/>
        </w:r>
        <w:r>
          <w:rPr>
            <w:noProof/>
            <w:webHidden/>
          </w:rPr>
          <w:fldChar w:fldCharType="begin"/>
        </w:r>
        <w:r w:rsidR="00792A33">
          <w:rPr>
            <w:noProof/>
            <w:webHidden/>
          </w:rPr>
          <w:instrText xml:space="preserve"> PAGEREF _Toc20411626 \h </w:instrText>
        </w:r>
        <w:r>
          <w:rPr>
            <w:noProof/>
            <w:webHidden/>
          </w:rPr>
        </w:r>
        <w:r>
          <w:rPr>
            <w:noProof/>
            <w:webHidden/>
          </w:rPr>
          <w:fldChar w:fldCharType="separate"/>
        </w:r>
        <w:r w:rsidR="008F594A">
          <w:rPr>
            <w:noProof/>
            <w:webHidden/>
          </w:rPr>
          <w:t>26</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27" w:history="1">
        <w:r w:rsidR="00792A33" w:rsidRPr="004B6B6E">
          <w:rPr>
            <w:rStyle w:val="Hyperlink"/>
            <w:noProof/>
          </w:rPr>
          <w:t>Figure 1.2 Schematic of the miRNA and siRNA RNAi pathways in insects.</w:t>
        </w:r>
        <w:r w:rsidR="00792A33">
          <w:rPr>
            <w:noProof/>
            <w:webHidden/>
          </w:rPr>
          <w:tab/>
        </w:r>
        <w:r>
          <w:rPr>
            <w:noProof/>
            <w:webHidden/>
          </w:rPr>
          <w:fldChar w:fldCharType="begin"/>
        </w:r>
        <w:r w:rsidR="00792A33">
          <w:rPr>
            <w:noProof/>
            <w:webHidden/>
          </w:rPr>
          <w:instrText xml:space="preserve"> PAGEREF _Toc20411627 \h </w:instrText>
        </w:r>
        <w:r>
          <w:rPr>
            <w:noProof/>
            <w:webHidden/>
          </w:rPr>
        </w:r>
        <w:r>
          <w:rPr>
            <w:noProof/>
            <w:webHidden/>
          </w:rPr>
          <w:fldChar w:fldCharType="separate"/>
        </w:r>
        <w:r w:rsidR="008F594A">
          <w:rPr>
            <w:noProof/>
            <w:webHidden/>
          </w:rPr>
          <w:t>30</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28" w:history="1">
        <w:r w:rsidR="00792A33" w:rsidRPr="004B6B6E">
          <w:rPr>
            <w:rStyle w:val="Hyperlink"/>
            <w:noProof/>
          </w:rPr>
          <w:t>Figure 1.3 Proposed route of dsRNA from application to RNAi.</w:t>
        </w:r>
        <w:r w:rsidR="00792A33">
          <w:rPr>
            <w:noProof/>
            <w:webHidden/>
          </w:rPr>
          <w:tab/>
        </w:r>
        <w:r>
          <w:rPr>
            <w:noProof/>
            <w:webHidden/>
          </w:rPr>
          <w:fldChar w:fldCharType="begin"/>
        </w:r>
        <w:r w:rsidR="00792A33">
          <w:rPr>
            <w:noProof/>
            <w:webHidden/>
          </w:rPr>
          <w:instrText xml:space="preserve"> PAGEREF _Toc20411628 \h </w:instrText>
        </w:r>
        <w:r>
          <w:rPr>
            <w:noProof/>
            <w:webHidden/>
          </w:rPr>
        </w:r>
        <w:r>
          <w:rPr>
            <w:noProof/>
            <w:webHidden/>
          </w:rPr>
          <w:fldChar w:fldCharType="separate"/>
        </w:r>
        <w:r w:rsidR="008F594A">
          <w:rPr>
            <w:noProof/>
            <w:webHidden/>
          </w:rPr>
          <w:t>38</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29" w:history="1">
        <w:r w:rsidR="00792A33" w:rsidRPr="004B6B6E">
          <w:rPr>
            <w:rStyle w:val="Hyperlink"/>
            <w:noProof/>
          </w:rPr>
          <w:t>Figure 1.4 Structural formulae of common nucleic acid chemical modifications.</w:t>
        </w:r>
        <w:r w:rsidR="00792A33">
          <w:rPr>
            <w:noProof/>
            <w:webHidden/>
          </w:rPr>
          <w:tab/>
        </w:r>
        <w:r>
          <w:rPr>
            <w:noProof/>
            <w:webHidden/>
          </w:rPr>
          <w:fldChar w:fldCharType="begin"/>
        </w:r>
        <w:r w:rsidR="00792A33">
          <w:rPr>
            <w:noProof/>
            <w:webHidden/>
          </w:rPr>
          <w:instrText xml:space="preserve"> PAGEREF _Toc20411629 \h </w:instrText>
        </w:r>
        <w:r>
          <w:rPr>
            <w:noProof/>
            <w:webHidden/>
          </w:rPr>
        </w:r>
        <w:r>
          <w:rPr>
            <w:noProof/>
            <w:webHidden/>
          </w:rPr>
          <w:fldChar w:fldCharType="separate"/>
        </w:r>
        <w:r w:rsidR="008F594A">
          <w:rPr>
            <w:noProof/>
            <w:webHidden/>
          </w:rPr>
          <w:t>45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0" w:history="1">
        <w:r w:rsidR="00792A33" w:rsidRPr="004B6B6E">
          <w:rPr>
            <w:rStyle w:val="Hyperlink"/>
            <w:noProof/>
          </w:rPr>
          <w:t>Figure 3.1 Structure of chemically modified nucleotides and nucleotide triphosphates.</w:t>
        </w:r>
        <w:r w:rsidR="00792A33">
          <w:rPr>
            <w:noProof/>
            <w:webHidden/>
          </w:rPr>
          <w:tab/>
        </w:r>
        <w:r>
          <w:rPr>
            <w:noProof/>
            <w:webHidden/>
          </w:rPr>
          <w:fldChar w:fldCharType="begin"/>
        </w:r>
        <w:r w:rsidR="00792A33">
          <w:rPr>
            <w:noProof/>
            <w:webHidden/>
          </w:rPr>
          <w:instrText xml:space="preserve"> PAGEREF _Toc20411630 \h </w:instrText>
        </w:r>
        <w:r>
          <w:rPr>
            <w:noProof/>
            <w:webHidden/>
          </w:rPr>
        </w:r>
        <w:r>
          <w:rPr>
            <w:noProof/>
            <w:webHidden/>
          </w:rPr>
          <w:fldChar w:fldCharType="separate"/>
        </w:r>
        <w:r w:rsidR="008F594A">
          <w:rPr>
            <w:noProof/>
            <w:webHidden/>
          </w:rPr>
          <w:t>72</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1" w:history="1">
        <w:r w:rsidR="00792A33" w:rsidRPr="004B6B6E">
          <w:rPr>
            <w:rStyle w:val="Hyperlink"/>
            <w:noProof/>
          </w:rPr>
          <w:t xml:space="preserve">Figure 3.2 Schematic illustration  of strategies for dsRNA synthesis using </w:t>
        </w:r>
        <w:r w:rsidR="00792A33" w:rsidRPr="004B6B6E">
          <w:rPr>
            <w:rStyle w:val="Hyperlink"/>
            <w:i/>
            <w:iCs/>
            <w:noProof/>
          </w:rPr>
          <w:t xml:space="preserve">in vitro </w:t>
        </w:r>
        <w:r w:rsidR="00792A33" w:rsidRPr="004B6B6E">
          <w:rPr>
            <w:rStyle w:val="Hyperlink"/>
            <w:noProof/>
          </w:rPr>
          <w:t>transcription.</w:t>
        </w:r>
        <w:r w:rsidR="00792A33">
          <w:rPr>
            <w:noProof/>
            <w:webHidden/>
          </w:rPr>
          <w:tab/>
        </w:r>
        <w:r>
          <w:rPr>
            <w:noProof/>
            <w:webHidden/>
          </w:rPr>
          <w:fldChar w:fldCharType="begin"/>
        </w:r>
        <w:r w:rsidR="00792A33">
          <w:rPr>
            <w:noProof/>
            <w:webHidden/>
          </w:rPr>
          <w:instrText xml:space="preserve"> PAGEREF _Toc20411631 \h </w:instrText>
        </w:r>
        <w:r>
          <w:rPr>
            <w:noProof/>
            <w:webHidden/>
          </w:rPr>
        </w:r>
        <w:r>
          <w:rPr>
            <w:noProof/>
            <w:webHidden/>
          </w:rPr>
          <w:fldChar w:fldCharType="separate"/>
        </w:r>
        <w:r w:rsidR="008F594A">
          <w:rPr>
            <w:noProof/>
            <w:webHidden/>
          </w:rPr>
          <w:t>74</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2" w:history="1">
        <w:r w:rsidR="00792A33" w:rsidRPr="004B6B6E">
          <w:rPr>
            <w:rStyle w:val="Hyperlink"/>
            <w:noProof/>
          </w:rPr>
          <w:t xml:space="preserve">Figure 3.3 Synthesis of DNA templates using PCR and dsRNA using </w:t>
        </w:r>
        <w:r w:rsidR="00792A33" w:rsidRPr="004B6B6E">
          <w:rPr>
            <w:rStyle w:val="Hyperlink"/>
            <w:i/>
            <w:iCs/>
            <w:noProof/>
          </w:rPr>
          <w:t xml:space="preserve">in vitro </w:t>
        </w:r>
        <w:r w:rsidR="00792A33" w:rsidRPr="004B6B6E">
          <w:rPr>
            <w:rStyle w:val="Hyperlink"/>
            <w:noProof/>
          </w:rPr>
          <w:t>transcription.</w:t>
        </w:r>
        <w:r w:rsidR="00792A33">
          <w:rPr>
            <w:noProof/>
            <w:webHidden/>
          </w:rPr>
          <w:tab/>
        </w:r>
        <w:r>
          <w:rPr>
            <w:noProof/>
            <w:webHidden/>
          </w:rPr>
          <w:fldChar w:fldCharType="begin"/>
        </w:r>
        <w:r w:rsidR="00792A33">
          <w:rPr>
            <w:noProof/>
            <w:webHidden/>
          </w:rPr>
          <w:instrText xml:space="preserve"> PAGEREF _Toc20411632 \h </w:instrText>
        </w:r>
        <w:r>
          <w:rPr>
            <w:noProof/>
            <w:webHidden/>
          </w:rPr>
        </w:r>
        <w:r>
          <w:rPr>
            <w:noProof/>
            <w:webHidden/>
          </w:rPr>
          <w:fldChar w:fldCharType="separate"/>
        </w:r>
        <w:r w:rsidR="008F594A">
          <w:rPr>
            <w:noProof/>
            <w:webHidden/>
          </w:rPr>
          <w:t>76</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3" w:history="1">
        <w:r w:rsidR="00792A33" w:rsidRPr="004B6B6E">
          <w:rPr>
            <w:rStyle w:val="Hyperlink"/>
            <w:noProof/>
          </w:rPr>
          <w:t>Figure 3.4 Ion pair reverse phase HPLC analysis of unmodified dsRNA.</w:t>
        </w:r>
        <w:r w:rsidR="00792A33">
          <w:rPr>
            <w:noProof/>
            <w:webHidden/>
          </w:rPr>
          <w:tab/>
        </w:r>
        <w:r>
          <w:rPr>
            <w:noProof/>
            <w:webHidden/>
          </w:rPr>
          <w:fldChar w:fldCharType="begin"/>
        </w:r>
        <w:r w:rsidR="00792A33">
          <w:rPr>
            <w:noProof/>
            <w:webHidden/>
          </w:rPr>
          <w:instrText xml:space="preserve"> PAGEREF _Toc20411633 \h </w:instrText>
        </w:r>
        <w:r>
          <w:rPr>
            <w:noProof/>
            <w:webHidden/>
          </w:rPr>
        </w:r>
        <w:r>
          <w:rPr>
            <w:noProof/>
            <w:webHidden/>
          </w:rPr>
          <w:fldChar w:fldCharType="separate"/>
        </w:r>
        <w:r w:rsidR="008F594A">
          <w:rPr>
            <w:noProof/>
            <w:webHidden/>
          </w:rPr>
          <w:t>78</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4" w:history="1">
        <w:r w:rsidR="00792A33" w:rsidRPr="004B6B6E">
          <w:rPr>
            <w:rStyle w:val="Hyperlink"/>
            <w:noProof/>
          </w:rPr>
          <w:t>Figure 3.5 Nomenclature of chemically modified dsRNAs. Nomenclature of chemically modified dsRNAs.</w:t>
        </w:r>
        <w:r w:rsidR="00792A33">
          <w:rPr>
            <w:noProof/>
            <w:webHidden/>
          </w:rPr>
          <w:tab/>
        </w:r>
        <w:r>
          <w:rPr>
            <w:noProof/>
            <w:webHidden/>
          </w:rPr>
          <w:fldChar w:fldCharType="begin"/>
        </w:r>
        <w:r w:rsidR="00792A33">
          <w:rPr>
            <w:noProof/>
            <w:webHidden/>
          </w:rPr>
          <w:instrText xml:space="preserve"> PAGEREF _Toc20411634 \h </w:instrText>
        </w:r>
        <w:r>
          <w:rPr>
            <w:noProof/>
            <w:webHidden/>
          </w:rPr>
        </w:r>
        <w:r>
          <w:rPr>
            <w:noProof/>
            <w:webHidden/>
          </w:rPr>
          <w:fldChar w:fldCharType="separate"/>
        </w:r>
        <w:r w:rsidR="008F594A">
          <w:rPr>
            <w:noProof/>
            <w:webHidden/>
          </w:rPr>
          <w:t>80</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5" w:history="1">
        <w:r w:rsidR="00792A33" w:rsidRPr="004B6B6E">
          <w:rPr>
            <w:rStyle w:val="Hyperlink"/>
            <w:noProof/>
          </w:rPr>
          <w:t>Figure 3.6 Synthesis of phosphorothioate modified long dsRNA using IVT</w:t>
        </w:r>
        <w:r w:rsidR="00792A33">
          <w:rPr>
            <w:noProof/>
            <w:webHidden/>
          </w:rPr>
          <w:tab/>
        </w:r>
        <w:r>
          <w:rPr>
            <w:noProof/>
            <w:webHidden/>
          </w:rPr>
          <w:fldChar w:fldCharType="begin"/>
        </w:r>
        <w:r w:rsidR="00792A33">
          <w:rPr>
            <w:noProof/>
            <w:webHidden/>
          </w:rPr>
          <w:instrText xml:space="preserve"> PAGEREF _Toc20411635 \h </w:instrText>
        </w:r>
        <w:r>
          <w:rPr>
            <w:noProof/>
            <w:webHidden/>
          </w:rPr>
        </w:r>
        <w:r>
          <w:rPr>
            <w:noProof/>
            <w:webHidden/>
          </w:rPr>
          <w:fldChar w:fldCharType="separate"/>
        </w:r>
        <w:r w:rsidR="008F594A">
          <w:rPr>
            <w:noProof/>
            <w:webHidden/>
          </w:rPr>
          <w:t>82</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6" w:history="1">
        <w:r w:rsidR="00792A33" w:rsidRPr="004B6B6E">
          <w:rPr>
            <w:rStyle w:val="Hyperlink"/>
            <w:noProof/>
          </w:rPr>
          <w:t>Figure 3.7 Optimisation of the synthesis of phosphorothioate ssRNA and dsRNA.</w:t>
        </w:r>
        <w:r w:rsidR="00792A33">
          <w:rPr>
            <w:noProof/>
            <w:webHidden/>
          </w:rPr>
          <w:tab/>
        </w:r>
        <w:r>
          <w:rPr>
            <w:noProof/>
            <w:webHidden/>
          </w:rPr>
          <w:fldChar w:fldCharType="begin"/>
        </w:r>
        <w:r w:rsidR="00792A33">
          <w:rPr>
            <w:noProof/>
            <w:webHidden/>
          </w:rPr>
          <w:instrText xml:space="preserve"> PAGEREF _Toc20411636 \h </w:instrText>
        </w:r>
        <w:r>
          <w:rPr>
            <w:noProof/>
            <w:webHidden/>
          </w:rPr>
        </w:r>
        <w:r>
          <w:rPr>
            <w:noProof/>
            <w:webHidden/>
          </w:rPr>
          <w:fldChar w:fldCharType="separate"/>
        </w:r>
        <w:r w:rsidR="008F594A">
          <w:rPr>
            <w:noProof/>
            <w:webHidden/>
          </w:rPr>
          <w:t>85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7" w:history="1">
        <w:r w:rsidR="00792A33" w:rsidRPr="004B6B6E">
          <w:rPr>
            <w:rStyle w:val="Hyperlink"/>
            <w:noProof/>
          </w:rPr>
          <w:t>Figure 3.8 Synthesis of phosphorothioate dsRNA by annealing complimentary unmodified and phosphorothioate ssRNA.</w:t>
        </w:r>
        <w:r w:rsidR="00792A33">
          <w:rPr>
            <w:noProof/>
            <w:webHidden/>
          </w:rPr>
          <w:tab/>
        </w:r>
        <w:r>
          <w:rPr>
            <w:noProof/>
            <w:webHidden/>
          </w:rPr>
          <w:fldChar w:fldCharType="begin"/>
        </w:r>
        <w:r w:rsidR="00792A33">
          <w:rPr>
            <w:noProof/>
            <w:webHidden/>
          </w:rPr>
          <w:instrText xml:space="preserve"> PAGEREF _Toc20411637 \h </w:instrText>
        </w:r>
        <w:r>
          <w:rPr>
            <w:noProof/>
            <w:webHidden/>
          </w:rPr>
        </w:r>
        <w:r>
          <w:rPr>
            <w:noProof/>
            <w:webHidden/>
          </w:rPr>
          <w:fldChar w:fldCharType="separate"/>
        </w:r>
        <w:r w:rsidR="008F594A">
          <w:rPr>
            <w:noProof/>
            <w:webHidden/>
          </w:rPr>
          <w:t>89</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8" w:history="1">
        <w:r w:rsidR="00792A33" w:rsidRPr="004B6B6E">
          <w:rPr>
            <w:rStyle w:val="Hyperlink"/>
            <w:noProof/>
          </w:rPr>
          <w:t>Figure 3.9 Synthesis and optimisation of 2’-fluoro modified long dsRNA.</w:t>
        </w:r>
        <w:r w:rsidR="00792A33">
          <w:rPr>
            <w:noProof/>
            <w:webHidden/>
          </w:rPr>
          <w:tab/>
        </w:r>
        <w:r>
          <w:rPr>
            <w:noProof/>
            <w:webHidden/>
          </w:rPr>
          <w:fldChar w:fldCharType="begin"/>
        </w:r>
        <w:r w:rsidR="00792A33">
          <w:rPr>
            <w:noProof/>
            <w:webHidden/>
          </w:rPr>
          <w:instrText xml:space="preserve"> PAGEREF _Toc20411638 \h </w:instrText>
        </w:r>
        <w:r>
          <w:rPr>
            <w:noProof/>
            <w:webHidden/>
          </w:rPr>
        </w:r>
        <w:r>
          <w:rPr>
            <w:noProof/>
            <w:webHidden/>
          </w:rPr>
          <w:fldChar w:fldCharType="separate"/>
        </w:r>
        <w:r w:rsidR="008F594A">
          <w:rPr>
            <w:noProof/>
            <w:webHidden/>
          </w:rPr>
          <w:t>92</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39" w:history="1">
        <w:r w:rsidR="00792A33" w:rsidRPr="004B6B6E">
          <w:rPr>
            <w:rStyle w:val="Hyperlink"/>
            <w:noProof/>
          </w:rPr>
          <w:t>Figure 3.10 Synthesis and analysis of DNA and RNA containing 5-Hydroxymethyl and Glucosyl-5-Hydroxymethyl modified deoxyribonucleotides and ribonucleotides.</w:t>
        </w:r>
        <w:r w:rsidR="00792A33">
          <w:rPr>
            <w:noProof/>
            <w:webHidden/>
          </w:rPr>
          <w:tab/>
        </w:r>
        <w:r>
          <w:rPr>
            <w:noProof/>
            <w:webHidden/>
          </w:rPr>
          <w:fldChar w:fldCharType="begin"/>
        </w:r>
        <w:r w:rsidR="00792A33">
          <w:rPr>
            <w:noProof/>
            <w:webHidden/>
          </w:rPr>
          <w:instrText xml:space="preserve"> PAGEREF _Toc20411639 \h </w:instrText>
        </w:r>
        <w:r>
          <w:rPr>
            <w:noProof/>
            <w:webHidden/>
          </w:rPr>
        </w:r>
        <w:r>
          <w:rPr>
            <w:noProof/>
            <w:webHidden/>
          </w:rPr>
          <w:fldChar w:fldCharType="separate"/>
        </w:r>
        <w:r w:rsidR="008F594A">
          <w:rPr>
            <w:noProof/>
            <w:webHidden/>
          </w:rPr>
          <w:t>95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0" w:history="1">
        <w:r w:rsidR="00792A33" w:rsidRPr="004B6B6E">
          <w:rPr>
            <w:rStyle w:val="Hyperlink"/>
            <w:noProof/>
          </w:rPr>
          <w:t>Figure 3.11 Synthesis of 5-hydroxymethyl modified long dsRNA.</w:t>
        </w:r>
        <w:r w:rsidR="00792A33">
          <w:rPr>
            <w:noProof/>
            <w:webHidden/>
          </w:rPr>
          <w:tab/>
        </w:r>
        <w:r>
          <w:rPr>
            <w:noProof/>
            <w:webHidden/>
          </w:rPr>
          <w:fldChar w:fldCharType="begin"/>
        </w:r>
        <w:r w:rsidR="00792A33">
          <w:rPr>
            <w:noProof/>
            <w:webHidden/>
          </w:rPr>
          <w:instrText xml:space="preserve"> PAGEREF _Toc20411640 \h </w:instrText>
        </w:r>
        <w:r>
          <w:rPr>
            <w:noProof/>
            <w:webHidden/>
          </w:rPr>
        </w:r>
        <w:r>
          <w:rPr>
            <w:noProof/>
            <w:webHidden/>
          </w:rPr>
          <w:fldChar w:fldCharType="separate"/>
        </w:r>
        <w:r w:rsidR="008F594A">
          <w:rPr>
            <w:noProof/>
            <w:webHidden/>
          </w:rPr>
          <w:t>97</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1" w:history="1">
        <w:r w:rsidR="00792A33" w:rsidRPr="004B6B6E">
          <w:rPr>
            <w:rStyle w:val="Hyperlink"/>
            <w:noProof/>
          </w:rPr>
          <w:t>Figure 3.12 Quantification of unmodified and phosphorothioate modified dsRNA by IP RP HPLC.</w:t>
        </w:r>
        <w:r w:rsidR="00792A33">
          <w:rPr>
            <w:noProof/>
            <w:webHidden/>
          </w:rPr>
          <w:tab/>
        </w:r>
        <w:r>
          <w:rPr>
            <w:noProof/>
            <w:webHidden/>
          </w:rPr>
          <w:fldChar w:fldCharType="begin"/>
        </w:r>
        <w:r w:rsidR="00792A33">
          <w:rPr>
            <w:noProof/>
            <w:webHidden/>
          </w:rPr>
          <w:instrText xml:space="preserve"> PAGEREF _Toc20411641 \h </w:instrText>
        </w:r>
        <w:r>
          <w:rPr>
            <w:noProof/>
            <w:webHidden/>
          </w:rPr>
        </w:r>
        <w:r>
          <w:rPr>
            <w:noProof/>
            <w:webHidden/>
          </w:rPr>
          <w:fldChar w:fldCharType="separate"/>
        </w:r>
        <w:r w:rsidR="008F594A">
          <w:rPr>
            <w:noProof/>
            <w:webHidden/>
          </w:rPr>
          <w:t>99</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2" w:history="1">
        <w:r w:rsidR="00792A33" w:rsidRPr="004B6B6E">
          <w:rPr>
            <w:rStyle w:val="Hyperlink"/>
            <w:noProof/>
          </w:rPr>
          <w:t>Figure 4.1  Schematic  illustration  of  the  domain  architecture  and  mechanism  of  Dicer and  RNase III family enzymes.</w:t>
        </w:r>
        <w:r w:rsidR="00792A33">
          <w:rPr>
            <w:noProof/>
            <w:webHidden/>
          </w:rPr>
          <w:tab/>
        </w:r>
        <w:r>
          <w:rPr>
            <w:noProof/>
            <w:webHidden/>
          </w:rPr>
          <w:fldChar w:fldCharType="begin"/>
        </w:r>
        <w:r w:rsidR="00792A33">
          <w:rPr>
            <w:noProof/>
            <w:webHidden/>
          </w:rPr>
          <w:instrText xml:space="preserve"> PAGEREF _Toc20411642 \h </w:instrText>
        </w:r>
        <w:r>
          <w:rPr>
            <w:noProof/>
            <w:webHidden/>
          </w:rPr>
        </w:r>
        <w:r>
          <w:rPr>
            <w:noProof/>
            <w:webHidden/>
          </w:rPr>
          <w:fldChar w:fldCharType="separate"/>
        </w:r>
        <w:r w:rsidR="008F594A">
          <w:rPr>
            <w:noProof/>
            <w:webHidden/>
          </w:rPr>
          <w:t>107</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3" w:history="1">
        <w:r w:rsidR="00792A33" w:rsidRPr="004B6B6E">
          <w:rPr>
            <w:rStyle w:val="Hyperlink"/>
            <w:noProof/>
          </w:rPr>
          <w:t>Figure 4.2 Processing of unmodified and chemically modified dsRNA to esiRNAs by bacterial RNase III.</w:t>
        </w:r>
        <w:r w:rsidR="00792A33">
          <w:rPr>
            <w:noProof/>
            <w:webHidden/>
          </w:rPr>
          <w:tab/>
        </w:r>
        <w:r>
          <w:rPr>
            <w:noProof/>
            <w:webHidden/>
          </w:rPr>
          <w:fldChar w:fldCharType="begin"/>
        </w:r>
        <w:r w:rsidR="00792A33">
          <w:rPr>
            <w:noProof/>
            <w:webHidden/>
          </w:rPr>
          <w:instrText xml:space="preserve"> PAGEREF _Toc20411643 \h </w:instrText>
        </w:r>
        <w:r>
          <w:rPr>
            <w:noProof/>
            <w:webHidden/>
          </w:rPr>
        </w:r>
        <w:r>
          <w:rPr>
            <w:noProof/>
            <w:webHidden/>
          </w:rPr>
          <w:fldChar w:fldCharType="separate"/>
        </w:r>
        <w:r w:rsidR="008F594A">
          <w:rPr>
            <w:noProof/>
            <w:webHidden/>
          </w:rPr>
          <w:t>110</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4" w:history="1">
        <w:r w:rsidR="00792A33" w:rsidRPr="004B6B6E">
          <w:rPr>
            <w:rStyle w:val="Hyperlink"/>
            <w:noProof/>
          </w:rPr>
          <w:t xml:space="preserve">Figure 4.3    Processing   of   unmodified   and  chemically   modified   dsRNA   to   siRNAs   by   </w:t>
        </w:r>
        <w:r w:rsidR="00792A33" w:rsidRPr="004B6B6E">
          <w:rPr>
            <w:rStyle w:val="Hyperlink"/>
            <w:i/>
            <w:iCs/>
            <w:noProof/>
          </w:rPr>
          <w:t>Giardia</w:t>
        </w:r>
        <w:r w:rsidR="00792A33" w:rsidRPr="004B6B6E">
          <w:rPr>
            <w:rStyle w:val="Hyperlink"/>
            <w:noProof/>
          </w:rPr>
          <w:t xml:space="preserve">  ‘PowerCut’  Dicer.</w:t>
        </w:r>
        <w:r w:rsidR="00792A33">
          <w:rPr>
            <w:noProof/>
            <w:webHidden/>
          </w:rPr>
          <w:tab/>
        </w:r>
        <w:r>
          <w:rPr>
            <w:noProof/>
            <w:webHidden/>
          </w:rPr>
          <w:fldChar w:fldCharType="begin"/>
        </w:r>
        <w:r w:rsidR="00792A33">
          <w:rPr>
            <w:noProof/>
            <w:webHidden/>
          </w:rPr>
          <w:instrText xml:space="preserve"> PAGEREF _Toc20411644 \h </w:instrText>
        </w:r>
        <w:r>
          <w:rPr>
            <w:noProof/>
            <w:webHidden/>
          </w:rPr>
        </w:r>
        <w:r>
          <w:rPr>
            <w:noProof/>
            <w:webHidden/>
          </w:rPr>
          <w:fldChar w:fldCharType="separate"/>
        </w:r>
        <w:r w:rsidR="008F594A">
          <w:rPr>
            <w:noProof/>
            <w:webHidden/>
          </w:rPr>
          <w:t>113</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5" w:history="1">
        <w:r w:rsidR="00792A33" w:rsidRPr="004B6B6E">
          <w:rPr>
            <w:rStyle w:val="Hyperlink"/>
            <w:noProof/>
          </w:rPr>
          <w:t>Figure 4.4 Schematic Representation of RNase III-dsRNA Interactions.</w:t>
        </w:r>
        <w:r w:rsidR="00792A33">
          <w:rPr>
            <w:noProof/>
            <w:webHidden/>
          </w:rPr>
          <w:tab/>
        </w:r>
        <w:r>
          <w:rPr>
            <w:noProof/>
            <w:webHidden/>
          </w:rPr>
          <w:fldChar w:fldCharType="begin"/>
        </w:r>
        <w:r w:rsidR="00792A33">
          <w:rPr>
            <w:noProof/>
            <w:webHidden/>
          </w:rPr>
          <w:instrText xml:space="preserve"> PAGEREF _Toc20411645 \h </w:instrText>
        </w:r>
        <w:r>
          <w:rPr>
            <w:noProof/>
            <w:webHidden/>
          </w:rPr>
        </w:r>
        <w:r>
          <w:rPr>
            <w:noProof/>
            <w:webHidden/>
          </w:rPr>
          <w:fldChar w:fldCharType="separate"/>
        </w:r>
        <w:r w:rsidR="008F594A">
          <w:rPr>
            <w:noProof/>
            <w:webHidden/>
          </w:rPr>
          <w:t>117</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6" w:history="1">
        <w:r w:rsidR="00792A33" w:rsidRPr="004B6B6E">
          <w:rPr>
            <w:rStyle w:val="Hyperlink"/>
            <w:noProof/>
          </w:rPr>
          <w:t>Figure 4.5 Optimisation of insect saliva nuclease assay.</w:t>
        </w:r>
        <w:r w:rsidR="00792A33">
          <w:rPr>
            <w:noProof/>
            <w:webHidden/>
          </w:rPr>
          <w:tab/>
        </w:r>
        <w:r>
          <w:rPr>
            <w:noProof/>
            <w:webHidden/>
          </w:rPr>
          <w:fldChar w:fldCharType="begin"/>
        </w:r>
        <w:r w:rsidR="00792A33">
          <w:rPr>
            <w:noProof/>
            <w:webHidden/>
          </w:rPr>
          <w:instrText xml:space="preserve"> PAGEREF _Toc20411646 \h </w:instrText>
        </w:r>
        <w:r>
          <w:rPr>
            <w:noProof/>
            <w:webHidden/>
          </w:rPr>
        </w:r>
        <w:r>
          <w:rPr>
            <w:noProof/>
            <w:webHidden/>
          </w:rPr>
          <w:fldChar w:fldCharType="separate"/>
        </w:r>
        <w:r w:rsidR="008F594A">
          <w:rPr>
            <w:noProof/>
            <w:webHidden/>
          </w:rPr>
          <w:t>123</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7" w:history="1">
        <w:r w:rsidR="00792A33" w:rsidRPr="004B6B6E">
          <w:rPr>
            <w:rStyle w:val="Hyperlink"/>
            <w:noProof/>
          </w:rPr>
          <w:t>Figure 4.6 Salival nuclease stability assay to determine the resistance of phosphorothioate dsRNA to degradation by stink bug salival nucleases.</w:t>
        </w:r>
        <w:r w:rsidR="00792A33">
          <w:rPr>
            <w:noProof/>
            <w:webHidden/>
          </w:rPr>
          <w:tab/>
        </w:r>
        <w:r>
          <w:rPr>
            <w:noProof/>
            <w:webHidden/>
          </w:rPr>
          <w:fldChar w:fldCharType="begin"/>
        </w:r>
        <w:r w:rsidR="00792A33">
          <w:rPr>
            <w:noProof/>
            <w:webHidden/>
          </w:rPr>
          <w:instrText xml:space="preserve"> PAGEREF _Toc20411647 \h </w:instrText>
        </w:r>
        <w:r>
          <w:rPr>
            <w:noProof/>
            <w:webHidden/>
          </w:rPr>
        </w:r>
        <w:r>
          <w:rPr>
            <w:noProof/>
            <w:webHidden/>
          </w:rPr>
          <w:fldChar w:fldCharType="separate"/>
        </w:r>
        <w:r w:rsidR="008F594A">
          <w:rPr>
            <w:noProof/>
            <w:webHidden/>
          </w:rPr>
          <w:t>125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8" w:history="1">
        <w:r w:rsidR="00792A33" w:rsidRPr="004B6B6E">
          <w:rPr>
            <w:rStyle w:val="Hyperlink"/>
            <w:noProof/>
          </w:rPr>
          <w:t>Figure 4.7 Salival nuclease stability assay to determine the resistance of 2’-fluoro dsRNA to degradation by stink bug salival nucleases.</w:t>
        </w:r>
        <w:r w:rsidR="00792A33">
          <w:rPr>
            <w:noProof/>
            <w:webHidden/>
          </w:rPr>
          <w:tab/>
        </w:r>
        <w:r>
          <w:rPr>
            <w:noProof/>
            <w:webHidden/>
          </w:rPr>
          <w:fldChar w:fldCharType="begin"/>
        </w:r>
        <w:r w:rsidR="00792A33">
          <w:rPr>
            <w:noProof/>
            <w:webHidden/>
          </w:rPr>
          <w:instrText xml:space="preserve"> PAGEREF _Toc20411648 \h </w:instrText>
        </w:r>
        <w:r>
          <w:rPr>
            <w:noProof/>
            <w:webHidden/>
          </w:rPr>
        </w:r>
        <w:r>
          <w:rPr>
            <w:noProof/>
            <w:webHidden/>
          </w:rPr>
          <w:fldChar w:fldCharType="separate"/>
        </w:r>
        <w:r w:rsidR="008F594A">
          <w:rPr>
            <w:noProof/>
            <w:webHidden/>
          </w:rPr>
          <w:t>126</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49" w:history="1">
        <w:r w:rsidR="00792A33" w:rsidRPr="004B6B6E">
          <w:rPr>
            <w:rStyle w:val="Hyperlink"/>
            <w:noProof/>
          </w:rPr>
          <w:t>Figure 4.8 Salival nuclease stability assay to determine the resistance of 5-hydroxymtheyl dsRNA to degradation by stink bug salival nucleases.</w:t>
        </w:r>
        <w:r w:rsidR="00792A33">
          <w:rPr>
            <w:noProof/>
            <w:webHidden/>
          </w:rPr>
          <w:tab/>
        </w:r>
        <w:r>
          <w:rPr>
            <w:noProof/>
            <w:webHidden/>
          </w:rPr>
          <w:fldChar w:fldCharType="begin"/>
        </w:r>
        <w:r w:rsidR="00792A33">
          <w:rPr>
            <w:noProof/>
            <w:webHidden/>
          </w:rPr>
          <w:instrText xml:space="preserve"> PAGEREF _Toc20411649 \h </w:instrText>
        </w:r>
        <w:r>
          <w:rPr>
            <w:noProof/>
            <w:webHidden/>
          </w:rPr>
        </w:r>
        <w:r>
          <w:rPr>
            <w:noProof/>
            <w:webHidden/>
          </w:rPr>
          <w:fldChar w:fldCharType="separate"/>
        </w:r>
        <w:r w:rsidR="008F594A">
          <w:rPr>
            <w:noProof/>
            <w:webHidden/>
          </w:rPr>
          <w:t>127</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0" w:history="1">
        <w:r w:rsidR="00792A33" w:rsidRPr="004B6B6E">
          <w:rPr>
            <w:rStyle w:val="Hyperlink"/>
            <w:noProof/>
          </w:rPr>
          <w:t>Figure 4.9 Summary graph of key data from figures 4.6 &amp; 4.7.</w:t>
        </w:r>
        <w:r w:rsidR="00792A33">
          <w:rPr>
            <w:noProof/>
            <w:webHidden/>
          </w:rPr>
          <w:tab/>
        </w:r>
        <w:r>
          <w:rPr>
            <w:noProof/>
            <w:webHidden/>
          </w:rPr>
          <w:fldChar w:fldCharType="begin"/>
        </w:r>
        <w:r w:rsidR="00792A33">
          <w:rPr>
            <w:noProof/>
            <w:webHidden/>
          </w:rPr>
          <w:instrText xml:space="preserve"> PAGEREF _Toc20411650 \h </w:instrText>
        </w:r>
        <w:r>
          <w:rPr>
            <w:noProof/>
            <w:webHidden/>
          </w:rPr>
        </w:r>
        <w:r>
          <w:rPr>
            <w:noProof/>
            <w:webHidden/>
          </w:rPr>
          <w:fldChar w:fldCharType="separate"/>
        </w:r>
        <w:r w:rsidR="008F594A">
          <w:rPr>
            <w:noProof/>
            <w:webHidden/>
          </w:rPr>
          <w:t>128</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1" w:history="1">
        <w:r w:rsidR="00792A33" w:rsidRPr="004B6B6E">
          <w:rPr>
            <w:rStyle w:val="Hyperlink"/>
            <w:noProof/>
          </w:rPr>
          <w:t xml:space="preserve">Figure 5.1 Luciferase assay reporter system and interaction with the </w:t>
        </w:r>
        <w:r w:rsidR="00792A33" w:rsidRPr="004B6B6E">
          <w:rPr>
            <w:rStyle w:val="Hyperlink"/>
            <w:i/>
            <w:iCs/>
            <w:noProof/>
          </w:rPr>
          <w:t>Drosophila</w:t>
        </w:r>
        <w:r w:rsidR="00792A33" w:rsidRPr="004B6B6E">
          <w:rPr>
            <w:rStyle w:val="Hyperlink"/>
            <w:noProof/>
          </w:rPr>
          <w:t xml:space="preserve"> JAK/STAT pathway.</w:t>
        </w:r>
        <w:r w:rsidR="00792A33">
          <w:rPr>
            <w:noProof/>
            <w:webHidden/>
          </w:rPr>
          <w:tab/>
        </w:r>
        <w:r>
          <w:rPr>
            <w:noProof/>
            <w:webHidden/>
          </w:rPr>
          <w:fldChar w:fldCharType="begin"/>
        </w:r>
        <w:r w:rsidR="00792A33">
          <w:rPr>
            <w:noProof/>
            <w:webHidden/>
          </w:rPr>
          <w:instrText xml:space="preserve"> PAGEREF _Toc20411651 \h </w:instrText>
        </w:r>
        <w:r>
          <w:rPr>
            <w:noProof/>
            <w:webHidden/>
          </w:rPr>
        </w:r>
        <w:r>
          <w:rPr>
            <w:noProof/>
            <w:webHidden/>
          </w:rPr>
          <w:fldChar w:fldCharType="separate"/>
        </w:r>
        <w:r w:rsidR="008F594A">
          <w:rPr>
            <w:noProof/>
            <w:webHidden/>
          </w:rPr>
          <w:t>137</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2" w:history="1">
        <w:r w:rsidR="00792A33" w:rsidRPr="004B6B6E">
          <w:rPr>
            <w:rStyle w:val="Hyperlink"/>
            <w:noProof/>
          </w:rPr>
          <w:t xml:space="preserve">Figure 5.2 Selection and validation of dsRNAs and dsRNA concentrations for </w:t>
        </w:r>
        <w:r w:rsidR="00792A33" w:rsidRPr="004B6B6E">
          <w:rPr>
            <w:rStyle w:val="Hyperlink"/>
            <w:i/>
            <w:iCs/>
            <w:noProof/>
          </w:rPr>
          <w:t xml:space="preserve">in vitro </w:t>
        </w:r>
        <w:r w:rsidR="00792A33" w:rsidRPr="004B6B6E">
          <w:rPr>
            <w:rStyle w:val="Hyperlink"/>
            <w:noProof/>
          </w:rPr>
          <w:t>analysis of RNAi with chemically modified dsRNA.</w:t>
        </w:r>
        <w:r w:rsidR="00792A33">
          <w:rPr>
            <w:noProof/>
            <w:webHidden/>
          </w:rPr>
          <w:tab/>
        </w:r>
        <w:r>
          <w:rPr>
            <w:noProof/>
            <w:webHidden/>
          </w:rPr>
          <w:fldChar w:fldCharType="begin"/>
        </w:r>
        <w:r w:rsidR="00792A33">
          <w:rPr>
            <w:noProof/>
            <w:webHidden/>
          </w:rPr>
          <w:instrText xml:space="preserve"> PAGEREF _Toc20411652 \h </w:instrText>
        </w:r>
        <w:r>
          <w:rPr>
            <w:noProof/>
            <w:webHidden/>
          </w:rPr>
        </w:r>
        <w:r>
          <w:rPr>
            <w:noProof/>
            <w:webHidden/>
          </w:rPr>
          <w:fldChar w:fldCharType="separate"/>
        </w:r>
        <w:r w:rsidR="008F594A">
          <w:rPr>
            <w:noProof/>
            <w:webHidden/>
          </w:rPr>
          <w:t>141</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3" w:history="1">
        <w:r w:rsidR="00792A33" w:rsidRPr="004B6B6E">
          <w:rPr>
            <w:rStyle w:val="Hyperlink"/>
            <w:noProof/>
          </w:rPr>
          <w:t xml:space="preserve">Figure 5.3 </w:t>
        </w:r>
        <w:r w:rsidR="00792A33" w:rsidRPr="004B6B6E">
          <w:rPr>
            <w:rStyle w:val="Hyperlink"/>
            <w:i/>
            <w:iCs/>
            <w:noProof/>
          </w:rPr>
          <w:t xml:space="preserve">In vitro </w:t>
        </w:r>
        <w:r w:rsidR="00792A33" w:rsidRPr="004B6B6E">
          <w:rPr>
            <w:rStyle w:val="Hyperlink"/>
            <w:noProof/>
          </w:rPr>
          <w:t>analysis of the effects of phosphorothioate dsRNA modifications on RNAi in insect cells.</w:t>
        </w:r>
        <w:r w:rsidR="00792A33">
          <w:rPr>
            <w:noProof/>
            <w:webHidden/>
          </w:rPr>
          <w:tab/>
        </w:r>
        <w:r>
          <w:rPr>
            <w:noProof/>
            <w:webHidden/>
          </w:rPr>
          <w:fldChar w:fldCharType="begin"/>
        </w:r>
        <w:r w:rsidR="00792A33">
          <w:rPr>
            <w:noProof/>
            <w:webHidden/>
          </w:rPr>
          <w:instrText xml:space="preserve"> PAGEREF _Toc20411653 \h </w:instrText>
        </w:r>
        <w:r>
          <w:rPr>
            <w:noProof/>
            <w:webHidden/>
          </w:rPr>
        </w:r>
        <w:r>
          <w:rPr>
            <w:noProof/>
            <w:webHidden/>
          </w:rPr>
          <w:fldChar w:fldCharType="separate"/>
        </w:r>
        <w:r w:rsidR="008F594A">
          <w:rPr>
            <w:noProof/>
            <w:webHidden/>
          </w:rPr>
          <w:t>145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4" w:history="1">
        <w:r w:rsidR="00792A33" w:rsidRPr="004B6B6E">
          <w:rPr>
            <w:rStyle w:val="Hyperlink"/>
            <w:noProof/>
          </w:rPr>
          <w:t xml:space="preserve">Figure 5.4 </w:t>
        </w:r>
        <w:r w:rsidR="00792A33" w:rsidRPr="004B6B6E">
          <w:rPr>
            <w:rStyle w:val="Hyperlink"/>
            <w:i/>
            <w:iCs/>
            <w:noProof/>
          </w:rPr>
          <w:t xml:space="preserve">In vitro </w:t>
        </w:r>
        <w:r w:rsidR="00792A33" w:rsidRPr="004B6B6E">
          <w:rPr>
            <w:rStyle w:val="Hyperlink"/>
            <w:noProof/>
          </w:rPr>
          <w:t>analysis of the effects of phosphorothioate dsRNA modifications on RNAi in insect cells across a range of dsRNA concentrations.</w:t>
        </w:r>
        <w:r w:rsidR="00792A33">
          <w:rPr>
            <w:noProof/>
            <w:webHidden/>
          </w:rPr>
          <w:tab/>
        </w:r>
        <w:r>
          <w:rPr>
            <w:noProof/>
            <w:webHidden/>
          </w:rPr>
          <w:fldChar w:fldCharType="begin"/>
        </w:r>
        <w:r w:rsidR="00792A33">
          <w:rPr>
            <w:noProof/>
            <w:webHidden/>
          </w:rPr>
          <w:instrText xml:space="preserve"> PAGEREF _Toc20411654 \h </w:instrText>
        </w:r>
        <w:r>
          <w:rPr>
            <w:noProof/>
            <w:webHidden/>
          </w:rPr>
        </w:r>
        <w:r>
          <w:rPr>
            <w:noProof/>
            <w:webHidden/>
          </w:rPr>
          <w:fldChar w:fldCharType="separate"/>
        </w:r>
        <w:r w:rsidR="008F594A">
          <w:rPr>
            <w:noProof/>
            <w:webHidden/>
          </w:rPr>
          <w:t>148</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5" w:history="1">
        <w:r w:rsidR="00792A33" w:rsidRPr="004B6B6E">
          <w:rPr>
            <w:rStyle w:val="Hyperlink"/>
            <w:noProof/>
          </w:rPr>
          <w:t>Figure 5.5 In vitro analysis of the effects of 2’-fluoro dsRNA modifications on RNAi in insect cells across a range of dsRNA concentrations.</w:t>
        </w:r>
        <w:r w:rsidR="00792A33">
          <w:rPr>
            <w:noProof/>
            <w:webHidden/>
          </w:rPr>
          <w:tab/>
        </w:r>
        <w:r>
          <w:rPr>
            <w:noProof/>
            <w:webHidden/>
          </w:rPr>
          <w:fldChar w:fldCharType="begin"/>
        </w:r>
        <w:r w:rsidR="00792A33">
          <w:rPr>
            <w:noProof/>
            <w:webHidden/>
          </w:rPr>
          <w:instrText xml:space="preserve"> PAGEREF _Toc20411655 \h </w:instrText>
        </w:r>
        <w:r>
          <w:rPr>
            <w:noProof/>
            <w:webHidden/>
          </w:rPr>
        </w:r>
        <w:r>
          <w:rPr>
            <w:noProof/>
            <w:webHidden/>
          </w:rPr>
          <w:fldChar w:fldCharType="separate"/>
        </w:r>
        <w:r w:rsidR="008F594A">
          <w:rPr>
            <w:noProof/>
            <w:webHidden/>
          </w:rPr>
          <w:t>150</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6" w:history="1">
        <w:r w:rsidR="00792A33" w:rsidRPr="004B6B6E">
          <w:rPr>
            <w:rStyle w:val="Hyperlink"/>
            <w:noProof/>
          </w:rPr>
          <w:t xml:space="preserve">Figure 5.6 </w:t>
        </w:r>
        <w:r w:rsidR="00792A33" w:rsidRPr="004B6B6E">
          <w:rPr>
            <w:rStyle w:val="Hyperlink"/>
            <w:i/>
            <w:iCs/>
            <w:noProof/>
          </w:rPr>
          <w:t xml:space="preserve">In vitro </w:t>
        </w:r>
        <w:r w:rsidR="00792A33" w:rsidRPr="004B6B6E">
          <w:rPr>
            <w:rStyle w:val="Hyperlink"/>
            <w:noProof/>
          </w:rPr>
          <w:t>analysis of the effects of 5-hydroxymethyl dsRNA modifications on RNAi in insect cells across a range of dsRNA concentrations.</w:t>
        </w:r>
        <w:r w:rsidR="00792A33">
          <w:rPr>
            <w:noProof/>
            <w:webHidden/>
          </w:rPr>
          <w:tab/>
        </w:r>
        <w:r>
          <w:rPr>
            <w:noProof/>
            <w:webHidden/>
          </w:rPr>
          <w:fldChar w:fldCharType="begin"/>
        </w:r>
        <w:r w:rsidR="00792A33">
          <w:rPr>
            <w:noProof/>
            <w:webHidden/>
          </w:rPr>
          <w:instrText xml:space="preserve"> PAGEREF _Toc20411656 \h </w:instrText>
        </w:r>
        <w:r>
          <w:rPr>
            <w:noProof/>
            <w:webHidden/>
          </w:rPr>
        </w:r>
        <w:r>
          <w:rPr>
            <w:noProof/>
            <w:webHidden/>
          </w:rPr>
          <w:fldChar w:fldCharType="separate"/>
        </w:r>
        <w:r w:rsidR="008F594A">
          <w:rPr>
            <w:noProof/>
            <w:webHidden/>
          </w:rPr>
          <w:t>153</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7" w:history="1">
        <w:r w:rsidR="00792A33" w:rsidRPr="004B6B6E">
          <w:rPr>
            <w:rStyle w:val="Hyperlink"/>
            <w:noProof/>
          </w:rPr>
          <w:t>Figure 5.7 Comparison of reproducibility of luciferase assay results for unmodified FLuc dsRNA.</w:t>
        </w:r>
        <w:r w:rsidR="00792A33">
          <w:rPr>
            <w:noProof/>
            <w:webHidden/>
          </w:rPr>
          <w:tab/>
        </w:r>
        <w:r>
          <w:rPr>
            <w:noProof/>
            <w:webHidden/>
          </w:rPr>
          <w:fldChar w:fldCharType="begin"/>
        </w:r>
        <w:r w:rsidR="00792A33">
          <w:rPr>
            <w:noProof/>
            <w:webHidden/>
          </w:rPr>
          <w:instrText xml:space="preserve"> PAGEREF _Toc20411657 \h </w:instrText>
        </w:r>
        <w:r>
          <w:rPr>
            <w:noProof/>
            <w:webHidden/>
          </w:rPr>
        </w:r>
        <w:r>
          <w:rPr>
            <w:noProof/>
            <w:webHidden/>
          </w:rPr>
          <w:fldChar w:fldCharType="separate"/>
        </w:r>
        <w:r w:rsidR="008F594A">
          <w:rPr>
            <w:noProof/>
            <w:webHidden/>
          </w:rPr>
          <w:t>155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8" w:history="1">
        <w:r w:rsidR="00792A33" w:rsidRPr="004B6B6E">
          <w:rPr>
            <w:rStyle w:val="Hyperlink"/>
            <w:noProof/>
          </w:rPr>
          <w:t>Figure 5.8 Analysis of the cytotoxicity of phosphorothioate, 2’-fluoro and 5-hydroxymethyl dsRNA modifications to insect cells.</w:t>
        </w:r>
        <w:r w:rsidR="00792A33">
          <w:rPr>
            <w:noProof/>
            <w:webHidden/>
          </w:rPr>
          <w:tab/>
        </w:r>
        <w:r>
          <w:rPr>
            <w:noProof/>
            <w:webHidden/>
          </w:rPr>
          <w:fldChar w:fldCharType="begin"/>
        </w:r>
        <w:r w:rsidR="00792A33">
          <w:rPr>
            <w:noProof/>
            <w:webHidden/>
          </w:rPr>
          <w:instrText xml:space="preserve"> PAGEREF _Toc20411658 \h </w:instrText>
        </w:r>
        <w:r>
          <w:rPr>
            <w:noProof/>
            <w:webHidden/>
          </w:rPr>
        </w:r>
        <w:r>
          <w:rPr>
            <w:noProof/>
            <w:webHidden/>
          </w:rPr>
          <w:fldChar w:fldCharType="separate"/>
        </w:r>
        <w:r w:rsidR="008F594A">
          <w:rPr>
            <w:noProof/>
            <w:webHidden/>
          </w:rPr>
          <w:t>156</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59" w:history="1">
        <w:r w:rsidR="00792A33" w:rsidRPr="004B6B6E">
          <w:rPr>
            <w:rStyle w:val="Hyperlink"/>
            <w:noProof/>
          </w:rPr>
          <w:t xml:space="preserve">Figure 6.1 Optimisation and proof of principal for </w:t>
        </w:r>
        <w:r w:rsidR="00792A33" w:rsidRPr="004B6B6E">
          <w:rPr>
            <w:rStyle w:val="Hyperlink"/>
            <w:i/>
            <w:iCs/>
            <w:noProof/>
          </w:rPr>
          <w:t xml:space="preserve">in vivo </w:t>
        </w:r>
        <w:r w:rsidR="00792A33" w:rsidRPr="004B6B6E">
          <w:rPr>
            <w:rStyle w:val="Hyperlink"/>
            <w:noProof/>
          </w:rPr>
          <w:t>RNAi assays in insects using chemically modified dsRNA.</w:t>
        </w:r>
        <w:r w:rsidR="00792A33">
          <w:rPr>
            <w:noProof/>
            <w:webHidden/>
          </w:rPr>
          <w:tab/>
        </w:r>
        <w:r>
          <w:rPr>
            <w:noProof/>
            <w:webHidden/>
          </w:rPr>
          <w:fldChar w:fldCharType="begin"/>
        </w:r>
        <w:r w:rsidR="00792A33">
          <w:rPr>
            <w:noProof/>
            <w:webHidden/>
          </w:rPr>
          <w:instrText xml:space="preserve"> PAGEREF _Toc20411659 \h </w:instrText>
        </w:r>
        <w:r>
          <w:rPr>
            <w:noProof/>
            <w:webHidden/>
          </w:rPr>
        </w:r>
        <w:r>
          <w:rPr>
            <w:noProof/>
            <w:webHidden/>
          </w:rPr>
          <w:fldChar w:fldCharType="separate"/>
        </w:r>
        <w:r w:rsidR="008F594A">
          <w:rPr>
            <w:noProof/>
            <w:webHidden/>
          </w:rPr>
          <w:t>170</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0" w:history="1">
        <w:r w:rsidR="00792A33" w:rsidRPr="004B6B6E">
          <w:rPr>
            <w:rStyle w:val="Hyperlink"/>
            <w:noProof/>
          </w:rPr>
          <w:t>Figure 6.2 WCR survival feeding assay using chemically modified dsRNA (1).</w:t>
        </w:r>
        <w:r w:rsidR="00792A33">
          <w:rPr>
            <w:noProof/>
            <w:webHidden/>
          </w:rPr>
          <w:tab/>
        </w:r>
        <w:r>
          <w:rPr>
            <w:noProof/>
            <w:webHidden/>
          </w:rPr>
          <w:fldChar w:fldCharType="begin"/>
        </w:r>
        <w:r w:rsidR="00792A33">
          <w:rPr>
            <w:noProof/>
            <w:webHidden/>
          </w:rPr>
          <w:instrText xml:space="preserve"> PAGEREF _Toc20411660 \h </w:instrText>
        </w:r>
        <w:r>
          <w:rPr>
            <w:noProof/>
            <w:webHidden/>
          </w:rPr>
        </w:r>
        <w:r>
          <w:rPr>
            <w:noProof/>
            <w:webHidden/>
          </w:rPr>
          <w:fldChar w:fldCharType="separate"/>
        </w:r>
        <w:r w:rsidR="008F594A">
          <w:rPr>
            <w:noProof/>
            <w:webHidden/>
          </w:rPr>
          <w:t>175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1" w:history="1">
        <w:r w:rsidR="00792A33" w:rsidRPr="004B6B6E">
          <w:rPr>
            <w:rStyle w:val="Hyperlink"/>
            <w:noProof/>
          </w:rPr>
          <w:t>Figure 6.3 Summary of WCR survival feeding assay using chemically modified dsRNA (1).</w:t>
        </w:r>
        <w:r w:rsidR="00792A33">
          <w:rPr>
            <w:noProof/>
            <w:webHidden/>
          </w:rPr>
          <w:tab/>
        </w:r>
        <w:r>
          <w:rPr>
            <w:noProof/>
            <w:webHidden/>
          </w:rPr>
          <w:fldChar w:fldCharType="begin"/>
        </w:r>
        <w:r w:rsidR="00792A33">
          <w:rPr>
            <w:noProof/>
            <w:webHidden/>
          </w:rPr>
          <w:instrText xml:space="preserve"> PAGEREF _Toc20411661 \h </w:instrText>
        </w:r>
        <w:r>
          <w:rPr>
            <w:noProof/>
            <w:webHidden/>
          </w:rPr>
        </w:r>
        <w:r>
          <w:rPr>
            <w:noProof/>
            <w:webHidden/>
          </w:rPr>
          <w:fldChar w:fldCharType="separate"/>
        </w:r>
        <w:r w:rsidR="008F594A">
          <w:rPr>
            <w:noProof/>
            <w:webHidden/>
          </w:rPr>
          <w:t>176</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2" w:history="1">
        <w:r w:rsidR="00792A33" w:rsidRPr="004B6B6E">
          <w:rPr>
            <w:rStyle w:val="Hyperlink"/>
            <w:noProof/>
          </w:rPr>
          <w:t>Figure 6.4 WCR survival feeding assay using chemically modified dsRNA (2).</w:t>
        </w:r>
        <w:r w:rsidR="00792A33">
          <w:rPr>
            <w:noProof/>
            <w:webHidden/>
          </w:rPr>
          <w:tab/>
        </w:r>
        <w:r>
          <w:rPr>
            <w:noProof/>
            <w:webHidden/>
          </w:rPr>
          <w:fldChar w:fldCharType="begin"/>
        </w:r>
        <w:r w:rsidR="00792A33">
          <w:rPr>
            <w:noProof/>
            <w:webHidden/>
          </w:rPr>
          <w:instrText xml:space="preserve"> PAGEREF _Toc20411662 \h </w:instrText>
        </w:r>
        <w:r>
          <w:rPr>
            <w:noProof/>
            <w:webHidden/>
          </w:rPr>
        </w:r>
        <w:r>
          <w:rPr>
            <w:noProof/>
            <w:webHidden/>
          </w:rPr>
          <w:fldChar w:fldCharType="separate"/>
        </w:r>
        <w:r w:rsidR="008F594A">
          <w:rPr>
            <w:noProof/>
            <w:webHidden/>
          </w:rPr>
          <w:t>178</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3" w:history="1">
        <w:r w:rsidR="00792A33" w:rsidRPr="004B6B6E">
          <w:rPr>
            <w:rStyle w:val="Hyperlink"/>
            <w:noProof/>
          </w:rPr>
          <w:t>Figure 6.5 Summary of WCR survival feeding assay using chemically modified dsRNA (2).</w:t>
        </w:r>
        <w:r w:rsidR="00792A33">
          <w:rPr>
            <w:noProof/>
            <w:webHidden/>
          </w:rPr>
          <w:tab/>
        </w:r>
        <w:r>
          <w:rPr>
            <w:noProof/>
            <w:webHidden/>
          </w:rPr>
          <w:fldChar w:fldCharType="begin"/>
        </w:r>
        <w:r w:rsidR="00792A33">
          <w:rPr>
            <w:noProof/>
            <w:webHidden/>
          </w:rPr>
          <w:instrText xml:space="preserve"> PAGEREF _Toc20411663 \h </w:instrText>
        </w:r>
        <w:r>
          <w:rPr>
            <w:noProof/>
            <w:webHidden/>
          </w:rPr>
        </w:r>
        <w:r>
          <w:rPr>
            <w:noProof/>
            <w:webHidden/>
          </w:rPr>
          <w:fldChar w:fldCharType="separate"/>
        </w:r>
        <w:r w:rsidR="008F594A">
          <w:rPr>
            <w:noProof/>
            <w:webHidden/>
          </w:rPr>
          <w:t>179</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4" w:history="1">
        <w:r w:rsidR="00792A33" w:rsidRPr="004B6B6E">
          <w:rPr>
            <w:rStyle w:val="Hyperlink"/>
            <w:noProof/>
          </w:rPr>
          <w:t>Figure 6.6 Overall summary of WCR survival feeding assays using chemically modified dsRNA.</w:t>
        </w:r>
        <w:r w:rsidR="00792A33">
          <w:rPr>
            <w:noProof/>
            <w:webHidden/>
          </w:rPr>
          <w:tab/>
        </w:r>
        <w:r>
          <w:rPr>
            <w:noProof/>
            <w:webHidden/>
          </w:rPr>
          <w:fldChar w:fldCharType="begin"/>
        </w:r>
        <w:r w:rsidR="00792A33">
          <w:rPr>
            <w:noProof/>
            <w:webHidden/>
          </w:rPr>
          <w:instrText xml:space="preserve"> PAGEREF _Toc20411664 \h </w:instrText>
        </w:r>
        <w:r>
          <w:rPr>
            <w:noProof/>
            <w:webHidden/>
          </w:rPr>
        </w:r>
        <w:r>
          <w:rPr>
            <w:noProof/>
            <w:webHidden/>
          </w:rPr>
          <w:fldChar w:fldCharType="separate"/>
        </w:r>
        <w:r w:rsidR="008F594A">
          <w:rPr>
            <w:noProof/>
            <w:webHidden/>
          </w:rPr>
          <w:t>180</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5" w:history="1">
        <w:r w:rsidR="00792A33" w:rsidRPr="004B6B6E">
          <w:rPr>
            <w:rStyle w:val="Hyperlink"/>
            <w:noProof/>
          </w:rPr>
          <w:t>Figure 6.7 Summary of WCR survival feeding assay using 1PS and 2PS chemically modified dsRNA.</w:t>
        </w:r>
        <w:r w:rsidR="00792A33">
          <w:rPr>
            <w:noProof/>
            <w:webHidden/>
          </w:rPr>
          <w:tab/>
        </w:r>
        <w:r>
          <w:rPr>
            <w:noProof/>
            <w:webHidden/>
          </w:rPr>
          <w:fldChar w:fldCharType="begin"/>
        </w:r>
        <w:r w:rsidR="00792A33">
          <w:rPr>
            <w:noProof/>
            <w:webHidden/>
          </w:rPr>
          <w:instrText xml:space="preserve"> PAGEREF _Toc20411665 \h </w:instrText>
        </w:r>
        <w:r>
          <w:rPr>
            <w:noProof/>
            <w:webHidden/>
          </w:rPr>
        </w:r>
        <w:r>
          <w:rPr>
            <w:noProof/>
            <w:webHidden/>
          </w:rPr>
          <w:fldChar w:fldCharType="separate"/>
        </w:r>
        <w:r w:rsidR="008F594A">
          <w:rPr>
            <w:noProof/>
            <w:webHidden/>
          </w:rPr>
          <w:t>182</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6" w:history="1">
        <w:r w:rsidR="00792A33" w:rsidRPr="004B6B6E">
          <w:rPr>
            <w:rStyle w:val="Hyperlink"/>
            <w:noProof/>
          </w:rPr>
          <w:t>Figure 6.8 WCR survival soil feeding assay using 1PS and 2PS chemically modified dsRNA.</w:t>
        </w:r>
        <w:r w:rsidR="00792A33">
          <w:rPr>
            <w:noProof/>
            <w:webHidden/>
          </w:rPr>
          <w:tab/>
        </w:r>
        <w:r>
          <w:rPr>
            <w:noProof/>
            <w:webHidden/>
          </w:rPr>
          <w:fldChar w:fldCharType="begin"/>
        </w:r>
        <w:r w:rsidR="00792A33">
          <w:rPr>
            <w:noProof/>
            <w:webHidden/>
          </w:rPr>
          <w:instrText xml:space="preserve"> PAGEREF _Toc20411666 \h </w:instrText>
        </w:r>
        <w:r>
          <w:rPr>
            <w:noProof/>
            <w:webHidden/>
          </w:rPr>
        </w:r>
        <w:r>
          <w:rPr>
            <w:noProof/>
            <w:webHidden/>
          </w:rPr>
          <w:fldChar w:fldCharType="separate"/>
        </w:r>
        <w:r w:rsidR="008F594A">
          <w:rPr>
            <w:noProof/>
            <w:webHidden/>
          </w:rPr>
          <w:t>185</w:t>
        </w:r>
        <w:r>
          <w:rPr>
            <w:noProof/>
            <w:webHidden/>
          </w:rPr>
          <w:fldChar w:fldCharType="end"/>
        </w:r>
      </w:hyperlink>
    </w:p>
    <w:p w:rsidR="00792A33" w:rsidRDefault="005C0E76" w:rsidP="00792A33">
      <w:pPr>
        <w:pStyle w:val="TableofFigures"/>
        <w:tabs>
          <w:tab w:val="right" w:leader="dot" w:pos="9016"/>
        </w:tabs>
        <w:spacing w:after="120"/>
        <w:rPr>
          <w:rFonts w:eastAsiaTheme="minorEastAsia"/>
          <w:noProof/>
          <w:lang w:eastAsia="en-GB"/>
        </w:rPr>
      </w:pPr>
      <w:hyperlink w:anchor="_Toc20411667" w:history="1">
        <w:r w:rsidR="00792A33" w:rsidRPr="004B6B6E">
          <w:rPr>
            <w:rStyle w:val="Hyperlink"/>
            <w:noProof/>
          </w:rPr>
          <w:t>Figure 6.10 Stink bug survival feeding and injection assays using phosphorothioate modified dsRNA.</w:t>
        </w:r>
        <w:r w:rsidR="00792A33">
          <w:rPr>
            <w:noProof/>
            <w:webHidden/>
          </w:rPr>
          <w:tab/>
        </w:r>
        <w:r>
          <w:rPr>
            <w:noProof/>
            <w:webHidden/>
          </w:rPr>
          <w:fldChar w:fldCharType="begin"/>
        </w:r>
        <w:r w:rsidR="00792A33">
          <w:rPr>
            <w:noProof/>
            <w:webHidden/>
          </w:rPr>
          <w:instrText xml:space="preserve"> PAGEREF _Toc20411667 \h </w:instrText>
        </w:r>
        <w:r>
          <w:rPr>
            <w:noProof/>
            <w:webHidden/>
          </w:rPr>
        </w:r>
        <w:r>
          <w:rPr>
            <w:noProof/>
            <w:webHidden/>
          </w:rPr>
          <w:fldChar w:fldCharType="separate"/>
        </w:r>
        <w:r w:rsidR="008F594A">
          <w:rPr>
            <w:noProof/>
            <w:webHidden/>
          </w:rPr>
          <w:t>189</w:t>
        </w:r>
        <w:r>
          <w:rPr>
            <w:noProof/>
            <w:webHidden/>
          </w:rPr>
          <w:fldChar w:fldCharType="end"/>
        </w:r>
      </w:hyperlink>
    </w:p>
    <w:p w:rsidR="00D515A4" w:rsidRDefault="005C0E76" w:rsidP="00D515A4">
      <w:pPr>
        <w:spacing w:after="120"/>
        <w:rPr>
          <w:b/>
        </w:rPr>
      </w:pPr>
      <w:r>
        <w:fldChar w:fldCharType="end"/>
      </w:r>
      <w:r w:rsidR="00595094">
        <w:rPr>
          <w:b/>
        </w:rPr>
        <w:t>Tables</w:t>
      </w:r>
    </w:p>
    <w:p w:rsidR="00595094" w:rsidRDefault="00595094" w:rsidP="00D515A4">
      <w:pPr>
        <w:spacing w:after="120"/>
        <w:rPr>
          <w:b/>
        </w:rPr>
      </w:pPr>
    </w:p>
    <w:p w:rsidR="00D515A4" w:rsidRDefault="005C0E76" w:rsidP="00D515A4">
      <w:pPr>
        <w:pStyle w:val="TableofFigures"/>
        <w:tabs>
          <w:tab w:val="right" w:leader="dot" w:pos="9016"/>
        </w:tabs>
        <w:spacing w:after="120"/>
        <w:rPr>
          <w:rFonts w:eastAsiaTheme="minorEastAsia"/>
          <w:noProof/>
          <w:lang w:eastAsia="en-GB"/>
        </w:rPr>
      </w:pPr>
      <w:r>
        <w:fldChar w:fldCharType="begin"/>
      </w:r>
      <w:r w:rsidR="00D515A4">
        <w:instrText xml:space="preserve"> TOC \h \z \c "Table" </w:instrText>
      </w:r>
      <w:r>
        <w:fldChar w:fldCharType="separate"/>
      </w:r>
      <w:hyperlink w:anchor="_Toc20405259" w:history="1">
        <w:r w:rsidR="00D515A4" w:rsidRPr="008A1E4C">
          <w:rPr>
            <w:rStyle w:val="Hyperlink"/>
            <w:noProof/>
          </w:rPr>
          <w:t>Table 3.1 Target and control dsRNAs used in RNAi assays in insect cells (see chapter 5).</w:t>
        </w:r>
        <w:r w:rsidR="00D515A4">
          <w:rPr>
            <w:noProof/>
            <w:webHidden/>
          </w:rPr>
          <w:tab/>
        </w:r>
        <w:r>
          <w:rPr>
            <w:noProof/>
            <w:webHidden/>
          </w:rPr>
          <w:fldChar w:fldCharType="begin"/>
        </w:r>
        <w:r w:rsidR="00D515A4">
          <w:rPr>
            <w:noProof/>
            <w:webHidden/>
          </w:rPr>
          <w:instrText xml:space="preserve"> PAGEREF _Toc20405259 \h </w:instrText>
        </w:r>
        <w:r>
          <w:rPr>
            <w:noProof/>
            <w:webHidden/>
          </w:rPr>
        </w:r>
        <w:r>
          <w:rPr>
            <w:noProof/>
            <w:webHidden/>
          </w:rPr>
          <w:fldChar w:fldCharType="separate"/>
        </w:r>
        <w:r w:rsidR="008F594A">
          <w:rPr>
            <w:noProof/>
            <w:webHidden/>
          </w:rPr>
          <w:t>73</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0" w:history="1">
        <w:r w:rsidR="00D515A4" w:rsidRPr="008A1E4C">
          <w:rPr>
            <w:rStyle w:val="Hyperlink"/>
            <w:noProof/>
          </w:rPr>
          <w:t>Table 3.2 Target and control dsRNAs used in RNAi assays in live insects (see chapter 6).</w:t>
        </w:r>
        <w:r w:rsidR="00D515A4">
          <w:rPr>
            <w:noProof/>
            <w:webHidden/>
          </w:rPr>
          <w:tab/>
        </w:r>
        <w:r>
          <w:rPr>
            <w:noProof/>
            <w:webHidden/>
          </w:rPr>
          <w:fldChar w:fldCharType="begin"/>
        </w:r>
        <w:r w:rsidR="00D515A4">
          <w:rPr>
            <w:noProof/>
            <w:webHidden/>
          </w:rPr>
          <w:instrText xml:space="preserve"> PAGEREF _Toc20405260 \h </w:instrText>
        </w:r>
        <w:r>
          <w:rPr>
            <w:noProof/>
            <w:webHidden/>
          </w:rPr>
        </w:r>
        <w:r>
          <w:rPr>
            <w:noProof/>
            <w:webHidden/>
          </w:rPr>
          <w:fldChar w:fldCharType="separate"/>
        </w:r>
        <w:r w:rsidR="008F594A">
          <w:rPr>
            <w:noProof/>
            <w:webHidden/>
          </w:rPr>
          <w:t>73</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1" w:history="1">
        <w:r w:rsidR="00D515A4" w:rsidRPr="008A1E4C">
          <w:rPr>
            <w:rStyle w:val="Hyperlink"/>
            <w:noProof/>
          </w:rPr>
          <w:t>Table 3.3 Yields of unmodified and phosphorothioate Dome11 dsRNA synthesised by IVT using T7 RNA polymerase. Yields are based on a 20 µl IVT reaction purified by SPE with a single elution of 50 µl of nuclease free water, and concentration measured by Nanodrop UV spectrophotometer.</w:t>
        </w:r>
        <w:r w:rsidR="00D515A4">
          <w:rPr>
            <w:noProof/>
            <w:webHidden/>
          </w:rPr>
          <w:tab/>
        </w:r>
        <w:r>
          <w:rPr>
            <w:noProof/>
            <w:webHidden/>
          </w:rPr>
          <w:fldChar w:fldCharType="begin"/>
        </w:r>
        <w:r w:rsidR="00D515A4">
          <w:rPr>
            <w:noProof/>
            <w:webHidden/>
          </w:rPr>
          <w:instrText xml:space="preserve"> PAGEREF _Toc20405261 \h </w:instrText>
        </w:r>
        <w:r>
          <w:rPr>
            <w:noProof/>
            <w:webHidden/>
          </w:rPr>
        </w:r>
        <w:r>
          <w:rPr>
            <w:noProof/>
            <w:webHidden/>
          </w:rPr>
          <w:fldChar w:fldCharType="separate"/>
        </w:r>
        <w:r w:rsidR="008F594A">
          <w:rPr>
            <w:noProof/>
            <w:webHidden/>
          </w:rPr>
          <w:t>81</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2" w:history="1">
        <w:r w:rsidR="00D515A4" w:rsidRPr="008A1E4C">
          <w:rPr>
            <w:rStyle w:val="Hyperlink"/>
            <w:noProof/>
          </w:rPr>
          <w:t>Table 5.1 dsRNAs and concentrations used in the dual luciferase assay in figure 5.2 b.</w:t>
        </w:r>
        <w:r w:rsidR="00D515A4">
          <w:rPr>
            <w:noProof/>
            <w:webHidden/>
          </w:rPr>
          <w:tab/>
        </w:r>
        <w:r>
          <w:rPr>
            <w:noProof/>
            <w:webHidden/>
          </w:rPr>
          <w:fldChar w:fldCharType="begin"/>
        </w:r>
        <w:r w:rsidR="00D515A4">
          <w:rPr>
            <w:noProof/>
            <w:webHidden/>
          </w:rPr>
          <w:instrText xml:space="preserve"> PAGEREF _Toc20405262 \h </w:instrText>
        </w:r>
        <w:r>
          <w:rPr>
            <w:noProof/>
            <w:webHidden/>
          </w:rPr>
        </w:r>
        <w:r>
          <w:rPr>
            <w:noProof/>
            <w:webHidden/>
          </w:rPr>
          <w:fldChar w:fldCharType="separate"/>
        </w:r>
        <w:r w:rsidR="008F594A">
          <w:rPr>
            <w:noProof/>
            <w:webHidden/>
          </w:rPr>
          <w:t>139</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3" w:history="1">
        <w:r w:rsidR="00D515A4" w:rsidRPr="008A1E4C">
          <w:rPr>
            <w:rStyle w:val="Hyperlink"/>
            <w:noProof/>
          </w:rPr>
          <w:t>Table 5.2 dsRNAs and concentrations used in the dual luciferase assay in figure 5.2 c.</w:t>
        </w:r>
        <w:r w:rsidR="00D515A4">
          <w:rPr>
            <w:noProof/>
            <w:webHidden/>
          </w:rPr>
          <w:tab/>
        </w:r>
        <w:r>
          <w:rPr>
            <w:noProof/>
            <w:webHidden/>
          </w:rPr>
          <w:fldChar w:fldCharType="begin"/>
        </w:r>
        <w:r w:rsidR="00D515A4">
          <w:rPr>
            <w:noProof/>
            <w:webHidden/>
          </w:rPr>
          <w:instrText xml:space="preserve"> PAGEREF _Toc20405263 \h </w:instrText>
        </w:r>
        <w:r>
          <w:rPr>
            <w:noProof/>
            <w:webHidden/>
          </w:rPr>
        </w:r>
        <w:r>
          <w:rPr>
            <w:noProof/>
            <w:webHidden/>
          </w:rPr>
          <w:fldChar w:fldCharType="separate"/>
        </w:r>
        <w:r w:rsidR="008F594A">
          <w:rPr>
            <w:noProof/>
            <w:webHidden/>
          </w:rPr>
          <w:t>140</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4" w:history="1">
        <w:r w:rsidR="00D515A4" w:rsidRPr="008A1E4C">
          <w:rPr>
            <w:rStyle w:val="Hyperlink"/>
            <w:noProof/>
          </w:rPr>
          <w:t>Table 5.3 dsRNAs and concentrations used in the dual luciferase assay in figure 5.2 d. FLuc and F59C6.5 data identical to figure 5.2c.</w:t>
        </w:r>
        <w:r w:rsidR="00D515A4">
          <w:rPr>
            <w:noProof/>
            <w:webHidden/>
          </w:rPr>
          <w:tab/>
        </w:r>
        <w:r>
          <w:rPr>
            <w:noProof/>
            <w:webHidden/>
          </w:rPr>
          <w:fldChar w:fldCharType="begin"/>
        </w:r>
        <w:r w:rsidR="00D515A4">
          <w:rPr>
            <w:noProof/>
            <w:webHidden/>
          </w:rPr>
          <w:instrText xml:space="preserve"> PAGEREF _Toc20405264 \h </w:instrText>
        </w:r>
        <w:r>
          <w:rPr>
            <w:noProof/>
            <w:webHidden/>
          </w:rPr>
        </w:r>
        <w:r>
          <w:rPr>
            <w:noProof/>
            <w:webHidden/>
          </w:rPr>
          <w:fldChar w:fldCharType="separate"/>
        </w:r>
        <w:r w:rsidR="008F594A">
          <w:rPr>
            <w:noProof/>
            <w:webHidden/>
          </w:rPr>
          <w:t>142</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5" w:history="1">
        <w:r w:rsidR="00D515A4" w:rsidRPr="008A1E4C">
          <w:rPr>
            <w:rStyle w:val="Hyperlink"/>
            <w:noProof/>
          </w:rPr>
          <w:t>Table 5.4 dsRNAs and concentrations used in the dual luciferase assay in figure 5.3 a &amp; b.</w:t>
        </w:r>
        <w:r w:rsidR="00D515A4">
          <w:rPr>
            <w:noProof/>
            <w:webHidden/>
          </w:rPr>
          <w:tab/>
        </w:r>
        <w:r>
          <w:rPr>
            <w:noProof/>
            <w:webHidden/>
          </w:rPr>
          <w:fldChar w:fldCharType="begin"/>
        </w:r>
        <w:r w:rsidR="00D515A4">
          <w:rPr>
            <w:noProof/>
            <w:webHidden/>
          </w:rPr>
          <w:instrText xml:space="preserve"> PAGEREF _Toc20405265 \h </w:instrText>
        </w:r>
        <w:r>
          <w:rPr>
            <w:noProof/>
            <w:webHidden/>
          </w:rPr>
        </w:r>
        <w:r>
          <w:rPr>
            <w:noProof/>
            <w:webHidden/>
          </w:rPr>
          <w:fldChar w:fldCharType="separate"/>
        </w:r>
        <w:r w:rsidR="008F594A">
          <w:rPr>
            <w:noProof/>
            <w:webHidden/>
          </w:rPr>
          <w:t>144</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6" w:history="1">
        <w:r w:rsidR="00D515A4" w:rsidRPr="008A1E4C">
          <w:rPr>
            <w:rStyle w:val="Hyperlink"/>
            <w:noProof/>
          </w:rPr>
          <w:t>Table 5.5 dsRNAs and concentrations used in the dual luciferase assay in figure 5.3 c.</w:t>
        </w:r>
        <w:r w:rsidR="00D515A4">
          <w:rPr>
            <w:noProof/>
            <w:webHidden/>
          </w:rPr>
          <w:tab/>
        </w:r>
        <w:r>
          <w:rPr>
            <w:noProof/>
            <w:webHidden/>
          </w:rPr>
          <w:fldChar w:fldCharType="begin"/>
        </w:r>
        <w:r w:rsidR="00D515A4">
          <w:rPr>
            <w:noProof/>
            <w:webHidden/>
          </w:rPr>
          <w:instrText xml:space="preserve"> PAGEREF _Toc20405266 \h </w:instrText>
        </w:r>
        <w:r>
          <w:rPr>
            <w:noProof/>
            <w:webHidden/>
          </w:rPr>
        </w:r>
        <w:r>
          <w:rPr>
            <w:noProof/>
            <w:webHidden/>
          </w:rPr>
          <w:fldChar w:fldCharType="separate"/>
        </w:r>
        <w:r w:rsidR="008F594A">
          <w:rPr>
            <w:noProof/>
            <w:webHidden/>
          </w:rPr>
          <w:t>146</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7" w:history="1">
        <w:r w:rsidR="00D515A4" w:rsidRPr="008A1E4C">
          <w:rPr>
            <w:rStyle w:val="Hyperlink"/>
            <w:noProof/>
          </w:rPr>
          <w:t>Table 5.6 dsRNAs and concentrations used in the dual luciferase assay in figure 5.4.</w:t>
        </w:r>
        <w:r w:rsidR="00D515A4">
          <w:rPr>
            <w:noProof/>
            <w:webHidden/>
          </w:rPr>
          <w:tab/>
        </w:r>
        <w:r>
          <w:rPr>
            <w:noProof/>
            <w:webHidden/>
          </w:rPr>
          <w:fldChar w:fldCharType="begin"/>
        </w:r>
        <w:r w:rsidR="00D515A4">
          <w:rPr>
            <w:noProof/>
            <w:webHidden/>
          </w:rPr>
          <w:instrText xml:space="preserve"> PAGEREF _Toc20405267 \h </w:instrText>
        </w:r>
        <w:r>
          <w:rPr>
            <w:noProof/>
            <w:webHidden/>
          </w:rPr>
        </w:r>
        <w:r>
          <w:rPr>
            <w:noProof/>
            <w:webHidden/>
          </w:rPr>
          <w:fldChar w:fldCharType="separate"/>
        </w:r>
        <w:r w:rsidR="008F594A">
          <w:rPr>
            <w:noProof/>
            <w:webHidden/>
          </w:rPr>
          <w:t>147</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8" w:history="1">
        <w:r w:rsidR="00D515A4" w:rsidRPr="008A1E4C">
          <w:rPr>
            <w:rStyle w:val="Hyperlink"/>
            <w:noProof/>
          </w:rPr>
          <w:t>Table 5.7 dsRNAs and concentrations used in the dual luciferase assay in figure 5.6</w:t>
        </w:r>
        <w:r w:rsidR="00D515A4">
          <w:rPr>
            <w:noProof/>
            <w:webHidden/>
          </w:rPr>
          <w:tab/>
        </w:r>
        <w:r>
          <w:rPr>
            <w:noProof/>
            <w:webHidden/>
          </w:rPr>
          <w:fldChar w:fldCharType="begin"/>
        </w:r>
        <w:r w:rsidR="00D515A4">
          <w:rPr>
            <w:noProof/>
            <w:webHidden/>
          </w:rPr>
          <w:instrText xml:space="preserve"> PAGEREF _Toc20405268 \h </w:instrText>
        </w:r>
        <w:r>
          <w:rPr>
            <w:noProof/>
            <w:webHidden/>
          </w:rPr>
        </w:r>
        <w:r>
          <w:rPr>
            <w:noProof/>
            <w:webHidden/>
          </w:rPr>
          <w:fldChar w:fldCharType="separate"/>
        </w:r>
        <w:r w:rsidR="008F594A">
          <w:rPr>
            <w:noProof/>
            <w:webHidden/>
          </w:rPr>
          <w:t>149</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69" w:history="1">
        <w:r w:rsidR="00D515A4" w:rsidRPr="008A1E4C">
          <w:rPr>
            <w:rStyle w:val="Hyperlink"/>
            <w:noProof/>
          </w:rPr>
          <w:t>Table 5.8 dsRNAs and concentrations used in the dual luciferase assay in figure 5.6.</w:t>
        </w:r>
        <w:r w:rsidR="00D515A4">
          <w:rPr>
            <w:noProof/>
            <w:webHidden/>
          </w:rPr>
          <w:tab/>
        </w:r>
        <w:r>
          <w:rPr>
            <w:noProof/>
            <w:webHidden/>
          </w:rPr>
          <w:fldChar w:fldCharType="begin"/>
        </w:r>
        <w:r w:rsidR="00D515A4">
          <w:rPr>
            <w:noProof/>
            <w:webHidden/>
          </w:rPr>
          <w:instrText xml:space="preserve"> PAGEREF _Toc20405269 \h </w:instrText>
        </w:r>
        <w:r>
          <w:rPr>
            <w:noProof/>
            <w:webHidden/>
          </w:rPr>
        </w:r>
        <w:r>
          <w:rPr>
            <w:noProof/>
            <w:webHidden/>
          </w:rPr>
          <w:fldChar w:fldCharType="separate"/>
        </w:r>
        <w:r w:rsidR="008F594A">
          <w:rPr>
            <w:noProof/>
            <w:webHidden/>
          </w:rPr>
          <w:t>152</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0" w:history="1">
        <w:r w:rsidR="00D515A4" w:rsidRPr="008A1E4C">
          <w:rPr>
            <w:rStyle w:val="Hyperlink"/>
            <w:noProof/>
          </w:rPr>
          <w:t>Table 5.9 Luciferase assay data points with average normalised FL/RL values significantly greater than 1.0.</w:t>
        </w:r>
        <w:r w:rsidR="00D515A4">
          <w:rPr>
            <w:noProof/>
            <w:webHidden/>
          </w:rPr>
          <w:tab/>
        </w:r>
        <w:r>
          <w:rPr>
            <w:noProof/>
            <w:webHidden/>
          </w:rPr>
          <w:fldChar w:fldCharType="begin"/>
        </w:r>
        <w:r w:rsidR="00D515A4">
          <w:rPr>
            <w:noProof/>
            <w:webHidden/>
          </w:rPr>
          <w:instrText xml:space="preserve"> PAGEREF _Toc20405270 \h </w:instrText>
        </w:r>
        <w:r>
          <w:rPr>
            <w:noProof/>
            <w:webHidden/>
          </w:rPr>
        </w:r>
        <w:r>
          <w:rPr>
            <w:noProof/>
            <w:webHidden/>
          </w:rPr>
          <w:fldChar w:fldCharType="separate"/>
        </w:r>
        <w:r w:rsidR="008F594A">
          <w:rPr>
            <w:noProof/>
            <w:webHidden/>
          </w:rPr>
          <w:t>157</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1" w:history="1">
        <w:r w:rsidR="00D515A4" w:rsidRPr="008A1E4C">
          <w:rPr>
            <w:rStyle w:val="Hyperlink"/>
            <w:noProof/>
          </w:rPr>
          <w:t>Table 6.1 A list of all unmodified and chemically modified target dsRNAs used in live insect assays. Chemical modifications given as “guide-passenger” (antisense-sense).</w:t>
        </w:r>
        <w:r w:rsidR="00D515A4">
          <w:rPr>
            <w:noProof/>
            <w:webHidden/>
          </w:rPr>
          <w:tab/>
        </w:r>
        <w:r>
          <w:rPr>
            <w:noProof/>
            <w:webHidden/>
          </w:rPr>
          <w:fldChar w:fldCharType="begin"/>
        </w:r>
        <w:r w:rsidR="00D515A4">
          <w:rPr>
            <w:noProof/>
            <w:webHidden/>
          </w:rPr>
          <w:instrText xml:space="preserve"> PAGEREF _Toc20405271 \h </w:instrText>
        </w:r>
        <w:r>
          <w:rPr>
            <w:noProof/>
            <w:webHidden/>
          </w:rPr>
        </w:r>
        <w:r>
          <w:rPr>
            <w:noProof/>
            <w:webHidden/>
          </w:rPr>
          <w:fldChar w:fldCharType="separate"/>
        </w:r>
        <w:r w:rsidR="008F594A">
          <w:rPr>
            <w:noProof/>
            <w:webHidden/>
          </w:rPr>
          <w:t>168</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2" w:history="1">
        <w:r w:rsidR="00D515A4" w:rsidRPr="008A1E4C">
          <w:rPr>
            <w:rStyle w:val="Hyperlink"/>
            <w:noProof/>
          </w:rPr>
          <w:t>Table 6.2 The list of unmodified and chemically modified dsRNAs used in the stink bug injection assay shown in figure 6.1b.</w:t>
        </w:r>
        <w:r w:rsidR="00D515A4">
          <w:rPr>
            <w:noProof/>
            <w:webHidden/>
          </w:rPr>
          <w:tab/>
        </w:r>
        <w:r>
          <w:rPr>
            <w:noProof/>
            <w:webHidden/>
          </w:rPr>
          <w:fldChar w:fldCharType="begin"/>
        </w:r>
        <w:r w:rsidR="00D515A4">
          <w:rPr>
            <w:noProof/>
            <w:webHidden/>
          </w:rPr>
          <w:instrText xml:space="preserve"> PAGEREF _Toc20405272 \h </w:instrText>
        </w:r>
        <w:r>
          <w:rPr>
            <w:noProof/>
            <w:webHidden/>
          </w:rPr>
        </w:r>
        <w:r>
          <w:rPr>
            <w:noProof/>
            <w:webHidden/>
          </w:rPr>
          <w:fldChar w:fldCharType="separate"/>
        </w:r>
        <w:r w:rsidR="008F594A">
          <w:rPr>
            <w:noProof/>
            <w:webHidden/>
          </w:rPr>
          <w:t>169</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3" w:history="1">
        <w:r w:rsidR="00D515A4" w:rsidRPr="008A1E4C">
          <w:rPr>
            <w:rStyle w:val="Hyperlink"/>
            <w:noProof/>
          </w:rPr>
          <w:t>Table 6.3 The list of unmodified and chemically modified dsRNAs used in the WCR diet feeding assay shown in figure 6.1 d &amp; e.</w:t>
        </w:r>
        <w:r w:rsidR="00D515A4">
          <w:rPr>
            <w:noProof/>
            <w:webHidden/>
          </w:rPr>
          <w:tab/>
        </w:r>
        <w:r>
          <w:rPr>
            <w:noProof/>
            <w:webHidden/>
          </w:rPr>
          <w:fldChar w:fldCharType="begin"/>
        </w:r>
        <w:r w:rsidR="00D515A4">
          <w:rPr>
            <w:noProof/>
            <w:webHidden/>
          </w:rPr>
          <w:instrText xml:space="preserve"> PAGEREF _Toc20405273 \h </w:instrText>
        </w:r>
        <w:r>
          <w:rPr>
            <w:noProof/>
            <w:webHidden/>
          </w:rPr>
        </w:r>
        <w:r>
          <w:rPr>
            <w:noProof/>
            <w:webHidden/>
          </w:rPr>
          <w:fldChar w:fldCharType="separate"/>
        </w:r>
        <w:r w:rsidR="008F594A">
          <w:rPr>
            <w:noProof/>
            <w:webHidden/>
          </w:rPr>
          <w:t>172</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4" w:history="1">
        <w:r w:rsidR="00D515A4" w:rsidRPr="008A1E4C">
          <w:rPr>
            <w:rStyle w:val="Hyperlink"/>
            <w:noProof/>
          </w:rPr>
          <w:t>Table 6.4 The list of unmodified and chemically modified dsRNAs used in the WCR diet feeding assay shown in figures 6.2 &amp; 6.3.</w:t>
        </w:r>
        <w:r w:rsidR="00D515A4">
          <w:rPr>
            <w:noProof/>
            <w:webHidden/>
          </w:rPr>
          <w:tab/>
        </w:r>
        <w:r>
          <w:rPr>
            <w:noProof/>
            <w:webHidden/>
          </w:rPr>
          <w:fldChar w:fldCharType="begin"/>
        </w:r>
        <w:r w:rsidR="00D515A4">
          <w:rPr>
            <w:noProof/>
            <w:webHidden/>
          </w:rPr>
          <w:instrText xml:space="preserve"> PAGEREF _Toc20405274 \h </w:instrText>
        </w:r>
        <w:r>
          <w:rPr>
            <w:noProof/>
            <w:webHidden/>
          </w:rPr>
        </w:r>
        <w:r>
          <w:rPr>
            <w:noProof/>
            <w:webHidden/>
          </w:rPr>
          <w:fldChar w:fldCharType="separate"/>
        </w:r>
        <w:r w:rsidR="008F594A">
          <w:rPr>
            <w:noProof/>
            <w:webHidden/>
          </w:rPr>
          <w:t>173</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5" w:history="1">
        <w:r w:rsidR="00D515A4" w:rsidRPr="008A1E4C">
          <w:rPr>
            <w:rStyle w:val="Hyperlink"/>
            <w:noProof/>
          </w:rPr>
          <w:t>Table 6.5 The list of unmodified and chemically modified dsRNAs used in the WCR diet feeding assay shown in figure 6.7.</w:t>
        </w:r>
        <w:r w:rsidR="00D515A4">
          <w:rPr>
            <w:noProof/>
            <w:webHidden/>
          </w:rPr>
          <w:tab/>
        </w:r>
        <w:r>
          <w:rPr>
            <w:noProof/>
            <w:webHidden/>
          </w:rPr>
          <w:fldChar w:fldCharType="begin"/>
        </w:r>
        <w:r w:rsidR="00D515A4">
          <w:rPr>
            <w:noProof/>
            <w:webHidden/>
          </w:rPr>
          <w:instrText xml:space="preserve"> PAGEREF _Toc20405275 \h </w:instrText>
        </w:r>
        <w:r>
          <w:rPr>
            <w:noProof/>
            <w:webHidden/>
          </w:rPr>
        </w:r>
        <w:r>
          <w:rPr>
            <w:noProof/>
            <w:webHidden/>
          </w:rPr>
          <w:fldChar w:fldCharType="separate"/>
        </w:r>
        <w:r w:rsidR="008F594A">
          <w:rPr>
            <w:noProof/>
            <w:webHidden/>
          </w:rPr>
          <w:t>181</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6" w:history="1">
        <w:r w:rsidR="00D515A4" w:rsidRPr="008A1E4C">
          <w:rPr>
            <w:rStyle w:val="Hyperlink"/>
            <w:noProof/>
          </w:rPr>
          <w:t>Table 6.6 The list of unmodified and chemically modified dsRNAs used in the WCR soil feeding assay shown in figure 6.8.</w:t>
        </w:r>
        <w:r w:rsidR="00D515A4">
          <w:rPr>
            <w:noProof/>
            <w:webHidden/>
          </w:rPr>
          <w:tab/>
        </w:r>
        <w:r>
          <w:rPr>
            <w:noProof/>
            <w:webHidden/>
          </w:rPr>
          <w:fldChar w:fldCharType="begin"/>
        </w:r>
        <w:r w:rsidR="00D515A4">
          <w:rPr>
            <w:noProof/>
            <w:webHidden/>
          </w:rPr>
          <w:instrText xml:space="preserve"> PAGEREF _Toc20405276 \h </w:instrText>
        </w:r>
        <w:r>
          <w:rPr>
            <w:noProof/>
            <w:webHidden/>
          </w:rPr>
        </w:r>
        <w:r>
          <w:rPr>
            <w:noProof/>
            <w:webHidden/>
          </w:rPr>
          <w:fldChar w:fldCharType="separate"/>
        </w:r>
        <w:r w:rsidR="008F594A">
          <w:rPr>
            <w:noProof/>
            <w:webHidden/>
          </w:rPr>
          <w:t>184</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7" w:history="1">
        <w:r w:rsidR="00D515A4" w:rsidRPr="008A1E4C">
          <w:rPr>
            <w:rStyle w:val="Hyperlink"/>
            <w:noProof/>
          </w:rPr>
          <w:t>Table 6.7 The list of unmodified and chemically modified dsRNAs used in the stink bug feeding assay shown in figure 6.9a.</w:t>
        </w:r>
        <w:r w:rsidR="00D515A4">
          <w:rPr>
            <w:noProof/>
            <w:webHidden/>
          </w:rPr>
          <w:tab/>
        </w:r>
        <w:r>
          <w:rPr>
            <w:noProof/>
            <w:webHidden/>
          </w:rPr>
          <w:fldChar w:fldCharType="begin"/>
        </w:r>
        <w:r w:rsidR="00D515A4">
          <w:rPr>
            <w:noProof/>
            <w:webHidden/>
          </w:rPr>
          <w:instrText xml:space="preserve"> PAGEREF _Toc20405277 \h </w:instrText>
        </w:r>
        <w:r>
          <w:rPr>
            <w:noProof/>
            <w:webHidden/>
          </w:rPr>
        </w:r>
        <w:r>
          <w:rPr>
            <w:noProof/>
            <w:webHidden/>
          </w:rPr>
          <w:fldChar w:fldCharType="separate"/>
        </w:r>
        <w:r w:rsidR="008F594A">
          <w:rPr>
            <w:noProof/>
            <w:webHidden/>
          </w:rPr>
          <w:t>187</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8" w:history="1">
        <w:r w:rsidR="00D515A4" w:rsidRPr="008A1E4C">
          <w:rPr>
            <w:rStyle w:val="Hyperlink"/>
            <w:noProof/>
          </w:rPr>
          <w:t>Table 6.8 The list of unmodified and chemically modified dsRNAs used in the stink bug feeding assay shown in figures 6.9 b-e.</w:t>
        </w:r>
        <w:r w:rsidR="00D515A4">
          <w:rPr>
            <w:noProof/>
            <w:webHidden/>
          </w:rPr>
          <w:tab/>
        </w:r>
        <w:r>
          <w:rPr>
            <w:noProof/>
            <w:webHidden/>
          </w:rPr>
          <w:fldChar w:fldCharType="begin"/>
        </w:r>
        <w:r w:rsidR="00D515A4">
          <w:rPr>
            <w:noProof/>
            <w:webHidden/>
          </w:rPr>
          <w:instrText xml:space="preserve"> PAGEREF _Toc20405278 \h </w:instrText>
        </w:r>
        <w:r>
          <w:rPr>
            <w:noProof/>
            <w:webHidden/>
          </w:rPr>
        </w:r>
        <w:r>
          <w:rPr>
            <w:noProof/>
            <w:webHidden/>
          </w:rPr>
          <w:fldChar w:fldCharType="separate"/>
        </w:r>
        <w:r w:rsidR="008F594A">
          <w:rPr>
            <w:noProof/>
            <w:webHidden/>
          </w:rPr>
          <w:t>188</w:t>
        </w:r>
        <w:r>
          <w:rPr>
            <w:noProof/>
            <w:webHidden/>
          </w:rPr>
          <w:fldChar w:fldCharType="end"/>
        </w:r>
      </w:hyperlink>
    </w:p>
    <w:p w:rsidR="00D515A4" w:rsidRDefault="005C0E76" w:rsidP="00D515A4">
      <w:pPr>
        <w:pStyle w:val="TableofFigures"/>
        <w:tabs>
          <w:tab w:val="right" w:leader="dot" w:pos="9016"/>
        </w:tabs>
        <w:spacing w:after="120"/>
        <w:rPr>
          <w:rFonts w:eastAsiaTheme="minorEastAsia"/>
          <w:noProof/>
          <w:lang w:eastAsia="en-GB"/>
        </w:rPr>
      </w:pPr>
      <w:hyperlink w:anchor="_Toc20405279" w:history="1">
        <w:r w:rsidR="00D515A4" w:rsidRPr="008A1E4C">
          <w:rPr>
            <w:rStyle w:val="Hyperlink"/>
            <w:noProof/>
          </w:rPr>
          <w:t>Table 6.9 The list of unmodified and chemically modified dsRNAs used in the stink bug injection assay shown in figure 6.9 f.</w:t>
        </w:r>
        <w:r w:rsidR="00D515A4">
          <w:rPr>
            <w:noProof/>
            <w:webHidden/>
          </w:rPr>
          <w:tab/>
        </w:r>
        <w:r>
          <w:rPr>
            <w:noProof/>
            <w:webHidden/>
          </w:rPr>
          <w:fldChar w:fldCharType="begin"/>
        </w:r>
        <w:r w:rsidR="00D515A4">
          <w:rPr>
            <w:noProof/>
            <w:webHidden/>
          </w:rPr>
          <w:instrText xml:space="preserve"> PAGEREF _Toc20405279 \h </w:instrText>
        </w:r>
        <w:r>
          <w:rPr>
            <w:noProof/>
            <w:webHidden/>
          </w:rPr>
        </w:r>
        <w:r>
          <w:rPr>
            <w:noProof/>
            <w:webHidden/>
          </w:rPr>
          <w:fldChar w:fldCharType="separate"/>
        </w:r>
        <w:r w:rsidR="008F594A">
          <w:rPr>
            <w:noProof/>
            <w:webHidden/>
          </w:rPr>
          <w:t>188</w:t>
        </w:r>
        <w:r>
          <w:rPr>
            <w:noProof/>
            <w:webHidden/>
          </w:rPr>
          <w:fldChar w:fldCharType="end"/>
        </w:r>
      </w:hyperlink>
    </w:p>
    <w:p w:rsidR="00184A9F" w:rsidRDefault="005C0E76" w:rsidP="00D515A4">
      <w:pPr>
        <w:spacing w:after="120"/>
      </w:pPr>
      <w:r>
        <w:fldChar w:fldCharType="end"/>
      </w:r>
    </w:p>
    <w:p w:rsidR="002108CC" w:rsidRDefault="002108CC" w:rsidP="00D515A4">
      <w:pPr>
        <w:spacing w:after="120"/>
        <w:jc w:val="left"/>
      </w:pPr>
      <w:r>
        <w:br w:type="page"/>
      </w:r>
    </w:p>
    <w:p w:rsidR="00792A33" w:rsidRDefault="00792A33">
      <w:pPr>
        <w:spacing w:after="200"/>
        <w:jc w:val="left"/>
        <w:rPr>
          <w:sz w:val="72"/>
          <w:szCs w:val="72"/>
        </w:rPr>
      </w:pPr>
      <w:r>
        <w:rPr>
          <w:sz w:val="72"/>
          <w:szCs w:val="72"/>
        </w:rPr>
        <w:lastRenderedPageBreak/>
        <w:br w:type="page"/>
      </w:r>
    </w:p>
    <w:p w:rsidR="002108CC" w:rsidRDefault="002108CC" w:rsidP="002108CC">
      <w:pPr>
        <w:spacing w:after="200"/>
        <w:jc w:val="center"/>
        <w:rPr>
          <w:sz w:val="72"/>
          <w:szCs w:val="72"/>
        </w:rPr>
      </w:pPr>
      <w:r>
        <w:rPr>
          <w:sz w:val="72"/>
          <w:szCs w:val="72"/>
        </w:rPr>
        <w:lastRenderedPageBreak/>
        <w:t>Chapter 1</w:t>
      </w:r>
    </w:p>
    <w:p w:rsidR="00F814B9" w:rsidRDefault="00F814B9" w:rsidP="002108CC">
      <w:pPr>
        <w:spacing w:after="200"/>
        <w:jc w:val="center"/>
        <w:rPr>
          <w:sz w:val="72"/>
          <w:szCs w:val="72"/>
        </w:rPr>
      </w:pPr>
    </w:p>
    <w:p w:rsidR="000441D9" w:rsidRDefault="002108CC" w:rsidP="00F814B9">
      <w:pPr>
        <w:spacing w:line="240" w:lineRule="auto"/>
        <w:jc w:val="center"/>
      </w:pPr>
      <w:r w:rsidRPr="00F814B9">
        <w:rPr>
          <w:sz w:val="52"/>
          <w:szCs w:val="52"/>
        </w:rPr>
        <w:t>Introduction and Literature Review</w:t>
      </w:r>
      <w:r w:rsidR="000441D9">
        <w:br w:type="page"/>
      </w:r>
    </w:p>
    <w:p w:rsidR="00010E7A" w:rsidRDefault="00B641A7" w:rsidP="000441D9">
      <w:pPr>
        <w:pStyle w:val="Heading1"/>
        <w:spacing w:line="360" w:lineRule="auto"/>
      </w:pPr>
      <w:bookmarkStart w:id="5" w:name="_Toc35333910"/>
      <w:r w:rsidRPr="00010E7A">
        <w:lastRenderedPageBreak/>
        <w:t>Introduction</w:t>
      </w:r>
      <w:r w:rsidR="000441D9">
        <w:t xml:space="preserve"> and literature review</w:t>
      </w:r>
      <w:bookmarkEnd w:id="5"/>
    </w:p>
    <w:p w:rsidR="00AD1DE4" w:rsidRDefault="00AA56C9" w:rsidP="000441D9">
      <w:pPr>
        <w:pStyle w:val="Heading2"/>
        <w:spacing w:line="360" w:lineRule="auto"/>
      </w:pPr>
      <w:bookmarkStart w:id="6" w:name="_Toc35333911"/>
      <w:r>
        <w:t>Background</w:t>
      </w:r>
      <w:r w:rsidR="00AD1DE4">
        <w:t xml:space="preserve"> and aims</w:t>
      </w:r>
      <w:bookmarkEnd w:id="6"/>
      <w:r w:rsidR="00AD1DE4">
        <w:t xml:space="preserve"> </w:t>
      </w:r>
    </w:p>
    <w:p w:rsidR="00737E8A" w:rsidRDefault="00737E8A" w:rsidP="000441D9">
      <w:pPr>
        <w:spacing w:line="360" w:lineRule="auto"/>
        <w:ind w:firstLine="284"/>
      </w:pPr>
      <w:r>
        <w:t>In the 1954 book “The Pests of Fruit</w:t>
      </w:r>
      <w:r w:rsidR="0035113B">
        <w:t>s</w:t>
      </w:r>
      <w:r>
        <w:t xml:space="preserve"> and Hops”</w:t>
      </w:r>
      <w:r w:rsidR="002B5712">
        <w:t xml:space="preserve"> </w:t>
      </w:r>
      <w:r w:rsidR="005C0E76">
        <w:fldChar w:fldCharType="begin" w:fldLock="1"/>
      </w:r>
      <w:r w:rsidR="00E46AF1">
        <w:instrText>ADDIN CSL_CITATION {"citationItems":[{"id":"ITEM-1","itemData":{"author":[{"dropping-particle":"","family":"Massee","given":"A. M.","non-dropping-particle":"","parse-names":false,"suffix":""}],"edition":"3rd Editio","id":"ITEM-1","issued":{"date-parts":[["1954"]]},"publisher":"Crosby Lockwood &amp; Son Ltd","publisher-place":"Letchworth","title":"The Pests of Fruit and Hops.","type":"book"},"uris":["http://www.mendeley.com/documents/?uuid=54d32ff1-f852-32b2-9752-c9937df749ff"]}],"mendeley":{"formattedCitation":"(Massee, 1954)","plainTextFormattedCitation":"(Massee, 1954)","previouslyFormattedCitation":"(Massee, 1954)"},"properties":{"noteIndex":0},"schema":"https://github.com/citation-style-language/schema/raw/master/csl-citation.json"}</w:instrText>
      </w:r>
      <w:r w:rsidR="005C0E76">
        <w:fldChar w:fldCharType="separate"/>
      </w:r>
      <w:r w:rsidR="002B5712" w:rsidRPr="002B5712">
        <w:rPr>
          <w:noProof/>
        </w:rPr>
        <w:t>(Massee, 1954)</w:t>
      </w:r>
      <w:r w:rsidR="005C0E76">
        <w:fldChar w:fldCharType="end"/>
      </w:r>
      <w:r>
        <w:t>, R.P. Tew wrote the following in his contributing chapter on insecticides: “…it is recognised that in so far as ‘blunderbuss’ or ‘kill-all’ chemicals do not afford real solutions to pest-control problems, collaborative research should be directed towards the development of chemicals rather more specific in action than the extremely potent, but non-selective, materials which are at present employed. …Whether the development of chemicals possessing such selectivity must remain a pipe-dream or can be made a reality remains to be seen.” Here the author is discussing small molecule pesticides: arsenic compounds, lime-sulphur, nicotine, and the broad category of cyclic chlorinated hydrocarbons which includes the now-infamous DDT</w:t>
      </w:r>
      <w:r w:rsidR="0035113B">
        <w:t>, all</w:t>
      </w:r>
      <w:r>
        <w:t xml:space="preserve"> feature in the treatise, </w:t>
      </w:r>
      <w:r w:rsidR="0035113B">
        <w:t>representing</w:t>
      </w:r>
      <w:r>
        <w:t xml:space="preserve"> some of the limited </w:t>
      </w:r>
      <w:r w:rsidR="00E46AF1">
        <w:t xml:space="preserve">(and environmentally problematic) </w:t>
      </w:r>
      <w:r>
        <w:t xml:space="preserve">tool box of available pesticides at the time. </w:t>
      </w:r>
    </w:p>
    <w:p w:rsidR="00737E8A" w:rsidRDefault="00737E8A" w:rsidP="000441D9">
      <w:pPr>
        <w:spacing w:line="360" w:lineRule="auto"/>
        <w:ind w:firstLine="284"/>
      </w:pPr>
      <w:r>
        <w:t xml:space="preserve">The author continues: “Success in such a venture might quite well result in the adoption, as plant protectants, of chemicals markedly different in nature and properties from those at present in use.” In an era where the future availability of semi-specific small molecule insecticides did not seem certain, little could the author have realised quite how different the molecules currently under investigation as pesticides on the cutting edge of research, more than 60 years later, would turn out to be. </w:t>
      </w:r>
      <w:r w:rsidR="005D4C15">
        <w:t xml:space="preserve">While small molecules are still the primary insecticides used, and research into new compounds continues, the revolution in the genetic and molecular manipulation of living cells </w:t>
      </w:r>
      <w:r w:rsidR="00DB131C">
        <w:t xml:space="preserve">that has occurred since R.P. Tew pondered the future of insecticides, has opened the way for several new classes of biological insecticide. </w:t>
      </w:r>
    </w:p>
    <w:p w:rsidR="007775BF" w:rsidRDefault="007775BF" w:rsidP="000441D9">
      <w:pPr>
        <w:spacing w:line="360" w:lineRule="auto"/>
        <w:ind w:firstLine="284"/>
        <w:rPr>
          <w:color w:val="FF0000"/>
        </w:rPr>
      </w:pPr>
    </w:p>
    <w:p w:rsidR="001E3B46" w:rsidRDefault="006D53F1" w:rsidP="000441D9">
      <w:pPr>
        <w:spacing w:line="360" w:lineRule="auto"/>
        <w:ind w:firstLine="284"/>
      </w:pPr>
      <w:r>
        <w:t xml:space="preserve">There are several major drivers for the development of new pesticides, chief among which is the economic cost of pest damage to agriculture, and particularly the increasing cost due to increasing pesticide resistance </w:t>
      </w:r>
      <w:r w:rsidR="005C0E76">
        <w:fldChar w:fldCharType="begin" w:fldLock="1"/>
      </w:r>
      <w:r w:rsidR="00B53C50">
        <w:instrText>ADDIN CSL_CITATION {"citationItems":[{"id":"ITEM-1","itemData":{"DOI":"10.1126/science.aar3780","ISSN":"1095-9203","PMID":"29773742","abstract":"Resistance to insecticides and herbicides has cost billions of U.S. dollars in the agricultural sector and could result in millions of lives lost to insect-vectored diseases. We mostly continue to use pesticides as if resistance is a temporary issue that will be addressed by commercialization of new pesticides with novel modes of action. However, current evidence suggests that insect and weed evolution may outstrip our ability to replace outmoded chemicals and other control mechanisms. To avoid this outcome, we must address the mix of ecological, genetic, economic, and sociopolitical factors that prevent implementation of sustainable pest management practices. We offer an ambitious proposition.","author":[{"dropping-particle":"","family":"Gould","given":"Fred","non-dropping-particle":"","parse-names":false,"suffix":""},{"dropping-particle":"","family":"Brown","given":"Zachary S","non-dropping-particle":"","parse-names":false,"suffix":""},{"dropping-particle":"","family":"Kuzma","given":"Jennifer","non-dropping-particle":"","parse-names":false,"suffix":""}],"container-title":"Science (New York, N.Y.)","id":"ITEM-1","issue":"6390","issued":{"date-parts":[["2018","5","18"]]},"page":"728-732","publisher":"American Association for the Advancement of Science","title":"Wicked evolution: Can we address the sociobiological dilemma of pesticide resistance?","type":"article-journal","volume":"360"},"uris":["http://www.mendeley.com/documents/?uuid=f8ba4a0f-8d54-3331-92cc-ba5e0b0cbbaa"]}],"mendeley":{"formattedCitation":"(Gould, Brown and Kuzma, 2018)","plainTextFormattedCitation":"(Gould, Brown and Kuzma, 2018)","previouslyFormattedCitation":"(Gould, Brown and Kuzma, 2018)"},"properties":{"noteIndex":0},"schema":"https://github.com/citation-style-language/schema/raw/master/csl-citation.json"}</w:instrText>
      </w:r>
      <w:r w:rsidR="005C0E76">
        <w:fldChar w:fldCharType="separate"/>
      </w:r>
      <w:r w:rsidRPr="006D53F1">
        <w:rPr>
          <w:noProof/>
        </w:rPr>
        <w:t>(Gould, Brown and Kuzma, 2018)</w:t>
      </w:r>
      <w:r w:rsidR="005C0E76">
        <w:fldChar w:fldCharType="end"/>
      </w:r>
      <w:r w:rsidR="00544B2F">
        <w:t>, with pest damage resulting in over $100 billion worth of damage annually</w:t>
      </w:r>
      <w:r>
        <w:t xml:space="preserve">. </w:t>
      </w:r>
      <w:r w:rsidR="00D229F8">
        <w:t xml:space="preserve">Insects already consume anywhere from 5 to 20% of major grain crops </w:t>
      </w:r>
      <w:r w:rsidR="005C0E76">
        <w:fldChar w:fldCharType="begin" w:fldLock="1"/>
      </w:r>
      <w:r w:rsidR="00D229F8">
        <w:instrText>ADDIN CSL_CITATION {"citationItems":[{"id":"ITEM-1","itemData":{"DOI":"10.1126/science.aat3466","ISSN":"1095-9203","PMID":"30166490","abstract":"Insect pests substantially reduce yields of three staple grains-rice, maize, and wheat-but models assessing the agricultural impacts of global warming rarely consider crop losses to insects. We use established relationships between temperature and the population growth and metabolic rates of insects to estimate how and where climate warming will augment losses of rice, maize, and wheat to insects. Global yield losses of these grains are projected to increase by 10 to 25% per degree of global mean surface warming. Crop losses will be most acute in areas where warming increases both population growth and metabolic rates of insects. These conditions are centered primarily in temperate regions, where most grain is produced.","author":[{"dropping-particle":"","family":"Deutsch","given":"Curtis A","non-dropping-particle":"","parse-names":false,"suffix":""},{"dropping-particle":"","family":"Tewksbury","given":"Joshua J","non-dropping-particle":"","parse-names":false,"suffix":""},{"dropping-particle":"","family":"Tigchelaar","given":"Michelle","non-dropping-particle":"","parse-names":false,"suffix":""},{"dropping-particle":"","family":"Battisti","given":"David S","non-dropping-particle":"","parse-names":false,"suffix":""},{"dropping-particle":"","family":"Merrill","given":"Scott C","non-dropping-particle":"","parse-names":false,"suffix":""},{"dropping-particle":"","family":"Huey","given":"Raymond B","non-dropping-particle":"","parse-names":false,"suffix":""},{"dropping-particle":"","family":"Naylor","given":"Rosamond L","non-dropping-particle":"","parse-names":false,"suffix":""}],"container-title":"Science (New York, N.Y.)","id":"ITEM-1","issue":"6405","issued":{"date-parts":[["2018","8","31"]]},"page":"916-919","publisher":"American Association for the Advancement of Science","title":"Increase in crop losses to insect pests in a warming climate.","type":"article-journal","volume":"361"},"uris":["http://www.mendeley.com/documents/?uuid=b0839c8f-68c3-34b9-bd99-07c07decbd59"]}],"mendeley":{"formattedCitation":"(Deutsch &lt;i&gt;et al.&lt;/i&gt;, 2018)","plainTextFormattedCitation":"(Deutsch et al., 2018)","previouslyFormattedCitation":"(Deutsch &lt;i&gt;et al.&lt;/i&gt;, 2018)"},"properties":{"noteIndex":0},"schema":"https://github.com/citation-style-language/schema/raw/master/csl-citation.json"}</w:instrText>
      </w:r>
      <w:r w:rsidR="005C0E76">
        <w:fldChar w:fldCharType="separate"/>
      </w:r>
      <w:r w:rsidR="00D229F8" w:rsidRPr="00D229F8">
        <w:rPr>
          <w:noProof/>
        </w:rPr>
        <w:t xml:space="preserve">(Deutsch </w:t>
      </w:r>
      <w:r w:rsidR="00D229F8" w:rsidRPr="00D229F8">
        <w:rPr>
          <w:i/>
          <w:noProof/>
        </w:rPr>
        <w:t>et al.</w:t>
      </w:r>
      <w:r w:rsidR="00D229F8" w:rsidRPr="00D229F8">
        <w:rPr>
          <w:noProof/>
        </w:rPr>
        <w:t>, 2018)</w:t>
      </w:r>
      <w:r w:rsidR="005C0E76">
        <w:fldChar w:fldCharType="end"/>
      </w:r>
      <w:r w:rsidR="00D229F8">
        <w:t xml:space="preserve">. </w:t>
      </w:r>
      <w:r w:rsidR="00B53C50">
        <w:t>Incidences of p</w:t>
      </w:r>
      <w:r>
        <w:t>esticide</w:t>
      </w:r>
      <w:r w:rsidR="00B53C50">
        <w:t xml:space="preserve"> r</w:t>
      </w:r>
      <w:r>
        <w:t xml:space="preserve">esistance </w:t>
      </w:r>
      <w:r w:rsidR="00B53C50">
        <w:t>have</w:t>
      </w:r>
      <w:r>
        <w:t xml:space="preserve"> dramaticall</w:t>
      </w:r>
      <w:r w:rsidR="00B53C50">
        <w:t xml:space="preserve">y and relentlessly increased since the 1950s </w:t>
      </w:r>
      <w:r w:rsidR="005C0E76">
        <w:fldChar w:fldCharType="begin" w:fldLock="1"/>
      </w:r>
      <w:r w:rsidR="00B53C50">
        <w:instrText>ADDIN CSL_CITATION {"citationItems":[{"id":"ITEM-1","itemData":{"author":[{"dropping-particle":"","family":"Whalon","given":"M.E.","non-dropping-particle":"","parse-names":false,"suffix":""},{"dropping-particle":"","family":"Mota-Sanchez","given":"D.","non-dropping-particle":"","parse-names":false,"suffix":""},{"dropping-particle":"","family":"Hollingworth","given":"R.M.","non-dropping-particle":"","parse-names":false,"suffix":""}],"id":"ITEM-1","issued":{"date-parts":[["2008"]]},"number-of-pages":"5-31","publisher":"CABI International","publisher-place":"Wallingford","title":"Global Pesticide Resistance in Arthropods","type":"book"},"uris":["http://www.mendeley.com/documents/?uuid=7a987260-dac6-325c-a5d1-1baa20e2193c"]}],"mendeley":{"formattedCitation":"(Whalon, Mota-Sanchez and Hollingworth, 2008)","plainTextFormattedCitation":"(Whalon, Mota-Sanchez and Hollingworth, 2008)","previouslyFormattedCitation":"(Whalon, Mota-Sanchez and Hollingworth, 2008)"},"properties":{"noteIndex":0},"schema":"https://github.com/citation-style-language/schema/raw/master/csl-citation.json"}</w:instrText>
      </w:r>
      <w:r w:rsidR="005C0E76">
        <w:fldChar w:fldCharType="separate"/>
      </w:r>
      <w:r w:rsidR="00B53C50" w:rsidRPr="00B53C50">
        <w:rPr>
          <w:noProof/>
        </w:rPr>
        <w:t>(Whalon, Mota-Sanchez and Hollingworth, 2008)</w:t>
      </w:r>
      <w:r w:rsidR="005C0E76">
        <w:fldChar w:fldCharType="end"/>
      </w:r>
      <w:r w:rsidR="00B53C50">
        <w:t>, and the spread of the natural range of resistant insects</w:t>
      </w:r>
      <w:r w:rsidR="00D229F8">
        <w:t>,</w:t>
      </w:r>
      <w:r w:rsidR="00B53C50">
        <w:t xml:space="preserve"> such as Colorado potato beetle</w:t>
      </w:r>
      <w:r w:rsidR="00D229F8">
        <w:t>,</w:t>
      </w:r>
      <w:r w:rsidR="00B53C50">
        <w:t xml:space="preserve"> with climate change threatens to magnify the amount of crop damage done by these insects </w:t>
      </w:r>
      <w:r w:rsidR="005C0E76">
        <w:fldChar w:fldCharType="begin" w:fldLock="1"/>
      </w:r>
      <w:r w:rsidR="00B53C50">
        <w:instrText>ADDIN CSL_CITATION {"citationItems":[{"id":"ITEM-1","itemData":{"DOI":"10.1146/annurev-phyto-080614-120207","ISSN":"0066-4286","abstract":"Crop pests and pathogens (CPPs) present a growing threat to food security and ecosystem management. The interactions between plants and their natural enemies are influenced by environmental conditi...","author":[{"dropping-particle":"","family":"Bebber","given":"Daniel Patrick","non-dropping-particle":"","parse-names":false,"suffix":""}],"container-title":"Annual Review of Phytopathology","id":"ITEM-1","issue":"1","issued":{"date-parts":[["2015","8","4"]]},"page":"335-356","publisher":" Annual Reviews ","title":"Range-Expanding Pests and Pathogens in a Warming World","type":"article-journal","volume":"53"},"uris":["http://www.mendeley.com/documents/?uuid=884d4b76-5aad-3bca-be01-81207e6cbd1d"]}],"mendeley":{"formattedCitation":"(Bebber, 2015)","plainTextFormattedCitation":"(Bebber, 2015)","previouslyFormattedCitation":"(Bebber, 2015)"},"properties":{"noteIndex":0},"schema":"https://github.com/citation-style-language/schema/raw/master/csl-citation.json"}</w:instrText>
      </w:r>
      <w:r w:rsidR="005C0E76">
        <w:fldChar w:fldCharType="separate"/>
      </w:r>
      <w:r w:rsidR="00B53C50" w:rsidRPr="00B53C50">
        <w:rPr>
          <w:noProof/>
        </w:rPr>
        <w:t>(Bebber, 2015)</w:t>
      </w:r>
      <w:r w:rsidR="005C0E76">
        <w:fldChar w:fldCharType="end"/>
      </w:r>
      <w:r w:rsidR="00B53C50">
        <w:t xml:space="preserve">. Just a one </w:t>
      </w:r>
      <w:r w:rsidR="00B53C50" w:rsidRPr="00B53C50">
        <w:t xml:space="preserve">degree Celsius rise in </w:t>
      </w:r>
      <w:r w:rsidR="00B53C50">
        <w:t>t</w:t>
      </w:r>
      <w:r w:rsidR="00B53C50" w:rsidRPr="00B53C50">
        <w:t xml:space="preserve">emperatures </w:t>
      </w:r>
      <w:r w:rsidR="00B53C50">
        <w:t>could increase</w:t>
      </w:r>
      <w:r w:rsidR="00B53C50" w:rsidRPr="00B53C50">
        <w:t xml:space="preserve"> the total losses of rice, corn and wheat </w:t>
      </w:r>
      <w:r w:rsidR="00B53C50">
        <w:t xml:space="preserve">alone by 10-25 </w:t>
      </w:r>
      <w:r w:rsidR="007D05E7">
        <w:t>%</w:t>
      </w:r>
      <w:r w:rsidR="00B53C50">
        <w:t xml:space="preserve">, with a two degree Celsius rise resulting in </w:t>
      </w:r>
      <w:r w:rsidR="00B53C50" w:rsidRPr="00B53C50">
        <w:t>approximately 213 million tons</w:t>
      </w:r>
      <w:r w:rsidR="00B53C50">
        <w:t xml:space="preserve"> of lost produce </w:t>
      </w:r>
      <w:r w:rsidR="005C0E76">
        <w:fldChar w:fldCharType="begin" w:fldLock="1"/>
      </w:r>
      <w:r w:rsidR="00D229F8">
        <w:instrText>ADDIN CSL_CITATION {"citationItems":[{"id":"ITEM-1","itemData":{"DOI":"10.1126/science.aat3466","ISSN":"1095-9203","PMID":"30166490","abstract":"Insect pests substantially reduce yields of three staple grains-rice, maize, and wheat-but models assessing the agricultural impacts of global warming rarely consider crop losses to insects. We use established relationships between temperature and the population growth and metabolic rates of insects to estimate how and where climate warming will augment losses of rice, maize, and wheat to insects. Global yield losses of these grains are projected to increase by 10 to 25% per degree of global mean surface warming. Crop losses will be most acute in areas where warming increases both population growth and metabolic rates of insects. These conditions are centered primarily in temperate regions, where most grain is produced.","author":[{"dropping-particle":"","family":"Deutsch","given":"Curtis A","non-dropping-particle":"","parse-names":false,"suffix":""},{"dropping-particle":"","family":"Tewksbury","given":"Joshua J","non-dropping-particle":"","parse-names":false,"suffix":""},{"dropping-particle":"","family":"Tigchelaar","given":"Michelle","non-dropping-particle":"","parse-names":false,"suffix":""},{"dropping-particle":"","family":"Battisti","given":"David S","non-dropping-particle":"","parse-names":false,"suffix":""},{"dropping-particle":"","family":"Merrill","given":"Scott C","non-dropping-particle":"","parse-names":false,"suffix":""},{"dropping-particle":"","family":"Huey","given":"Raymond B","non-dropping-particle":"","parse-names":false,"suffix":""},{"dropping-particle":"","family":"Naylor","given":"Rosamond L","non-dropping-particle":"","parse-names":false,"suffix":""}],"container-title":"Science (New York, N.Y.)","id":"ITEM-1","issue":"6405","issued":{"date-parts":[["2018","8","31"]]},"page":"916-919","publisher":"American Association for the Advancement of Science","title":"Increase in crop losses to insect pests in a warming climate.","type":"article-journal","volume":"361"},"uris":["http://www.mendeley.com/documents/?uuid=b0839c8f-68c3-34b9-bd99-07c07decbd59"]}],"mendeley":{"formattedCitation":"(Deutsch &lt;i&gt;et al.&lt;/i&gt;, 2018)","plainTextFormattedCitation":"(Deutsch et al., 2018)","previouslyFormattedCitation":"(Deutsch &lt;i&gt;et al.&lt;/i&gt;, 2018)"},"properties":{"noteIndex":0},"schema":"https://github.com/citation-style-language/schema/raw/master/csl-citation.json"}</w:instrText>
      </w:r>
      <w:r w:rsidR="005C0E76">
        <w:fldChar w:fldCharType="separate"/>
      </w:r>
      <w:r w:rsidR="00B53C50" w:rsidRPr="00B53C50">
        <w:rPr>
          <w:noProof/>
        </w:rPr>
        <w:t xml:space="preserve">(Deutsch </w:t>
      </w:r>
      <w:r w:rsidR="00B53C50" w:rsidRPr="00B53C50">
        <w:rPr>
          <w:i/>
          <w:noProof/>
        </w:rPr>
        <w:t>et al.</w:t>
      </w:r>
      <w:r w:rsidR="00B53C50" w:rsidRPr="00B53C50">
        <w:rPr>
          <w:noProof/>
        </w:rPr>
        <w:t>, 2018)</w:t>
      </w:r>
      <w:r w:rsidR="005C0E76">
        <w:fldChar w:fldCharType="end"/>
      </w:r>
      <w:r w:rsidR="00B53C50" w:rsidRPr="00B53C50">
        <w:t>.</w:t>
      </w:r>
      <w:r w:rsidR="00D229F8">
        <w:t xml:space="preserve"> </w:t>
      </w:r>
      <w:r w:rsidR="00B53C50">
        <w:t>In conjunction with an ever expanding world population, there is therefore not only the threat of economic loss, but the looming spectre of mass starvation</w:t>
      </w:r>
      <w:r w:rsidR="00D229F8">
        <w:t>.</w:t>
      </w:r>
    </w:p>
    <w:p w:rsidR="00544B2F" w:rsidRDefault="00D229F8" w:rsidP="000441D9">
      <w:pPr>
        <w:spacing w:line="360" w:lineRule="auto"/>
        <w:ind w:firstLine="284"/>
      </w:pPr>
      <w:r>
        <w:lastRenderedPageBreak/>
        <w:t>Another related major driver</w:t>
      </w:r>
      <w:r w:rsidR="00544B2F">
        <w:t xml:space="preserve"> for the development of new pesticides</w:t>
      </w:r>
      <w:r>
        <w:t xml:space="preserve">, is the need for thriving populations of pollinator species such as bees, which are currently being decimated by climate change </w:t>
      </w:r>
      <w:r w:rsidR="005C0E76">
        <w:fldChar w:fldCharType="begin" w:fldLock="1"/>
      </w:r>
      <w:r>
        <w:instrText>ADDIN CSL_CITATION {"citationItems":[{"id":"ITEM-1","itemData":{"DOI":"10.1111/1365-2435.13151","ISSN":"02698463","author":[{"dropping-particle":"","family":"CaraDonna","given":"Paul J.","non-dropping-particle":"","parse-names":false,"suffix":""},{"dropping-particle":"","family":"Cunningham","given":"James L.","non-dropping-particle":"","parse-names":false,"suffix":""},{"dropping-particle":"","family":"Iler","given":"Amy M.","non-dropping-particle":"","parse-names":false,"suffix":""}],"container-title":"Functional Ecology","editor":[{"dropping-particle":"","family":"Williams","given":"Caroline","non-dropping-particle":"","parse-names":false,"suffix":""}],"id":"ITEM-1","issue":"10","issued":{"date-parts":[["2018","10","1"]]},"page":"2345-2356","publisher":"John Wiley &amp; Sons, Ltd (10.1111)","title":"Experimental warming in the field delays phenology and reduces body mass, fat content and survival: Implications for the persistence of a pollinator under climate change","type":"article-journal","volume":"32"},"uris":["http://www.mendeley.com/documents/?uuid=84cef70b-9274-3181-9d33-d241333f20dc"]}],"mendeley":{"formattedCitation":"(CaraDonna, Cunningham and Iler, 2018)","plainTextFormattedCitation":"(CaraDonna, Cunningham and Iler, 2018)","previouslyFormattedCitation":"(CaraDonna, Cunningham and Iler, 2018)"},"properties":{"noteIndex":0},"schema":"https://github.com/citation-style-language/schema/raw/master/csl-citation.json"}</w:instrText>
      </w:r>
      <w:r w:rsidR="005C0E76">
        <w:fldChar w:fldCharType="separate"/>
      </w:r>
      <w:r w:rsidRPr="00D229F8">
        <w:rPr>
          <w:noProof/>
        </w:rPr>
        <w:t>(CaraDonna, Cunningham and Iler, 2018)</w:t>
      </w:r>
      <w:r w:rsidR="005C0E76">
        <w:fldChar w:fldCharType="end"/>
      </w:r>
      <w:r>
        <w:t>,</w:t>
      </w:r>
      <w:r w:rsidR="00544B2F">
        <w:t xml:space="preserve"> and</w:t>
      </w:r>
      <w:r>
        <w:t xml:space="preserve"> viral infections leading to colony collapse disorder </w:t>
      </w:r>
      <w:r w:rsidR="005C0E76">
        <w:fldChar w:fldCharType="begin" w:fldLock="1"/>
      </w:r>
      <w:r>
        <w:instrText>ADDIN CSL_CITATION {"citationItems":[{"id":"ITEM-1","itemData":{"DOI":"10.1126/SCIENCE.1146498","ISSN":"0036-8075","PMID":"17823314","abstract":"In colony collapse disorder (CCD), honey bee colonies inexplicably lose their workers. CCD has resulted in a loss of 50 to 90% of colonies in beekeeping operations across the United States. The observation that irradiated combs from affected colonies can be repopulated with naive bees suggests that infection may contribute to CCD. We used an unbiased metagenomic approach to survey microflora in CCD hives, normal hives, and imported royal jelly. Candidate pathogens were screened for significance of association with CCD by the examination of samples collected from several sites over a period of 3 years. One organism, Israeli acute paralysis virus of bees, was strongly correlated with CCD.","author":[{"dropping-particle":"","family":"Cox-Foster","given":"Diana L.","non-dropping-particle":"","parse-names":false,"suffix":""},{"dropping-particle":"","family":"Conlan","given":"Sean","non-dropping-particle":"","parse-names":false,"suffix":""},{"dropping-particle":"","family":"Holmes","given":"Edward C.","non-dropping-particle":"","parse-names":false,"suffix":""},{"dropping-particle":"","family":"Palacios","given":"Gustavo","non-dropping-particle":"","parse-names":false,"suffix":""},{"dropping-particle":"","family":"Evans","given":"Jay D.","non-dropping-particle":"","parse-names":false,"suffix":""},{"dropping-particle":"","family":"Moran","given":"Nancy A.","non-dropping-particle":"","parse-names":false,"suffix":""},{"dropping-particle":"","family":"Quan","given":"Phenix-Lan","non-dropping-particle":"","parse-names":false,"suffix":""},{"dropping-particle":"","family":"Briese","given":"Thomas","non-dropping-particle":"","parse-names":false,"suffix":""},{"dropping-particle":"","family":"Hornig","given":"Mady","non-dropping-particle":"","parse-names":false,"suffix":""},{"dropping-particle":"","family":"Geiser","given":"David M.","non-dropping-particle":"","parse-names":false,"suffix":""},{"dropping-particle":"","family":"Martinson","given":"Vince","non-dropping-particle":"","parse-names":false,"suffix":""},{"dropping-particle":"","family":"vanEngelsdorp","given":"Dennis","non-dropping-particle":"","parse-names":false,"suffix":""},{"dropping-particle":"","family":"Kalkstein","given":"Abby L.","non-dropping-particle":"","parse-names":false,"suffix":""},{"dropping-particle":"","family":"Drysdale","given":"Andrew","non-dropping-particle":"","parse-names":false,"suffix":""},{"dropping-particle":"","family":"Hui","given":"Jeffrey","non-dropping-particle":"","parse-names":false,"suffix":""},{"dropping-particle":"","family":"Zhai","given":"Junhui","non-dropping-particle":"","parse-names":false,"suffix":""},{"dropping-particle":"","family":"Cui","given":"Liwang","non-dropping-particle":"","parse-names":false,"suffix":""},{"dropping-particle":"","family":"Hutchison","given":"Stephen K.","non-dropping-particle":"","parse-names":false,"suffix":""},{"dropping-particle":"","family":"Simons","given":"Jan Fredrik","non-dropping-particle":"","parse-names":false,"suffix":""},{"dropping-particle":"","family":"Egholm","given":"Michael","non-dropping-particle":"","parse-names":false,"suffix":""},{"dropping-particle":"","family":"Pettis","given":"Jeffery S.","non-dropping-particle":"","parse-names":false,"suffix":""},{"dropping-particle":"","family":"Lipkin","given":"W. Ian","non-dropping-particle":"","parse-names":false,"suffix":""}],"container-title":"Science","id":"ITEM-1","issue":"5848","issued":{"date-parts":[["2007","10","12"]]},"page":"283-287","publisher":"American Association for the Advancement of Science","title":"A Metagenomic Survey of Microbes in Honey Bee Colony Collapse Disorder","type":"article-journal","volume":"318"},"uris":["http://www.mendeley.com/documents/?uuid=9a58aed9-d234-3fd8-908f-57b1e6a1e235"]},{"id":"ITEM-2","itemData":{"DOI":"10.1038/scientificamerican0409-40","ISSN":"0036-8733","PMID":"19363919","author":[{"dropping-particle":"","family":"Cox-Foster","given":"Diana","non-dropping-particle":"","parse-names":false,"suffix":""},{"dropping-particle":"","family":"vanEngelsdorp","given":"Dennis","non-dropping-particle":"","parse-names":false,"suffix":""}],"container-title":"Scientific American","id":"ITEM-2","issue":"4","issued":{"date-parts":[["2009","4"]]},"page":"40-7","title":"Saving the honeybee.","type":"article-journal","volume":"300"},"uris":["http://www.mendeley.com/documents/?uuid=f13cb67d-370e-3582-aaf1-4e0d1a0dc191"]}],"mendeley":{"formattedCitation":"(Cox-Foster &lt;i&gt;et al.&lt;/i&gt;, 2007; Cox-Foster and vanEngelsdorp, 2009)","plainTextFormattedCitation":"(Cox-Foster et al., 2007; Cox-Foster and vanEngelsdorp, 2009)","previouslyFormattedCitation":"(Cox-Foster &lt;i&gt;et al.&lt;/i&gt;, 2007; Cox-Foster and vanEngelsdorp, 2009)"},"properties":{"noteIndex":0},"schema":"https://github.com/citation-style-language/schema/raw/master/csl-citation.json"}</w:instrText>
      </w:r>
      <w:r w:rsidR="005C0E76">
        <w:fldChar w:fldCharType="separate"/>
      </w:r>
      <w:r w:rsidRPr="00D229F8">
        <w:rPr>
          <w:noProof/>
        </w:rPr>
        <w:t xml:space="preserve">(Cox-Foster </w:t>
      </w:r>
      <w:r w:rsidRPr="00D229F8">
        <w:rPr>
          <w:i/>
          <w:noProof/>
        </w:rPr>
        <w:t>et al.</w:t>
      </w:r>
      <w:r w:rsidRPr="00D229F8">
        <w:rPr>
          <w:noProof/>
        </w:rPr>
        <w:t>, 2007; Cox-Foster and vanEngelsdorp, 2009)</w:t>
      </w:r>
      <w:r w:rsidR="005C0E76">
        <w:fldChar w:fldCharType="end"/>
      </w:r>
      <w:r>
        <w:t>,</w:t>
      </w:r>
      <w:r w:rsidR="00544B2F">
        <w:t xml:space="preserve"> as well as some limited evidence of issues arising from</w:t>
      </w:r>
      <w:r>
        <w:t xml:space="preserve"> </w:t>
      </w:r>
      <w:r w:rsidR="00544B2F">
        <w:t>use of existing pesticides</w:t>
      </w:r>
      <w:r>
        <w:t xml:space="preserve"> </w:t>
      </w:r>
      <w:r w:rsidR="005C0E76">
        <w:fldChar w:fldCharType="begin" w:fldLock="1"/>
      </w:r>
      <w:r w:rsidR="00997A5D">
        <w:instrText>ADDIN CSL_CITATION {"citationItems":[{"id":"ITEM-1","itemData":{"DOI":"10.1126/science.aam7470","ISSN":"1095-9203","PMID":"28663503","abstract":"Experiments linking neonicotinoids and declining bee health have been criticized for not simulating realistic exposure. Here we quantified the duration and magnitude of neonicotinoid exposure in Canada's corn-growing regions and used these data to design realistic experiments to investigate the effect of such insecticides on honey bees. Colonies near corn were naturally exposed to neonicotinoids for up to 4 months-the majority of the honey bee's active season. Realistic experiments showed that neonicotinoids increased worker mortality and were associated with declines in social immunity and increased queenlessness over time. We also discovered that the acute toxicity of neonicotinoids to honey bees doubles in the presence of a commonly encountered fungicide. Our work demonstrates that field-realistic exposure to neonicotinoids can reduce honey bee health in corn-growing regions.","author":[{"dropping-particle":"","family":"Tsvetkov","given":"N","non-dropping-particle":"","parse-names":false,"suffix":""},{"dropping-particle":"","family":"Samson-Robert","given":"O","non-dropping-particle":"","parse-names":false,"suffix":""},{"dropping-particle":"","family":"Sood","given":"K","non-dropping-particle":"","parse-names":false,"suffix":""},{"dropping-particle":"","family":"Patel","given":"H S","non-dropping-particle":"","parse-names":false,"suffix":""},{"dropping-particle":"","family":"Malena","given":"D A","non-dropping-particle":"","parse-names":false,"suffix":""},{"dropping-particle":"","family":"Gajiwala","given":"P H","non-dropping-particle":"","parse-names":false,"suffix":""},{"dropping-particle":"","family":"Maciukiewicz","given":"P","non-dropping-particle":"","parse-names":false,"suffix":""},{"dropping-particle":"","family":"Fournier","given":"V","non-dropping-particle":"","parse-names":false,"suffix":""},{"dropping-particle":"","family":"Zayed","given":"A","non-dropping-particle":"","parse-names":false,"suffix":""}],"container-title":"Science (New York, N.Y.)","id":"ITEM-1","issue":"6345","issued":{"date-parts":[["2017","6","30"]]},"page":"1395-1397","publisher":"American Association for the Advancement of Science","title":"Chronic exposure to neonicotinoids reduces honey bee health near corn crops.","type":"article-journal","volume":"356"},"uris":["http://www.mendeley.com/documents/?uuid=9f6ddd0e-f0a7-3f5d-a740-f9d719bcb15d"]}],"mendeley":{"formattedCitation":"(Tsvetkov &lt;i&gt;et al.&lt;/i&gt;, 2017)","plainTextFormattedCitation":"(Tsvetkov et al., 2017)","previouslyFormattedCitation":"(Tsvetkov &lt;i&gt;et al.&lt;/i&gt;, 2017)"},"properties":{"noteIndex":0},"schema":"https://github.com/citation-style-language/schema/raw/master/csl-citation.json"}</w:instrText>
      </w:r>
      <w:r w:rsidR="005C0E76">
        <w:fldChar w:fldCharType="separate"/>
      </w:r>
      <w:r w:rsidRPr="00D229F8">
        <w:rPr>
          <w:noProof/>
        </w:rPr>
        <w:t xml:space="preserve">(Tsvetkov </w:t>
      </w:r>
      <w:r w:rsidRPr="00D229F8">
        <w:rPr>
          <w:i/>
          <w:noProof/>
        </w:rPr>
        <w:t>et al.</w:t>
      </w:r>
      <w:r w:rsidRPr="00D229F8">
        <w:rPr>
          <w:noProof/>
        </w:rPr>
        <w:t>, 2017)</w:t>
      </w:r>
      <w:r w:rsidR="005C0E76">
        <w:fldChar w:fldCharType="end"/>
      </w:r>
      <w:r w:rsidR="00997A5D">
        <w:t xml:space="preserve">. There is therefore a requirement for new classes of pesticide that can both overcome pesticide resistance of target species by utilising new mechanisms of inducing mortality, and are species-specific, thereby avoiding causing harm to beneficial pollinator species such as bees. </w:t>
      </w:r>
    </w:p>
    <w:p w:rsidR="005A3F1B" w:rsidRDefault="005A3F1B" w:rsidP="000441D9">
      <w:pPr>
        <w:spacing w:line="360" w:lineRule="auto"/>
        <w:ind w:firstLine="284"/>
      </w:pPr>
      <w:r>
        <w:t xml:space="preserve">Beyond the use of traditional small molecule pesticides as a ‘chemical’ method of pest control, an alternative ‘biological’ method of pest control utilising </w:t>
      </w:r>
      <w:r w:rsidRPr="00684F22">
        <w:rPr>
          <w:i/>
        </w:rPr>
        <w:t>Bacillus thuringiensis</w:t>
      </w:r>
      <w:r>
        <w:t xml:space="preserve"> (</w:t>
      </w:r>
      <w:r w:rsidRPr="00684F22">
        <w:rPr>
          <w:i/>
        </w:rPr>
        <w:t>Bt</w:t>
      </w:r>
      <w:r>
        <w:t xml:space="preserve">) toxin genes engineered into transgenic crop strains has been utilised for some time. However many important insect pest species are not susceptible to this method of control, while other previously susceptible species have developed resistance to </w:t>
      </w:r>
      <w:r w:rsidRPr="006863C0">
        <w:rPr>
          <w:i/>
        </w:rPr>
        <w:t>Bt</w:t>
      </w:r>
      <w:r>
        <w:t xml:space="preserve"> toxins </w:t>
      </w:r>
      <w:r w:rsidR="005C0E76">
        <w:fldChar w:fldCharType="begin" w:fldLock="1"/>
      </w:r>
      <w:r>
        <w:instrText>ADDIN CSL_CITATION {"citationItems":[{"id":"ITEM-1","itemData":{"DOI":"10.1038/nbt1107-1231","ISBN":"1087-0156 (Print)\\r1087-0156 (Linking)","ISSN":"1087-0156","PMID":"17989682","abstract":"RNA interference induced in insects after ingestion of plant-expressed hairpin RNA offers promise for managing devastating crop pests. © 2007 Nature Publishing Group.","author":[{"dropping-particle":"","family":"Gordon","given":"Karl H J","non-dropping-particle":"","parse-names":false,"suffix":""},{"dropping-particle":"","family":"Waterhouse","given":"Peter M","non-dropping-particle":"","parse-names":false,"suffix":""}],"container-title":"Nature biotechnology","id":"ITEM-1","issue":"11","issued":{"date-parts":[["2007"]]},"page":"1231-1232","title":"RNAi for insect-proof plants.","type":"article-journal","volume":"25"},"uris":["http://www.mendeley.com/documents/?uuid=beae6d4a-e84a-4423-b284-ec8eed315563"]}],"mendeley":{"formattedCitation":"(Gordon and Waterhouse, 2007)","plainTextFormattedCitation":"(Gordon and Waterhouse, 2007)","previouslyFormattedCitation":"(Gordon and Waterhouse, 2007)"},"properties":{"noteIndex":0},"schema":"https://github.com/citation-style-language/schema/raw/master/csl-citation.json"}</w:instrText>
      </w:r>
      <w:r w:rsidR="005C0E76">
        <w:fldChar w:fldCharType="separate"/>
      </w:r>
      <w:r w:rsidRPr="006863C0">
        <w:rPr>
          <w:noProof/>
        </w:rPr>
        <w:t>(Gordon and Waterhouse, 2007)</w:t>
      </w:r>
      <w:r w:rsidR="005C0E76">
        <w:fldChar w:fldCharType="end"/>
      </w:r>
    </w:p>
    <w:p w:rsidR="005A3F1B" w:rsidRDefault="005A3F1B" w:rsidP="000441D9">
      <w:pPr>
        <w:spacing w:line="360" w:lineRule="auto"/>
        <w:ind w:firstLine="284"/>
      </w:pPr>
    </w:p>
    <w:p w:rsidR="007F766F" w:rsidRDefault="005A3F1B" w:rsidP="000441D9">
      <w:pPr>
        <w:spacing w:line="360" w:lineRule="auto"/>
        <w:ind w:firstLine="284"/>
      </w:pPr>
      <w:r>
        <w:t xml:space="preserve">The journey of pesticides since the end of the second world </w:t>
      </w:r>
      <w:r w:rsidR="00544B2F">
        <w:t xml:space="preserve">war </w:t>
      </w:r>
      <w:r>
        <w:t xml:space="preserve">has therefore been approximately as follows. </w:t>
      </w:r>
      <w:r w:rsidR="00AE3439">
        <w:t>Previous highly toxic inorganic pesticides were replaced with</w:t>
      </w:r>
      <w:r>
        <w:t xml:space="preserve"> effective, broad spectrum, but environmentally harmful </w:t>
      </w:r>
      <w:r w:rsidR="00DD1AF2">
        <w:t xml:space="preserve">organic </w:t>
      </w:r>
      <w:r>
        <w:t>pesticides such as DDT</w:t>
      </w:r>
      <w:r w:rsidR="00AE3439">
        <w:t xml:space="preserve"> which became available in 1944</w:t>
      </w:r>
      <w:r>
        <w:t xml:space="preserve"> </w:t>
      </w:r>
      <w:r w:rsidR="005C0E76">
        <w:fldChar w:fldCharType="begin" w:fldLock="1"/>
      </w:r>
      <w:r w:rsidR="00AE3439">
        <w:instrText>ADDIN CSL_CITATION {"citationItems":[{"id":"ITEM-1","itemData":{"DOI":"10.1111/j.1365-2915.2011.01006.x","ISSN":"0269283X","author":[{"dropping-particle":"","family":"DAVIES","given":"T. G. E.","non-dropping-particle":"","parse-names":false,"suffix":""},{"dropping-particle":"","family":"FIELD","given":"L. M.","non-dropping-particle":"","parse-names":false,"suffix":""},{"dropping-particle":"","family":"WILLIAMSON","given":"M. S.","non-dropping-particle":"","parse-names":false,"suffix":""}],"container-title":"Medical and Veterinary Entomology","id":"ITEM-1","issue":"3","issued":{"date-parts":[["2012","9","1"]]},"page":"241-254","publisher":"John Wiley &amp; Sons, Ltd (10.1111)","title":"The re-emergence of the bed bug as a nuisance pest: implications of resistance to the pyrethroid insecticides","type":"article-journal","volume":"26"},"uris":["http://www.mendeley.com/documents/?uuid=713f5a32-a42c-3fbc-8387-95ae8bcce0ab"]}],"mendeley":{"formattedCitation":"(DAVIES, FIELD and WILLIAMSON, 2012)","manualFormatting":"(Davies, Field and Williamson, 2012)","plainTextFormattedCitation":"(DAVIES, FIELD and WILLIAMSON, 2012)","previouslyFormattedCitation":"(DAVIES, FIELD and WILLIAMSON, 2012)"},"properties":{"noteIndex":0},"schema":"https://github.com/citation-style-language/schema/raw/master/csl-citation.json"}</w:instrText>
      </w:r>
      <w:r w:rsidR="005C0E76">
        <w:fldChar w:fldCharType="separate"/>
      </w:r>
      <w:r w:rsidR="00DD1AF2" w:rsidRPr="00DD1AF2">
        <w:rPr>
          <w:noProof/>
        </w:rPr>
        <w:t>(D</w:t>
      </w:r>
      <w:r w:rsidR="00DD1AF2">
        <w:rPr>
          <w:noProof/>
        </w:rPr>
        <w:t>avies, Field and Williamson</w:t>
      </w:r>
      <w:r w:rsidR="00DD1AF2" w:rsidRPr="00DD1AF2">
        <w:rPr>
          <w:noProof/>
        </w:rPr>
        <w:t>, 2012)</w:t>
      </w:r>
      <w:r w:rsidR="005C0E76">
        <w:fldChar w:fldCharType="end"/>
      </w:r>
      <w:r w:rsidR="00DD1AF2">
        <w:t xml:space="preserve">. </w:t>
      </w:r>
      <w:r w:rsidR="00AE3439">
        <w:t xml:space="preserve">Organochlorine pesticides such as DDT were subsequently replaced with less harmful organophosphorus pesticides </w:t>
      </w:r>
      <w:r w:rsidR="005C0E76">
        <w:fldChar w:fldCharType="begin" w:fldLock="1"/>
      </w:r>
      <w:r w:rsidR="0068621A">
        <w:instrText>ADDIN CSL_CITATION {"citationItems":[{"id":"ITEM-1","itemData":{"DOI":"10.3389/fpubh.2016.00148","ISSN":"2296-2565","PMID":"27486573","abstract":"The industrialization of the agricultural sector has increased the chemical burden on natural ecosystems. Pesticides are agrochemicals used in agricultural lands, public health programs, and urban green areas in order to protect plants and humans from various diseases. However, due to their known ability to cause a large number of negative health and environmental effects, their side effects can be an important environmental health risk factor. The urgent need for a more sustainable and ecological approach has produced many innovative ideas, among them agriculture reforms and food production implementing sustainable practice evolving to food sovereignty. It is more obvious than ever that the society needs the implementation of a new agricultural concept regarding food production, which is safer for man and the environment, and to this end, steps such as the declaration of Nyéléni have been taken.","author":[{"dropping-particle":"","family":"Nicolopoulou-Stamati","given":"Polyxeni","non-dropping-particle":"","parse-names":false,"suffix":""},{"dropping-particle":"","family":"Maipas","given":"Sotirios","non-dropping-particle":"","parse-names":false,"suffix":""},{"dropping-particle":"","family":"Kotampasi","given":"Chrysanthi","non-dropping-particle":"","parse-names":false,"suffix":""},{"dropping-particle":"","family":"Stamatis","given":"Panagiotis","non-dropping-particle":"","parse-names":false,"suffix":""},{"dropping-particle":"","family":"Hens","given":"Luc","non-dropping-particle":"","parse-names":false,"suffix":""}],"container-title":"Frontiers in public health","id":"ITEM-1","issued":{"date-parts":[["2016"]]},"page":"148","publisher":"Frontiers Media SA","title":"Chemical Pesticides and Human Health: The Urgent Need for a New Concept in Agriculture.","type":"article-journal","volume":"4"},"uris":["http://www.mendeley.com/documents/?uuid=c7bb0108-82c1-3594-945a-39945b65d9dd"]}],"mendeley":{"formattedCitation":"(Nicolopoulou-Stamati &lt;i&gt;et al.&lt;/i&gt;, 2016)","plainTextFormattedCitation":"(Nicolopoulou-Stamati et al., 2016)","previouslyFormattedCitation":"(Nicolopoulou-Stamati &lt;i&gt;et al.&lt;/i&gt;, 2016)"},"properties":{"noteIndex":0},"schema":"https://github.com/citation-style-language/schema/raw/master/csl-citation.json"}</w:instrText>
      </w:r>
      <w:r w:rsidR="005C0E76">
        <w:fldChar w:fldCharType="separate"/>
      </w:r>
      <w:r w:rsidR="00AE3439" w:rsidRPr="00AE3439">
        <w:rPr>
          <w:noProof/>
        </w:rPr>
        <w:t xml:space="preserve">(Nicolopoulou-Stamati </w:t>
      </w:r>
      <w:r w:rsidR="00AE3439" w:rsidRPr="00AE3439">
        <w:rPr>
          <w:i/>
          <w:noProof/>
        </w:rPr>
        <w:t>et al.</w:t>
      </w:r>
      <w:r w:rsidR="00AE3439" w:rsidRPr="00AE3439">
        <w:rPr>
          <w:noProof/>
        </w:rPr>
        <w:t>, 2016)</w:t>
      </w:r>
      <w:r w:rsidR="005C0E76">
        <w:fldChar w:fldCharType="end"/>
      </w:r>
      <w:r w:rsidR="00AE3439">
        <w:t xml:space="preserve">. </w:t>
      </w:r>
      <w:r w:rsidR="0068621A">
        <w:t xml:space="preserve">Increasing resistance to DDT which has continued to grow </w:t>
      </w:r>
      <w:r w:rsidR="005C0E76">
        <w:fldChar w:fldCharType="begin" w:fldLock="1"/>
      </w:r>
      <w:r w:rsidR="007F766F">
        <w:instrText>ADDIN CSL_CITATION {"citationItems":[{"id":"ITEM-1","itemData":{"DOI":"10.1016/J.PESTBP.2006.09.006","ISSN":"0048-3575","abstract":"Insecticide resistance in the bedbug Cimex hemipterus was investigated using 4211 bedbugs collected from three districts of Sri Lanka. Insecticide bioassays were carried out with discriminating dosages of deltamethrin, permethrin, DDT, malathion, and propoxur. Activity levels of insecticide metabolizing enzymes and the insecticide target site acetylcholinesterase were monitored using biochemical assays. Percentage survivals after DDT, malathion, and propoxur exposure were 41–88%, 18–64%, and 11–41%, respectively. For deltamethrin and permethrin, KT50/KT90 (time to knock-down 50%/90% of the population) values were 0.5–24/1.0–58 and 1.3–10/2.5–47h, respectively. Both elevated esterase and malathion carboxylesterase mechanisms were present in bedbug populations. Monooxygenase levels were heterogeneous. Organophosphate and carbamate target site acetylcholinesterase, was insensitive in 29–44% of the populations. High DDT resistance was probably due to glutathione S-transferases. Malathion carboxylesterases are mainly responsible for high malathion resistance. High tolerance to both DDT and pyrethroids suggests the presence of ‘kdr’ type resistance mechanism in one population.","author":[{"dropping-particle":"","family":"Karunaratne","given":"S.H.P.P.","non-dropping-particle":"","parse-names":false,"suffix":""},{"dropping-particle":"","family":"Damayanthi","given":"B.T.","non-dropping-particle":"","parse-names":false,"suffix":""},{"dropping-particle":"","family":"Fareena","given":"M.H.J.","non-dropping-particle":"","parse-names":false,"suffix":""},{"dropping-particle":"","family":"Imbuldeniya","given":"V.","non-dropping-particle":"","parse-names":false,"suffix":""},{"dropping-particle":"","family":"Hemingway","given":"J.","non-dropping-particle":"","parse-names":false,"suffix":""}],"container-title":"Pesticide Biochemistry and Physiology","id":"ITEM-1","issue":"1","issued":{"date-parts":[["2007","5","1"]]},"page":"102-107","publisher":"Academic Press","title":"Insecticide resistance in the tropical bedbug Cimex hemipterus","type":"article-journal","volume":"88"},"uris":["http://www.mendeley.com/documents/?uuid=a16594ef-e682-30a6-8589-058493d2bbcf"]}],"mendeley":{"formattedCitation":"(Karunaratne &lt;i&gt;et al.&lt;/i&gt;, 2007)","plainTextFormattedCitation":"(Karunaratne et al., 2007)","previouslyFormattedCitation":"(Karunaratne &lt;i&gt;et al.&lt;/i&gt;, 2007)"},"properties":{"noteIndex":0},"schema":"https://github.com/citation-style-language/schema/raw/master/csl-citation.json"}</w:instrText>
      </w:r>
      <w:r w:rsidR="005C0E76">
        <w:fldChar w:fldCharType="separate"/>
      </w:r>
      <w:r w:rsidR="0068621A" w:rsidRPr="0068621A">
        <w:rPr>
          <w:noProof/>
        </w:rPr>
        <w:t xml:space="preserve">(Karunaratne </w:t>
      </w:r>
      <w:r w:rsidR="0068621A" w:rsidRPr="0068621A">
        <w:rPr>
          <w:i/>
          <w:noProof/>
        </w:rPr>
        <w:t>et al.</w:t>
      </w:r>
      <w:r w:rsidR="0068621A" w:rsidRPr="0068621A">
        <w:rPr>
          <w:noProof/>
        </w:rPr>
        <w:t>, 2007)</w:t>
      </w:r>
      <w:r w:rsidR="005C0E76">
        <w:fldChar w:fldCharType="end"/>
      </w:r>
      <w:r w:rsidR="0068621A">
        <w:t xml:space="preserve"> has also prompted the development of highly effective insecticides such as synthetic </w:t>
      </w:r>
      <w:r w:rsidR="0068621A" w:rsidRPr="0068621A">
        <w:t>pyrethroids</w:t>
      </w:r>
      <w:r w:rsidR="0068621A">
        <w:t xml:space="preserve">, however resistance to these compounds has also emerged </w:t>
      </w:r>
      <w:r w:rsidR="005C0E76">
        <w:fldChar w:fldCharType="begin" w:fldLock="1"/>
      </w:r>
      <w:r w:rsidR="0068621A">
        <w:instrText>ADDIN CSL_CITATION {"citationItems":[{"id":"ITEM-1","itemData":{"DOI":"10.1111/j.1365-2915.2011.01006.x","ISSN":"0269283X","author":[{"dropping-particle":"","family":"DAVIES","given":"T. G. E.","non-dropping-particle":"","parse-names":false,"suffix":""},{"dropping-particle":"","family":"FIELD","given":"L. M.","non-dropping-particle":"","parse-names":false,"suffix":""},{"dropping-particle":"","family":"WILLIAMSON","given":"M. S.","non-dropping-particle":"","parse-names":false,"suffix":""}],"container-title":"Medical and Veterinary Entomology","id":"ITEM-1","issue":"3","issued":{"date-parts":[["2012","9","1"]]},"page":"241-254","publisher":"John Wiley &amp; Sons, Ltd (10.1111)","title":"The re-emergence of the bed bug as a nuisance pest: implications of resistance to the pyrethroid insecticides","type":"article-journal","volume":"26"},"uris":["http://www.mendeley.com/documents/?uuid=713f5a32-a42c-3fbc-8387-95ae8bcce0ab"]}],"mendeley":{"formattedCitation":"(DAVIES, FIELD and WILLIAMSON, 2012)","manualFormatting":"(Davies, Field and Williamson, 2012)","plainTextFormattedCitation":"(DAVIES, FIELD and WILLIAMSON, 2012)","previouslyFormattedCitation":"(DAVIES, FIELD and WILLIAMSON, 2012)"},"properties":{"noteIndex":0},"schema":"https://github.com/citation-style-language/schema/raw/master/csl-citation.json"}</w:instrText>
      </w:r>
      <w:r w:rsidR="005C0E76">
        <w:fldChar w:fldCharType="separate"/>
      </w:r>
      <w:r w:rsidR="0068621A" w:rsidRPr="00DD1AF2">
        <w:rPr>
          <w:noProof/>
        </w:rPr>
        <w:t>(D</w:t>
      </w:r>
      <w:r w:rsidR="0068621A">
        <w:rPr>
          <w:noProof/>
        </w:rPr>
        <w:t>avies, Field and Williamson</w:t>
      </w:r>
      <w:r w:rsidR="0068621A" w:rsidRPr="00DD1AF2">
        <w:rPr>
          <w:noProof/>
        </w:rPr>
        <w:t>, 2012)</w:t>
      </w:r>
      <w:r w:rsidR="005C0E76">
        <w:fldChar w:fldCharType="end"/>
      </w:r>
      <w:r w:rsidR="0068621A">
        <w:t>. Other types of pesticides such as neonicotinoids in</w:t>
      </w:r>
      <w:r w:rsidR="007F766F">
        <w:t>troduced</w:t>
      </w:r>
      <w:r w:rsidR="0068621A">
        <w:t xml:space="preserve"> in the 1990s</w:t>
      </w:r>
      <w:r w:rsidR="007F766F">
        <w:t xml:space="preserve">, have been engaged in an arms race with resistant pests, with resistance to one type developing as other derivatives and analogues are generated by researchers </w:t>
      </w:r>
      <w:r w:rsidR="005C0E76">
        <w:fldChar w:fldCharType="begin" w:fldLock="1"/>
      </w:r>
      <w:r w:rsidR="007F766F">
        <w:instrText>ADDIN CSL_CITATION {"citationItems":[{"id":"ITEM-1","itemData":{"ISSN":"0065-2598","PMID":"20737790","abstract":"The use ofneonicotinoid insecticides has grown considerably since their introduction in 1990s. They are used extensively for the control of agriculturally important crop pests and also in the control of cat and dog fleas. Imidacloprid exploited through an elaborated structural and substituent optimization of nithiazine was launched to market in 1990. The selectivity ofneonicotinoid compounds for insect species has been attributed to their binding on nicotinic acetylcholine receptors in which the negatively charged nitro- or cyano-groups of neonicotinoid compounds interact with a cationic subsite within insect nicotinic acetylcholine receptors. The first example of a pest evolving resistance to field use of neonicotinoids was Bemisia tabaci. Resistance to neonicotinoids can arise either through nAChR subtypes expression, detoxification mechanisms and/or structural alterations of target-site proteins. Consequently, a number of derivatives and analogues ofimidacloprid have been generated to date. In 1992, a new neonicotinoid using acetylcholine as the lead compound has been found. This was dinotefuran, which has a characteristic tetrahydro-3-furylmethyl group instead of the pyridine-like rings of others neonicotinoids.","author":[{"dropping-particle":"","family":"Thany","given":"Steeve Hervé","non-dropping-particle":"","parse-names":false,"suffix":""}],"container-title":"Advances in experimental medicine and biology","id":"ITEM-1","issued":{"date-parts":[["2010"]]},"page":"75-83","title":"Neonicotinoid insecticides: historical evolution and resistance mechanisms.","type":"article-journal","volume":"683"},"uris":["http://www.mendeley.com/documents/?uuid=0d9faa85-0704-3d31-a2ea-41857fcc3809"]}],"mendeley":{"formattedCitation":"(Thany, 2010)","plainTextFormattedCitation":"(Thany, 2010)","previouslyFormattedCitation":"(Thany, 2010)"},"properties":{"noteIndex":0},"schema":"https://github.com/citation-style-language/schema/raw/master/csl-citation.json"}</w:instrText>
      </w:r>
      <w:r w:rsidR="005C0E76">
        <w:fldChar w:fldCharType="separate"/>
      </w:r>
      <w:r w:rsidR="007F766F" w:rsidRPr="007F766F">
        <w:rPr>
          <w:noProof/>
        </w:rPr>
        <w:t>(Thany, 2010)</w:t>
      </w:r>
      <w:r w:rsidR="005C0E76">
        <w:fldChar w:fldCharType="end"/>
      </w:r>
      <w:r w:rsidR="007F766F">
        <w:t xml:space="preserve">. The first major shift in the endless pesticides arms race came with the harnessing of insecticidal toxin proteins from </w:t>
      </w:r>
      <w:r w:rsidR="007F766F" w:rsidRPr="007F766F">
        <w:rPr>
          <w:i/>
        </w:rPr>
        <w:t xml:space="preserve">Bacillus thuringiensis </w:t>
      </w:r>
      <w:r w:rsidR="007F766F">
        <w:t>(</w:t>
      </w:r>
      <w:r w:rsidR="007F766F" w:rsidRPr="007F766F">
        <w:rPr>
          <w:i/>
        </w:rPr>
        <w:t>Bt</w:t>
      </w:r>
      <w:r w:rsidR="007F766F">
        <w:t>) bacteria. T</w:t>
      </w:r>
      <w:r w:rsidR="007F766F" w:rsidRPr="007F766F">
        <w:t xml:space="preserve">he first insecticidal </w:t>
      </w:r>
      <w:r w:rsidR="007F766F" w:rsidRPr="007F766F">
        <w:rPr>
          <w:i/>
        </w:rPr>
        <w:t>Bt</w:t>
      </w:r>
      <w:r w:rsidR="007F766F">
        <w:t xml:space="preserve"> protein was </w:t>
      </w:r>
      <w:r w:rsidR="007F766F" w:rsidRPr="007F766F">
        <w:t>cloned and sequenced in 1981,</w:t>
      </w:r>
      <w:r w:rsidR="007F766F">
        <w:t xml:space="preserve"> and in the intervening years</w:t>
      </w:r>
      <w:r w:rsidR="007F766F" w:rsidRPr="007F766F">
        <w:t xml:space="preserve"> 993 </w:t>
      </w:r>
      <w:r w:rsidR="007F766F" w:rsidRPr="007F766F">
        <w:rPr>
          <w:i/>
        </w:rPr>
        <w:t>Bt</w:t>
      </w:r>
      <w:r w:rsidR="007F766F">
        <w:t xml:space="preserve"> toxin</w:t>
      </w:r>
      <w:r w:rsidR="007F766F" w:rsidRPr="007F766F">
        <w:t xml:space="preserve"> genes have been cloned and classified</w:t>
      </w:r>
      <w:r w:rsidR="007F766F">
        <w:t xml:space="preserve"> (as of March, 2019) </w:t>
      </w:r>
      <w:r w:rsidR="005C0E76">
        <w:fldChar w:fldCharType="begin" w:fldLock="1"/>
      </w:r>
      <w:r w:rsidR="000B71B3">
        <w:instrText>ADDIN CSL_CITATION {"citationItems":[{"id":"ITEM-1","itemData":{"DOI":"10.1098/RSTB.2018.0316","ISSN":"1471-2970","PMID":"30967027","abstract":"Extensive use of chemical pesticides poses a great threat to the environment and food safety. The discovery of Bacillus thuringiensis (Bt) toxins with effective insecticidal activity against pests and the development of transgenic technology of plants opened a new era of pest control. Transgenic Bt crops, including maize, cotton and soya bean, have now been produced and commercialized to protect against about 30 major coleopteran and lepidopteran pests, greatly benefiting the environment and the economy. However, with the long-term cultivation of Bt crops, some target pests have gradually developed resistance. Numerous studies have indicated that mutations in genes for toxins activation, toxin-binding and insect immunization are important sources in Bt resistance. An in-depth exploration of the corresponding Bt-resistance mechanisms will aid in the design of new strategies to prevent and control pests. Future research will focus on Bt crops expressing new genes and multiple genes to control a broader range of pests as part of an integrated pest management programme. This article is part of the theme issue 'Biotic signalling sheds light on smart pest management'.","author":[{"dropping-particle":"","family":"Xiao","given":"Yutao","non-dropping-particle":"","parse-names":false,"suffix":""},{"dropping-particle":"","family":"Wu","given":"Kongming","non-dropping-particle":"","parse-names":false,"suffix":""}],"container-title":"Philosophical Transactions of the Royal Society B: Biological Sciences","id":"ITEM-1","issue":"1767","issued":{"date-parts":[["2019","3","4"]]},"page":"20180316","publisher":"The Royal Society","title":"Recent progress on the interaction between insects and Bacillus thuringiensis crops","type":"article-journal","volume":"374"},"uris":["http://www.mendeley.com/documents/?uuid=55006e0a-65ca-3c4b-b10d-5391ef6d3f62"]}],"mendeley":{"formattedCitation":"(Xiao and Wu, 2019)","plainTextFormattedCitation":"(Xiao and Wu, 2019)","previouslyFormattedCitation":"(Xiao and Wu, 2019)"},"properties":{"noteIndex":0},"schema":"https://github.com/citation-style-language/schema/raw/master/csl-citation.json"}</w:instrText>
      </w:r>
      <w:r w:rsidR="005C0E76">
        <w:fldChar w:fldCharType="separate"/>
      </w:r>
      <w:r w:rsidR="007F766F" w:rsidRPr="007F766F">
        <w:rPr>
          <w:noProof/>
        </w:rPr>
        <w:t>(Xiao and Wu, 2019)</w:t>
      </w:r>
      <w:r w:rsidR="005C0E76">
        <w:fldChar w:fldCharType="end"/>
      </w:r>
      <w:r w:rsidR="007F766F">
        <w:t xml:space="preserve">. </w:t>
      </w:r>
      <w:r w:rsidR="000B71B3">
        <w:t>These genes can be transformed into crop strains in order to impart resistance to pests</w:t>
      </w:r>
      <w:r w:rsidR="00544B2F">
        <w:t>, or the toxins can be purified into a sprayable product</w:t>
      </w:r>
      <w:r w:rsidR="000B71B3">
        <w:t xml:space="preserve">. </w:t>
      </w:r>
      <w:r w:rsidR="007F766F">
        <w:t>However, now even this new method of</w:t>
      </w:r>
      <w:r w:rsidR="000B71B3">
        <w:t xml:space="preserve"> pest control is losing efficacy due to the development of resistance</w:t>
      </w:r>
      <w:r w:rsidR="007F766F">
        <w:t xml:space="preserve"> </w:t>
      </w:r>
      <w:r w:rsidR="005C0E76">
        <w:fldChar w:fldCharType="begin" w:fldLock="1"/>
      </w:r>
      <w:r w:rsidR="000B71B3">
        <w:instrText>ADDIN CSL_CITATION {"citationItems":[{"id":"ITEM-1","itemData":{"DOI":"10.1038/nbt.2597","ISSN":"1087-0156","PMID":"23752438","abstract":"Evolution of resistance in pests can reduce the effectiveness of insecticidal proteins from Bacillus thuringiensis (Bt) produced by transgenic crops. We analyzed results of 77 studies from five continents reporting field monitoring data for resistance to Bt crops, empirical evaluation of factors affecting resistance or both. Although most pest populations remained susceptible, reduced efficacy of Bt crops caused by field-evolved resistance has been reported now for some populations of 5 of 13 major pest species examined, compared with resistant populations of only one pest species in 2005. Field outcomes support theoretical predictions that factors delaying resistance include recessive inheritance of resistance, low initial frequency of resistance alleles, abundant refuges of non-Bt host plants and two-toxin Bt crops deployed separately from one-toxin Bt crops. The results imply that proactive evaluation of the inheritance and initial frequency of resistance are useful for predicting the risk of resistance and improving strategies to sustain the effectiveness of Bt crops.","author":[{"dropping-particle":"","family":"Tabashnik","given":"Bruce E","non-dropping-particle":"","parse-names":false,"suffix":""},{"dropping-particle":"","family":"Brévault","given":"Thierry","non-dropping-particle":"","parse-names":false,"suffix":""},{"dropping-particle":"","family":"Carrière","given":"Yves","non-dropping-particle":"","parse-names":false,"suffix":""}],"container-title":"Nature Biotechnology","id":"ITEM-1","issue":"6","issued":{"date-parts":[["2013","6","10"]]},"page":"510-521","title":"Insect resistance to Bt crops: lessons from the first billion acres","type":"article-journal","volume":"31"},"uris":["http://www.mendeley.com/documents/?uuid=bfca2604-6add-3246-a7ae-9a6af54965f7"]}],"mendeley":{"formattedCitation":"(Tabashnik, Brévault and Carrière, 2013)","plainTextFormattedCitation":"(Tabashnik, Brévault and Carrière, 2013)","previouslyFormattedCitation":"(Tabashnik, Brévault and Carrière, 2013)"},"properties":{"noteIndex":0},"schema":"https://github.com/citation-style-language/schema/raw/master/csl-citation.json"}</w:instrText>
      </w:r>
      <w:r w:rsidR="005C0E76">
        <w:fldChar w:fldCharType="separate"/>
      </w:r>
      <w:r w:rsidR="000B71B3" w:rsidRPr="000B71B3">
        <w:rPr>
          <w:noProof/>
        </w:rPr>
        <w:t>(Tabashnik, Brévault and Carrière, 2013)</w:t>
      </w:r>
      <w:r w:rsidR="005C0E76">
        <w:fldChar w:fldCharType="end"/>
      </w:r>
      <w:r w:rsidR="000B71B3">
        <w:t xml:space="preserve">. Once again, a complete shift in the method of killing crop pests is required, and RNA </w:t>
      </w:r>
      <w:r w:rsidR="00544B2F">
        <w:t>based biocontrols have</w:t>
      </w:r>
      <w:r w:rsidR="000B71B3">
        <w:t xml:space="preserve"> been proposed as the paradigm shift required to tackl</w:t>
      </w:r>
      <w:r w:rsidR="00544B2F">
        <w:t>e</w:t>
      </w:r>
      <w:r w:rsidR="000B71B3">
        <w:t xml:space="preserve"> safety and specificity issues with previous classes of pesticide </w:t>
      </w:r>
      <w:r w:rsidR="005C0E76">
        <w:fldChar w:fldCharType="begin" w:fldLock="1"/>
      </w:r>
      <w:r w:rsidR="00C44B4D">
        <w:instrText>ADDIN CSL_CITATION {"citationItems":[{"id":"ITEM-1","itemData":{"DOI":"10.1038/nbt1107-1231","ISBN":"1087-0156 (Print)\\r1087-0156 (Linking)","ISSN":"1087-0156","PMID":"17989682","abstract":"RNA interference induced in insects after ingestion of plant-expressed hairpin RNA offers promise for managing devastating crop pests. © 2007 Nature Publishing Group.","author":[{"dropping-particle":"","family":"Gordon","given":"Karl H J","non-dropping-particle":"","parse-names":false,"suffix":""},{"dropping-particle":"","family":"Waterhouse","given":"Peter M","non-dropping-particle":"","parse-names":false,"suffix":""}],"container-title":"Nature biotechnology","id":"ITEM-1","issue":"11","issued":{"date-parts":[["2007"]]},"page":"1231-1232","title":"RNAi for insect-proof plants.","type":"article-journal","volume":"25"},"uris":["http://www.mendeley.com/documents/?uuid=beae6d4a-e84a-4423-b284-ec8eed315563"]}],"mendeley":{"formattedCitation":"(Gordon and Waterhouse, 2007)","plainTextFormattedCitation":"(Gordon and Waterhouse, 2007)","previouslyFormattedCitation":"(Gordon and Waterhouse, 2007)"},"properties":{"noteIndex":0},"schema":"https://github.com/citation-style-language/schema/raw/master/csl-citation.json"}</w:instrText>
      </w:r>
      <w:r w:rsidR="005C0E76">
        <w:fldChar w:fldCharType="separate"/>
      </w:r>
      <w:r w:rsidR="000B71B3" w:rsidRPr="000B71B3">
        <w:rPr>
          <w:noProof/>
        </w:rPr>
        <w:t>(Gordon and Waterhouse, 2007)</w:t>
      </w:r>
      <w:r w:rsidR="005C0E76">
        <w:fldChar w:fldCharType="end"/>
      </w:r>
      <w:r w:rsidR="00544B2F">
        <w:t xml:space="preserve">, and to potentially get ahead of pesticide </w:t>
      </w:r>
      <w:r w:rsidR="00544B2F">
        <w:lastRenderedPageBreak/>
        <w:t>resistance</w:t>
      </w:r>
      <w:r w:rsidR="000B71B3">
        <w:t>.</w:t>
      </w:r>
      <w:r w:rsidR="00544B2F">
        <w:t xml:space="preserve"> While highly selective pesticides are already in use, RNA-based biocontrols have the potential to increase specificity to the species level.</w:t>
      </w:r>
    </w:p>
    <w:p w:rsidR="005A3F1B" w:rsidRDefault="005A3F1B" w:rsidP="000441D9">
      <w:pPr>
        <w:spacing w:line="360" w:lineRule="auto"/>
        <w:ind w:firstLine="284"/>
      </w:pPr>
    </w:p>
    <w:p w:rsidR="00997A5D" w:rsidRDefault="00AA56C9" w:rsidP="000441D9">
      <w:pPr>
        <w:spacing w:line="360" w:lineRule="auto"/>
        <w:ind w:firstLine="284"/>
        <w:rPr>
          <w:color w:val="0070C0"/>
        </w:rPr>
      </w:pPr>
      <w:r>
        <w:t>Long double stranded RNA (dsRNA)</w:t>
      </w:r>
      <w:r w:rsidR="00997A5D">
        <w:t xml:space="preserve"> </w:t>
      </w:r>
      <w:r w:rsidR="00C44B4D">
        <w:t>insecticide</w:t>
      </w:r>
      <w:r w:rsidR="004B1A1C">
        <w:t>s</w:t>
      </w:r>
      <w:r w:rsidR="00C44B4D">
        <w:t xml:space="preserve"> are RNA based biocontrols</w:t>
      </w:r>
      <w:r w:rsidR="00997A5D">
        <w:t xml:space="preserve"> capable of inducing RNA interference (RNAi) of the mRNA for a target insect protein critical to survival of the insect</w:t>
      </w:r>
      <w:r w:rsidR="007D05E7">
        <w:t>, and</w:t>
      </w:r>
      <w:r w:rsidR="00997A5D">
        <w:t xml:space="preserve"> has been proposed as a solution </w:t>
      </w:r>
      <w:r w:rsidR="005C0E76">
        <w:fldChar w:fldCharType="begin" w:fldLock="1"/>
      </w:r>
      <w:r w:rsidR="00997A5D">
        <w:instrText>ADDIN CSL_CITATION {"citationItems":[{"id":"ITEM-1","itemData":{"DOI":"10.3389/fphys.2018.01912","ISSN":"1664-042X","abstract":"Insects constitute the largest and most diverse group of animals on Earth, with a matching virome diversity. RNA(i) interference is a post transcriptional gene silencing mechanism mediated by small RNA molecules and constitutes the main antiviral immune mechanism in this group of animals. Furthermore, this process can be artificially triggered via delivery of gene-specific double-stranded RNA molecules, leading to specific endogenous gene silencing. This is called RNAi technology and has important applications in several fields. In this paper, we start by reviewing the mechanisms of RNAi in insects as well as the potential of the RNAi technology to contribute to species-specific insecticidal strategies. We cover the range of strategies considered and investigated so far, as well as their limitations and the most promising approaches to overcome them. Next, we discuss patterns of viral infection, as well as review persistent and acute insect viral infections. Regarding the latter, a special focus is put on the ones affecting economically relevant species. In this scope, the use insect-specific viruses as bio-insecticides is likewise reviewed. In a third section, RNAi-based strategies to protect beneficial insects from harmful viral infections are explained and their potential practical application is discussed. As a whole, this manuscript stresses the impact of insect viruses and RNAi technology in human life. In addition, it points towards clear lines of investigation within an exciting and promising field of research.","author":[{"dropping-particle":"","family":"Vogel","given":"Elise","non-dropping-particle":"","parse-names":false,"suffix":""},{"dropping-particle":"","family":"Santos","given":"Dulce","non-dropping-particle":"","parse-names":false,"suffix":""},{"dropping-particle":"","family":"Mingels","given":"Lina","non-dropping-particle":"","parse-names":false,"suffix":""},{"dropping-particle":"","family":"Verdonckt","given":"Thomas-Wolf","non-dropping-particle":"","parse-names":false,"suffix":""},{"dropping-particle":"Vanden","family":"Broeck","given":"Jozef","non-dropping-particle":"","parse-names":false,"suffix":""}],"container-title":"Frontiers in Physiology","id":"ITEM-1","issued":{"date-parts":[["2019","1","11"]]},"page":"1912","publisher":"Frontiers","title":"RNA Interference in Insects: Protecting Beneficials and Controlling Pests","type":"article-journal","volume":"9"},"uris":["http://www.mendeley.com/documents/?uuid=666e52ba-579e-3026-83b5-ce5170e082cc"]}],"mendeley":{"formattedCitation":"(Vogel &lt;i&gt;et al.&lt;/i&gt;, 2019)","plainTextFormattedCitation":"(Vogel et al., 2019)","previouslyFormattedCitation":"(Vogel &lt;i&gt;et al.&lt;/i&gt;, 2019)"},"properties":{"noteIndex":0},"schema":"https://github.com/citation-style-language/schema/raw/master/csl-citation.json"}</w:instrText>
      </w:r>
      <w:r w:rsidR="005C0E76">
        <w:fldChar w:fldCharType="separate"/>
      </w:r>
      <w:r w:rsidR="00997A5D" w:rsidRPr="00997A5D">
        <w:rPr>
          <w:noProof/>
        </w:rPr>
        <w:t xml:space="preserve">(Vogel </w:t>
      </w:r>
      <w:r w:rsidR="00997A5D" w:rsidRPr="00997A5D">
        <w:rPr>
          <w:i/>
          <w:noProof/>
        </w:rPr>
        <w:t>et al.</w:t>
      </w:r>
      <w:r w:rsidR="00997A5D" w:rsidRPr="00997A5D">
        <w:rPr>
          <w:noProof/>
        </w:rPr>
        <w:t>, 2019)</w:t>
      </w:r>
      <w:r w:rsidR="005C0E76">
        <w:fldChar w:fldCharType="end"/>
      </w:r>
      <w:r w:rsidR="00997A5D">
        <w:t xml:space="preserve">. The first successful studies demonstrating proof-of-principle for this technology took place over ten years ago </w:t>
      </w:r>
      <w:r w:rsidR="005C0E76">
        <w:fldChar w:fldCharType="begin" w:fldLock="1"/>
      </w:r>
      <w:r w:rsidR="00997A5D">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interference","type":"article-journal","volume":"25"},"uris":["http://www.mendeley.com/documents/?uuid=f36b1865-baf2-4cfb-bf8c-3a0a3c4b563c"]},{"id":"ITEM-2","itemData":{"DOI":"10.1038/nbt1352","ISBN":"1087-0156","ISSN":"10870156","PMID":"17982444","abstract":"We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Biotechnology","id":"ITEM-2","issue":"11","issued":{"date-parts":[["2007"]]},"page":"1307-1313","title":"Silencing a cotton bollworm P450 monooxygenase gene by plant-mediated RNAi impairs larval tolerance of gossypol","type":"article-journal","volume":"25"},"uris":["http://www.mendeley.com/documents/?uuid=30f4c137-f223-4428-b6ca-02cdb2aba4ea"]}],"mendeley":{"formattedCitation":"(Baum &lt;i&gt;et al.&lt;/i&gt;, 2007; Mao &lt;i&gt;et al.&lt;/i&gt;, 2007)","plainTextFormattedCitation":"(Baum et al., 2007; Mao et al., 2007)","previouslyFormattedCitation":"(Baum &lt;i&gt;et al.&lt;/i&gt;, 2007; Mao &lt;i&gt;et al.&lt;/i&gt;, 2007)"},"properties":{"noteIndex":0},"schema":"https://github.com/citation-style-language/schema/raw/master/csl-citation.json"}</w:instrText>
      </w:r>
      <w:r w:rsidR="005C0E76">
        <w:fldChar w:fldCharType="separate"/>
      </w:r>
      <w:r w:rsidR="00997A5D" w:rsidRPr="00997A5D">
        <w:rPr>
          <w:noProof/>
        </w:rPr>
        <w:t xml:space="preserve">(Baum </w:t>
      </w:r>
      <w:r w:rsidR="00997A5D" w:rsidRPr="00997A5D">
        <w:rPr>
          <w:i/>
          <w:noProof/>
        </w:rPr>
        <w:t>et al.</w:t>
      </w:r>
      <w:r w:rsidR="00997A5D" w:rsidRPr="00997A5D">
        <w:rPr>
          <w:noProof/>
        </w:rPr>
        <w:t xml:space="preserve">, 2007; Mao </w:t>
      </w:r>
      <w:r w:rsidR="00997A5D" w:rsidRPr="00997A5D">
        <w:rPr>
          <w:i/>
          <w:noProof/>
        </w:rPr>
        <w:t>et al.</w:t>
      </w:r>
      <w:r w:rsidR="00997A5D" w:rsidRPr="00997A5D">
        <w:rPr>
          <w:noProof/>
        </w:rPr>
        <w:t>, 2007)</w:t>
      </w:r>
      <w:r w:rsidR="005C0E76">
        <w:fldChar w:fldCharType="end"/>
      </w:r>
      <w:r w:rsidR="00997A5D">
        <w:t xml:space="preserve"> and in the intervening years research has been undertaken demonstrating the possibility of using this technology for a bewildering number of targets and insect species </w:t>
      </w:r>
      <w:r w:rsidR="005C0E76">
        <w:fldChar w:fldCharType="begin" w:fldLock="1"/>
      </w:r>
      <w:r>
        <w:instrText>ADDIN CSL_CITATION {"citationItems":[{"id":"ITEM-1","itemData":{"DOI":"10.1371/journal.pone.0168921","ISSN":"1932-6203","abstract":"Control of the whitefly Bemisia tabaci (Genn.) agricultural pest and plant virus vector relies on the use of chemical insecticides. RNA-interference (RNAi) is a homology-dependent innate immune response in eukaryotes, including insects, which results in degradation of the corresponding transcript following its recognition by a double-stranded RNA (dsRNA) that shares 100% sequence homology. In this study, six whitefly ‘gut’ genes were selected from an in silico-annotated transcriptome library constructed from the whitefly alimentary canal or ‘gut’ of the B biotype of B. tabaci, and tested for knock down efficacy, post-ingestion of dsRNAs that share 100% sequence homology to each respective gene target. Candidate genes were: Acetylcholine receptor subunit α, Alpha glucosidase 1, Aquaporin 1, Heat shock protein 70, Trehalase1, and Trehalose transporter1. The efficacy of RNAi knock down was further tested in a gene-specific functional bioassay, and mortality was recorded in 24 hr intervals, six days, post-treatment. Based on qPCR analysis, all six genes tested showed significantly reduced gene expression. Moderate-to-high whitefly mortality was associated with the down-regulation of osmoregulation, sugar metabolism and sugar transport-associated genes, demonstrating that whitefly survivability was linked with RNAi results. Silenced Acetylcholine receptor subunit α and Heat shock protein 70 genes showed an initial low whitefly mortality, however, following insecticide or high temperature treatments, respectively, significantly increased knockdown efficacy and death was observed, indicating enhanced post-knockdown sensitivity perhaps related to systemic silencing. The oral delivery of gut-specific dsRNAs, when combined with qPCR analysis of gene expression and a corresponding gene-specific bioassay that relates knockdown and mortality, offers a viable approach for functional genomics analysis and the discovery of prospective dsRNA biopesticide targets. The approach can be applied to functional genomics analyses to facilitate, species-specific dsRNA-mediated control of other non-model hemipterans.","author":[{"dropping-particle":"","family":"Vyas","given":"Meenal","non-dropping-particle":"","parse-names":false,"suffix":""},{"dropping-particle":"","family":"Raza","given":"Amir","non-dropping-particle":"","parse-names":false,"suffix":""},{"dropping-particle":"","family":"Ali","given":"Muhammad Yousaf","non-dropping-particle":"","parse-names":false,"suffix":""},{"dropping-particle":"","family":"Ashraf","given":"Muhammad Aleem","non-dropping-particle":"","parse-names":false,"suffix":""},{"dropping-particle":"","family":"Mansoor","given":"Shahid","non-dropping-particle":"","parse-names":false,"suffix":""},{"dropping-particle":"","family":"Shahid","given":"Ahmad Ali","non-dropping-particle":"","parse-names":false,"suffix":""},{"dropping-particle":"","family":"Brown","given":"Judith K.","non-dropping-particle":"","parse-names":false,"suffix":""}],"container-title":"PLOS ONE","editor":[{"dropping-particle":"","family":"Zhang","given":"Youjun","non-dropping-particle":"","parse-names":false,"suffix":""}],"id":"ITEM-1","issue":"1","issued":{"date-parts":[["2017","1","3"]]},"page":"e0168921","publisher":"Public Library of Science","title":"Knock down of Whitefly Gut Gene Expression and Mortality by Orally Delivered Gut Gene-Specific dsRNAs","type":"article-journal","volume":"12"},"uris":["http://www.mendeley.com/documents/?uuid=e564e0c2-ea5a-30fe-a0ef-0475a7a107fd"]},{"id":"ITEM-2","itemData":{"DOI":"10.1002/ps.4056","ISSN":"1526498X","author":[{"dropping-particle":"","family":"San Miguel","given":"Keri","non-dropping-particle":"","parse-names":false,"suffix":""},{"dropping-particle":"","family":"Scott","given":"Jeffrey G","non-dropping-particle":"","parse-names":false,"suffix":""}],"container-title":"Pest Management Science","id":"ITEM-2","issue":"February","issued":{"date-parts":[["2015"]]},"page":"n/a-n/a","title":"The next generation of insecticides: dsRNA is stable as a foliar-applied insecticide","type":"article-journal"},"uris":["http://www.mendeley.com/documents/?uuid=0e666d3c-1776-452f-ae6b-c802a97ac443"]},{"id":"ITEM-3","itemData":{"DOI":"10.1186/1472-6750-5-25","ISSN":"14726750","abstract":"Grasshopper serves as important model system in neuroscience, development and evolution. Representatives of this primitive insect group are also highly relevant targets of pest control efforts. Unfortunately, the lack of genetics or gene specific molecular manipulation imposes major limitations to the study of grasshopper biology. We investigated whether juvenile instars of the grasshopper species Schistocerca americana are conducive to gene silencing via the systemic RNAi pathway. Injection of dsRNA corresponding to the eye colour gene vermilion into first instar nymphs triggered suppression of ommochrome formation in the eye lasting through two instars equivalent to 10–14 days in absolute time. QRT-PCR analysis revealed a two fold decrease of target transcript levels in affected animals. Control injections of EGFP dsRNA did not result in detectable phenotypic changes. RT-PCR and in situ hybridization detected ubiquitous expression of the grasshopper homolog of the dsRNA channel protein gene sid-1 in embryos, nymphs and adults. Our results demonstrate that systemic dsRNA application elicits specific and long-term gene silencing in juvenile grasshopper instars. The conservation of systemic RNAi in the grasshopper suggests that this pathway can be exploited for gene specific manipulation of juvenile and adult instars in a wide range of primitive insects.","author":[{"dropping-particle":"","family":"Dong","given":"Ying","non-dropping-particle":"","parse-names":false,"suffix":""},{"dropping-particle":"","family":"Friedrich","given":"Markus","non-dropping-particle":"","parse-names":false,"suffix":""}],"container-title":"BMC Biotechnology","id":"ITEM-3","issue":"1","issued":{"date-parts":[["2005","10","3"]]},"page":"25","publisher":"BioMed Central","title":"Nymphal RNAi: systemic RNAi mediated gene knockdown in juvenile grasshopper","type":"article-journal","volume":"5"},"uris":["http://www.mendeley.com/documents/?uuid=6efe607a-988e-339a-9053-e5f48f75abbe"]},{"id":"ITEM-4","itemData":{"DOI":"10.1111/j.1744-7917.2012.01550.x","ISSN":"16729609","PMID":"23955823","abstract":"RNA interference (RNAi) suppresses the expression of target genes by post-transcriptional regulation. Because double-stranded RNA (dsRNA) mediated gene silencing is a conserved mechanism in many eukaryotes, RNAi has become a valuable tool for unveiling gene function in many model insects. Recent research has also shown that RNAi can also be effective in the downregulation of target genes in Hemiptera. In this review, we discuss the use of the RNAi technique in gene functional analysis in hemipterans, highlighting the methods of dsRNA uptake by these insects and discuss the knock-down efficiency of these techniques. Although the RNAi technique has disadvantages, our primary goal here is to determine whether it can be exploited further in the discovery of new gene functions, and as a pest control strategy, in some important Hemipteran pests.","author":[{"dropping-particle":"","family":"Li","given":"Jie","non-dropping-particle":"","parse-names":false,"suffix":""},{"dropping-particle":"","family":"Wang","given":"Xiao-Ping","non-dropping-particle":"","parse-names":false,"suffix":""},{"dropping-particle":"","family":"Wang","given":"Man-Qun","non-dropping-particle":"","parse-names":false,"suffix":""},{"dropping-particle":"","family":"Ma","given":"Wei-Hua","non-dropping-particle":"","parse-names":false,"suffix":""},{"dropping-particle":"","family":"Hua","given":"Hong-Xia","non-dropping-particle":"","parse-names":false,"suffix":""}],"container-title":"Insect Science","id":"ITEM-4","issue":"1","issued":{"date-parts":[["2013","2"]]},"page":"31-39","title":"Advances in the use of the RNA interference technique in Hemiptera","type":"article-journal","volume":"20"},"uris":["http://www.mendeley.com/documents/?uuid=695a6888-b5ee-38c7-9ce8-c11ef13315df"]},{"id":"ITEM-5","itemData":{"DOI":"10.1038/s41598-018-22035-z","ISSN":"2045-2322","abstract":"The brown marmorated stink bug (BMSB) is native to Asia and recently invaded the USA. RNA interference (RNAi) is a gene silencing mechanism in which the introduction of double-stranded RNA (dsRNA) inhibits gene function by degrading target mRNA. In dsRNA stability assays, the dsRNases present in the hemolymph and salivary gland secretions of BMSB showed lower activity than those in the hemolymph of Heliothis virescens. We evaluated six housekeeping genes (18S rRNA, EF1-α, Actin, Ubiquitin, 60S RP and β-Tubulin) across dsRNA treatments (injection and feeding) in nymphs and adults of BMSB and identified 18S rRNA and 60S RP as the best genes to use as a reference in reverse-transcriptase quantitative PCR (RT-qPCR). Homologs of 13 genes that were shown to function as effective RNAi targets in other insects were identified and evaluated by injecting dsRNA targeting these homologs into BMSB adults. Five out of 13 dsRNAs tested caused more than 70% mortality by seven days after injection of dsRNA. Feeding dsRNA targeting five of these genes (IAP, ATPase, SNF7, GPCR, and PPI) to nymphs caused more than 70% mortality by three of the five dsRNAs tested. These data suggest that feeding dsRNA causes target gene knockdown and mortality in BMSB.","author":[{"dropping-particle":"","family":"Mogilicherla","given":"Kanakachari","non-dropping-particle":"","parse-names":false,"suffix":""},{"dropping-particle":"","family":"Howell","given":"Jeffrey L.","non-dropping-particle":"","parse-names":false,"suffix":""},{"dropping-particle":"","family":"Palli","given":"Subba Reddy","non-dropping-particle":"","parse-names":false,"suffix":""}],"container-title":"Scientific Reports","id":"ITEM-5","issue":"1","issued":{"date-parts":[["2018","12","27"]]},"page":"3720","publisher":"Nature Publishing Group","title":"Improving RNAi in the Brown Marmorated Stink Bug: Identification of target genes and reference genes for RT-qPCR","type":"article-journal","volume":"8"},"uris":["http://www.mendeley.com/documents/?uuid=af3a352a-9c22-3a20-ac7e-efdb8aad926f"]},{"id":"ITEM-6","itemData":{"DOI":"10.3389/fphys.2018.00316","ISSN":"1664-042X","abstract":"Lepidoptera comprise some of the most devastating herbivorous pest insects worldwide. One of the most promising novel pest control strategies is exploiting the RNA interference (RNAi) mechanism to target essential genes for knockdown and incite toxic effects in the target species without harming other organisms in the ecosystem. However, many insects are refractory to oral RNAi, often due to rapid degradation of ingested dsRNA in their digestive system. This is the case for many lepidopteran insects, including the beet armyworm Spodoptera exigua, which is characterized by a very alkaline gut environment (pH&gt;9.0) and a strong intestinal nucleolytic activity. In this research, guanidine-containing polymers were developed to protect dsRNA against nucleolytic degradation, specifically in high pH environments. First, their ability to protect dsRNA against nucleolytic degradation in gut juice of the beet armyworm S. exigua was investigated ex vivo. Polymers with high guanidine content provided a strong protection against nucleolytic degradation at pH 11, protecting the dsRNA for up to 30 hours. Next, cellular uptake of the dsRNA and the polyplexes in lepidopteran CF203 midgut cells was investigated by confocal microscopy, showing that the polymer also enhanced cellular uptake of the dsRNA. Finally, in vivo feeding RNAi bioassays demonstrated that using these guanidine-containing polymer nanoparticles led to an increased RNAi efficiency in S. exigua. Targeting the essential gene chitin synthase B, we observed that the mortality increased to 53% in the polymer-protected dsRNA treatment compared to only 16% with the naked dsRNA and found that polymer-protected dsRNA completely halted the development of the caterpillars. These results show that using guanylated polymers as a formulation strategy can prevent degradation of dsRNA in the alkaline and strongly nucleolytic gut of lepidopteran insects. Furthermore, the polymer also enhances cellular uptake in lepidopteran midgut cells. This new delivery strategy could be of great use in further fundamental research in lepidopterans, using RNAi as a research tool, and could lead to future applications for RNAi-based pest control of lepidopteran insects.","author":[{"dropping-particle":"","family":"Christiaens","given":"Olivier","non-dropping-particle":"","parse-names":false,"suffix":""},{"dropping-particle":"","family":"Tardajos","given":"Myriam G.","non-dropping-particle":"","parse-names":false,"suffix":""},{"dropping-particle":"","family":"Martinez Reyna","given":"Zarel L.","non-dropping-particle":"","parse-names":false,"suffix":""},{"dropping-particle":"","family":"Dash","given":"Mamoni","non-dropping-particle":"","parse-names":false,"suffix":""},{"dropping-particle":"","family":"Dubruel","given":"Peter","non-dropping-particle":"","parse-names":false,"suffix":""},{"dropping-particle":"","family":"Smagghe","given":"Guy","non-dropping-particle":"","parse-names":false,"suffix":""}],"container-title":"Frontiers in Physiology","id":"ITEM-6","issued":{"date-parts":[["2018","4","4"]]},"page":"316","publisher":"Frontiers","title":"Increased RNAi Efficacy in Spodoptera exigua via the Formulation of dsRNA With Guanylated Polymers","type":"article-journal","volume":"9"},"uris":["http://www.mendeley.com/documents/?uuid=37642df9-42ee-3ce4-99c9-68469d0507a7"]}],"mendeley":{"formattedCitation":"(Dong and Friedrich, 2005; Li &lt;i&gt;et al.&lt;/i&gt;, 2013; San Miguel and Scott, 2015; Vyas &lt;i&gt;et al.&lt;/i&gt;, 2017; Christiaens &lt;i&gt;et al.&lt;/i&gt;, 2018; Mogilicherla, Howell and Palli, 2018)","plainTextFormattedCitation":"(Dong and Friedrich, 2005; Li et al., 2013; San Miguel and Scott, 2015; Vyas et al., 2017; Christiaens et al., 2018; Mogilicherla, Howell and Palli, 2018)","previouslyFormattedCitation":"(Dong and Friedrich, 2005; Li &lt;i&gt;et al.&lt;/i&gt;, 2013; San Miguel and Scott, 2015; Vyas &lt;i&gt;et al.&lt;/i&gt;, 2017; Christiaens &lt;i&gt;et al.&lt;/i&gt;, 2018; Mogilicherla, Howell and Palli, 2018)"},"properties":{"noteIndex":0},"schema":"https://github.com/citation-style-language/schema/raw/master/csl-citation.json"}</w:instrText>
      </w:r>
      <w:r w:rsidR="005C0E76">
        <w:fldChar w:fldCharType="separate"/>
      </w:r>
      <w:r w:rsidR="00997A5D" w:rsidRPr="00997A5D">
        <w:rPr>
          <w:noProof/>
        </w:rPr>
        <w:t xml:space="preserve">(Dong and Friedrich, 2005; Li </w:t>
      </w:r>
      <w:r w:rsidR="00997A5D" w:rsidRPr="00997A5D">
        <w:rPr>
          <w:i/>
          <w:noProof/>
        </w:rPr>
        <w:t>et al.</w:t>
      </w:r>
      <w:r w:rsidR="00997A5D" w:rsidRPr="00997A5D">
        <w:rPr>
          <w:noProof/>
        </w:rPr>
        <w:t xml:space="preserve">, 2013; San Miguel and Scott, 2015; Vyas </w:t>
      </w:r>
      <w:r w:rsidR="00997A5D" w:rsidRPr="00997A5D">
        <w:rPr>
          <w:i/>
          <w:noProof/>
        </w:rPr>
        <w:t>et al.</w:t>
      </w:r>
      <w:r w:rsidR="00997A5D" w:rsidRPr="00997A5D">
        <w:rPr>
          <w:noProof/>
        </w:rPr>
        <w:t xml:space="preserve">, 2017; Christiaens </w:t>
      </w:r>
      <w:r w:rsidR="00997A5D" w:rsidRPr="00997A5D">
        <w:rPr>
          <w:i/>
          <w:noProof/>
        </w:rPr>
        <w:t>et al.</w:t>
      </w:r>
      <w:r w:rsidR="00997A5D" w:rsidRPr="00997A5D">
        <w:rPr>
          <w:noProof/>
        </w:rPr>
        <w:t>, 2018; Mogilicherla, Howell and Palli, 2018)</w:t>
      </w:r>
      <w:r w:rsidR="005C0E76">
        <w:fldChar w:fldCharType="end"/>
      </w:r>
      <w:r>
        <w:t>.</w:t>
      </w:r>
      <w:r w:rsidR="004D4132">
        <w:t xml:space="preserve"> In many species the technology has been demonstrated to be highly effective, inducing poor health and mortality of target insects fast enough to significantly protect crop plants from being defoliated </w:t>
      </w:r>
      <w:r w:rsidR="004D4132" w:rsidRPr="00595094">
        <w:t xml:space="preserve">(see figure </w:t>
      </w:r>
      <w:r w:rsidR="005F26E3" w:rsidRPr="00595094">
        <w:t>1.1</w:t>
      </w:r>
      <w:r w:rsidR="004D4132" w:rsidRPr="00595094">
        <w:t>).</w:t>
      </w:r>
    </w:p>
    <w:p w:rsidR="00D6722B" w:rsidRDefault="00D6722B" w:rsidP="000441D9">
      <w:pPr>
        <w:spacing w:line="360" w:lineRule="auto"/>
        <w:ind w:firstLine="284"/>
        <w:rPr>
          <w:color w:val="0070C0"/>
        </w:rPr>
      </w:pPr>
    </w:p>
    <w:p w:rsidR="005F26E3" w:rsidRDefault="005F26E3" w:rsidP="005F26E3">
      <w:pPr>
        <w:keepNext/>
        <w:spacing w:line="360" w:lineRule="auto"/>
        <w:jc w:val="center"/>
      </w:pPr>
      <w:bookmarkStart w:id="7" w:name="CPBplants"/>
      <w:r w:rsidRPr="005F26E3">
        <w:rPr>
          <w:noProof/>
          <w:color w:val="0070C0"/>
          <w:lang w:eastAsia="en-GB"/>
        </w:rPr>
        <w:drawing>
          <wp:inline distT="0" distB="0" distL="0" distR="0">
            <wp:extent cx="5731510" cy="2579180"/>
            <wp:effectExtent l="19050" t="0" r="2540" b="0"/>
            <wp:docPr id="1" name="Picture 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15" cstate="print"/>
                    <a:srcRect/>
                    <a:stretch>
                      <a:fillRect/>
                    </a:stretch>
                  </pic:blipFill>
                  <pic:spPr bwMode="auto">
                    <a:xfrm>
                      <a:off x="0" y="0"/>
                      <a:ext cx="5731510" cy="2579180"/>
                    </a:xfrm>
                    <a:prstGeom prst="rect">
                      <a:avLst/>
                    </a:prstGeom>
                    <a:noFill/>
                    <a:ln w="9525" cap="flat">
                      <a:noFill/>
                      <a:round/>
                      <a:headEnd/>
                      <a:tailEnd/>
                    </a:ln>
                    <a:effectLst/>
                  </pic:spPr>
                </pic:pic>
              </a:graphicData>
            </a:graphic>
          </wp:inline>
        </w:drawing>
      </w:r>
      <w:bookmarkEnd w:id="7"/>
    </w:p>
    <w:p w:rsidR="00717CC7" w:rsidRDefault="005F26E3" w:rsidP="00717CC7">
      <w:pPr>
        <w:pStyle w:val="Caption"/>
        <w:spacing w:after="120"/>
        <w:rPr>
          <w:color w:val="auto"/>
        </w:rPr>
      </w:pPr>
      <w:bookmarkStart w:id="8" w:name="_Toc20411626"/>
      <w:r w:rsidRPr="005F26E3">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1</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w:t>
      </w:r>
      <w:r w:rsidR="005C0E76">
        <w:rPr>
          <w:color w:val="auto"/>
        </w:rPr>
        <w:fldChar w:fldCharType="end"/>
      </w:r>
      <w:r w:rsidRPr="005F26E3">
        <w:rPr>
          <w:color w:val="auto"/>
        </w:rPr>
        <w:t xml:space="preserve"> An example of protection of potato plants from insect pests (Colorado potato beetle) using a dsRNA based biocontrol.</w:t>
      </w:r>
      <w:bookmarkEnd w:id="8"/>
      <w:r w:rsidRPr="005F26E3">
        <w:rPr>
          <w:color w:val="auto"/>
        </w:rPr>
        <w:t xml:space="preserve"> </w:t>
      </w:r>
    </w:p>
    <w:p w:rsidR="005F26E3" w:rsidRPr="005F26E3" w:rsidRDefault="005F26E3" w:rsidP="00717CC7">
      <w:pPr>
        <w:pStyle w:val="Caption"/>
        <w:spacing w:after="120"/>
        <w:rPr>
          <w:b w:val="0"/>
          <w:color w:val="auto"/>
        </w:rPr>
      </w:pPr>
      <w:r w:rsidRPr="005F26E3">
        <w:rPr>
          <w:b w:val="0"/>
          <w:color w:val="auto"/>
        </w:rPr>
        <w:t>The consumption of plant foliage is drastically reduced on plants treated with CPB actin‐dsRNA compared with the EGFP-dsRNA and water controls. After the treatments had dried, five, two and two second‐instar CPB larvae per plant were added to plants treated with actin‐dsRNA, EGFP and water respectively. Seven days later, all larvae were removed and the same numbers of new second instars were added per plant. Seven days later, ten, four and four second‐instar larvae were added. The plants treated with CPB actin‐dsRNA had minimal damage and continued to grow, while the controls were almost completely defoliated.</w:t>
      </w:r>
      <w:r>
        <w:rPr>
          <w:b w:val="0"/>
          <w:color w:val="auto"/>
        </w:rPr>
        <w:t xml:space="preserve"> </w:t>
      </w:r>
      <w:r w:rsidRPr="005F26E3">
        <w:rPr>
          <w:b w:val="0"/>
          <w:color w:val="auto"/>
        </w:rPr>
        <w:t xml:space="preserve">Reproduced with permission from Miguel and Scott (2015). </w:t>
      </w:r>
    </w:p>
    <w:p w:rsidR="00D6722B" w:rsidRDefault="00D6722B" w:rsidP="000441D9">
      <w:pPr>
        <w:spacing w:line="360" w:lineRule="auto"/>
        <w:ind w:firstLine="284"/>
      </w:pPr>
    </w:p>
    <w:p w:rsidR="005F7575" w:rsidRDefault="002C5888" w:rsidP="000441D9">
      <w:pPr>
        <w:spacing w:line="360" w:lineRule="auto"/>
        <w:ind w:firstLine="284"/>
      </w:pPr>
      <w:r>
        <w:t>Thus far in the</w:t>
      </w:r>
      <w:r w:rsidR="005F7575">
        <w:t xml:space="preserve"> research </w:t>
      </w:r>
      <w:r w:rsidR="00C44B4D">
        <w:t>of RNA based biocontrols</w:t>
      </w:r>
      <w:r>
        <w:t xml:space="preserve"> as a pest control method, the active molecules used have been long </w:t>
      </w:r>
      <w:r w:rsidR="00AA56C9">
        <w:t>dsRNA</w:t>
      </w:r>
      <w:r>
        <w:t xml:space="preserve"> molecules of a few hundred base pairs, wi</w:t>
      </w:r>
      <w:r w:rsidR="005F7575">
        <w:t>th entirely natural nucleotides.</w:t>
      </w:r>
      <w:r>
        <w:t xml:space="preserve"> In contrast, therapeutic short interfering RNAs (siRNAs) and DNA antisense oligonucleotides are ineffective in whole organism mammalian systems unless they contain a large </w:t>
      </w:r>
      <w:r>
        <w:lastRenderedPageBreak/>
        <w:t>number of chemically modified nucleotides which prevent their degradation in the bloodstream by extracellular nucleases</w:t>
      </w:r>
      <w:r w:rsidR="00AA56C9">
        <w:t xml:space="preserve"> </w:t>
      </w:r>
      <w:r w:rsidR="005C0E76">
        <w:fldChar w:fldCharType="begin" w:fldLock="1"/>
      </w:r>
      <w:r w:rsidR="009F634A">
        <w:instrText>ADDIN CSL_CITATION {"citationItems":[{"id":"ITEM-1","itemData":{"DOI":"10.1038/nature03121","ISSN":"0028-0836","PMID":"15538359","abstract":"RNA interference (RNAi) holds considerable promise as a therapeutic approach to silence disease-causing genes, particularly those that encode so-called 'non-druggable' targets that are not amenable to conventional therapeutics such as small molecules, proteins, or monoclonal antibodies. The main obstacle to achieving in vivo gene silencing by RNAi technologies is delivery. Here we show that chemically modified short interfering RNAs (siRNAs) can silence an endogenous gene encoding apolipoprotein B (apoB) after intravenous injection in mice. Administration of chemically modified siRNAs resulted in silencing of the apoB messenger RNA in liver and jejunum, decreased plasma levels of apoB protein, and reduced total cholesterol. We also show that these siRNAs can silence human apoB in a transgenic mouse model. In our in vivo study, the mechanism of action for the siRNAs was proven to occur through RNAi-mediated mRNA degradation, and we determined that cleavage of the apoB mRNA occurred specifically at the predicted site. These findings demonstrate the therapeutic potential of siRNAs for the treatment of disease.","author":[{"dropping-particle":"","family":"Soutschek","given":"Jürgen","non-dropping-particle":"","parse-names":false,"suffix":""},{"dropping-particle":"","family":"Akinc","given":"Akin","non-dropping-particle":"","parse-names":false,"suffix":""},{"dropping-particle":"","family":"Bramlage","given":"Birgit","non-dropping-particle":"","parse-names":false,"suffix":""},{"dropping-particle":"","family":"Charisse","given":"Klaus","non-dropping-particle":"","parse-names":false,"suffix":""},{"dropping-particle":"","family":"Constien","given":"Rainer","non-dropping-particle":"","parse-names":false,"suffix":""},{"dropping-particle":"","family":"Donoghue","given":"Mary","non-dropping-particle":"","parse-names":false,"suffix":""},{"dropping-particle":"","family":"Elbashir","given":"Sayda","non-dropping-particle":"","parse-names":false,"suffix":""},{"dropping-particle":"","family":"Geick","given":"Anke","non-dropping-particle":"","parse-names":false,"suffix":""},{"dropping-particle":"","family":"Hadwiger","given":"Philipp","non-dropping-particle":"","parse-names":false,"suffix":""},{"dropping-particle":"","family":"Harborth","given":"Jens","non-dropping-particle":"","parse-names":false,"suffix":""},{"dropping-particle":"","family":"John","given":"Matthias","non-dropping-particle":"","parse-names":false,"suffix":""},{"dropping-particle":"","family":"Kesavan","given":"Venkitasamy","non-dropping-particle":"","parse-names":false,"suffix":""},{"dropping-particle":"","family":"Lavine","given":"Gary","non-dropping-particle":"","parse-names":false,"suffix":""},{"dropping-particle":"","family":"Pandey","given":"Rajendra K.","non-dropping-particle":"","parse-names":false,"suffix":""},{"dropping-particle":"","family":"Racie","given":"Timothy","non-dropping-particle":"","parse-names":false,"suffix":""},{"dropping-particle":"","family":"Rajeev","given":"Kallanthottathil G.","non-dropping-particle":"","parse-names":false,"suffix":""},{"dropping-particle":"","family":"Röhl","given":"Ingo","non-dropping-particle":"","parse-names":false,"suffix":""},{"dropping-particle":"","family":"Toudjarska","given":"Ivanka","non-dropping-particle":"","parse-names":false,"suffix":""},{"dropping-particle":"","family":"Wang","given":"Gang","non-dropping-particle":"","parse-names":false,"suffix":""},{"dropping-particle":"","family":"Wuschko","given":"Silvio","non-dropping-particle":"","parse-names":false,"suffix":""},{"dropping-particle":"","family":"Bumcrot","given":"David","non-dropping-particle":"","parse-names":false,"suffix":""},{"dropping-particle":"","family":"Koteliansky","given":"Victor","non-dropping-particle":"","parse-names":false,"suffix":""},{"dropping-particle":"","family":"Limmer","given":"Stefan","non-dropping-particle":"","parse-names":false,"suffix":""},{"dropping-particle":"","family":"Manoharan","given":"Muthiah","non-dropping-particle":"","parse-names":false,"suffix":""},{"dropping-particle":"","family":"Vornlocher","given":"Hans-Peter","non-dropping-particle":"","parse-names":false,"suffix":""}],"container-title":"Nature","id":"ITEM-1","issue":"7014","issued":{"date-parts":[["2004","11","11"]]},"page":"173-178","title":"Therapeutic silencing of an endogenous gene by systemic administration of modified siRNAs","type":"article-journal","volume":"432"},"uris":["http://www.mendeley.com/documents/?uuid=571d8cd2-ac0a-3c69-a26c-6fccc5111958"]}],"mendeley":{"formattedCitation":"(Soutschek &lt;i&gt;et al.&lt;/i&gt;, 2004)","plainTextFormattedCitation":"(Soutschek et al., 2004)","previouslyFormattedCitation":"(Soutschek &lt;i&gt;et al.&lt;/i&gt;, 2004)"},"properties":{"noteIndex":0},"schema":"https://github.com/citation-style-language/schema/raw/master/csl-citation.json"}</w:instrText>
      </w:r>
      <w:r w:rsidR="005C0E76">
        <w:fldChar w:fldCharType="separate"/>
      </w:r>
      <w:r w:rsidR="00AA56C9" w:rsidRPr="00AA56C9">
        <w:rPr>
          <w:noProof/>
        </w:rPr>
        <w:t xml:space="preserve">(Soutschek </w:t>
      </w:r>
      <w:r w:rsidR="00AA56C9" w:rsidRPr="00AA56C9">
        <w:rPr>
          <w:i/>
          <w:noProof/>
        </w:rPr>
        <w:t>et al.</w:t>
      </w:r>
      <w:r w:rsidR="00AA56C9" w:rsidRPr="00AA56C9">
        <w:rPr>
          <w:noProof/>
        </w:rPr>
        <w:t>, 2004)</w:t>
      </w:r>
      <w:r w:rsidR="005C0E76">
        <w:fldChar w:fldCharType="end"/>
      </w:r>
      <w:r w:rsidR="00C44B4D">
        <w:t xml:space="preserve">, as well as improving delivery and transport of the siRNA </w:t>
      </w:r>
      <w:r w:rsidR="005C0E76">
        <w:fldChar w:fldCharType="begin" w:fldLock="1"/>
      </w:r>
      <w:r w:rsidR="00877390">
        <w:instrText>ADDIN CSL_CITATION {"citationItems":[{"id":"ITEM-1","itemData":{"DOI":"10.1093/nar/gkx1239","ISSN":"0305-1048","author":[{"dropping-particle":"","family":"Shen","given":"Xiulong","non-dropping-particle":"","parse-names":false,"suffix":""},{"dropping-particle":"","family":"Corey","given":"David R","non-dropping-particle":"","parse-names":false,"suffix":""}],"container-title":"Nucleic Acids Research","id":"ITEM-1","issue":"4","issued":{"date-parts":[["2018","2","28"]]},"page":"1584-1600","publisher":"Narnia","title":"Chemistry, mechanism and clinical status of antisense oligonucleotides and duplex RNAs","type":"article-journal","volume":"46"},"uris":["http://www.mendeley.com/documents/?uuid=005e68f5-ed4a-3ec6-bc6b-31aa77bbeb2d"]}],"mendeley":{"formattedCitation":"(Shen and Corey, 2018a)","plainTextFormattedCitation":"(Shen and Corey, 2018a)","previouslyFormattedCitation":"(Shen and Corey, 2018a)"},"properties":{"noteIndex":0},"schema":"https://github.com/citation-style-language/schema/raw/master/csl-citation.json"}</w:instrText>
      </w:r>
      <w:r w:rsidR="005C0E76">
        <w:fldChar w:fldCharType="separate"/>
      </w:r>
      <w:r w:rsidR="00C44B4D" w:rsidRPr="00C44B4D">
        <w:rPr>
          <w:noProof/>
        </w:rPr>
        <w:t>(Shen and Corey, 2018a)</w:t>
      </w:r>
      <w:r w:rsidR="005C0E76">
        <w:fldChar w:fldCharType="end"/>
      </w:r>
      <w:r w:rsidR="00AA56C9">
        <w:t xml:space="preserve">. </w:t>
      </w:r>
      <w:r w:rsidR="005F7575">
        <w:t xml:space="preserve">Long dsRNAs are naturally </w:t>
      </w:r>
      <w:r w:rsidR="00C44B4D">
        <w:t>uptaken by</w:t>
      </w:r>
      <w:r w:rsidR="005F7575">
        <w:t xml:space="preserve"> </w:t>
      </w:r>
      <w:r w:rsidR="00C44B4D">
        <w:t xml:space="preserve">many species of </w:t>
      </w:r>
      <w:r w:rsidR="005F7575">
        <w:t>insect</w:t>
      </w:r>
      <w:r w:rsidR="00C44B4D">
        <w:t>s and insect cell</w:t>
      </w:r>
      <w:r w:rsidR="005F7575">
        <w:t>s</w:t>
      </w:r>
      <w:r w:rsidR="00C44B4D">
        <w:t>, via</w:t>
      </w:r>
      <w:r w:rsidR="005F7575">
        <w:t xml:space="preserve"> </w:t>
      </w:r>
      <w:r w:rsidR="00EE4B62">
        <w:t xml:space="preserve">standard cellular uptake </w:t>
      </w:r>
      <w:r w:rsidR="00EE4B62" w:rsidRPr="00595094">
        <w:t>mechanisms</w:t>
      </w:r>
      <w:r w:rsidR="005137B1" w:rsidRPr="00595094">
        <w:t xml:space="preserve"> (see section</w:t>
      </w:r>
      <w:r w:rsidR="00595094" w:rsidRPr="00595094">
        <w:t xml:space="preserve"> 1.3.2</w:t>
      </w:r>
      <w:r w:rsidR="005137B1" w:rsidRPr="00595094">
        <w:t>) and readily used by the insects’ RNAi machinery, whereas long non-viral dsRNA results in cytotoxicity</w:t>
      </w:r>
      <w:r w:rsidR="005137B1">
        <w:t xml:space="preserve"> when applied to mammalian cells </w:t>
      </w:r>
      <w:r w:rsidR="005C0E76">
        <w:fldChar w:fldCharType="begin" w:fldLock="1"/>
      </w:r>
      <w:r w:rsidR="00273C87">
        <w:instrText>ADDIN CSL_CITATION {"citationItems":[{"id":"ITEM-1","itemData":{"ISSN":"0022-538X","PMID":"4795868","abstract":"Noninfectious bovine enterovirus double-stranded RNA induces cytopathic effects when added to mammalian cells in culture. This is demonstrated by (51)Cr release from prelabeled murine lymphoma cells and trypan blue uptake. Also, the induction of cell death by this viral RNA occurs in the presence of inhibitors of protein synthesis (cycloheximide and puromycin). The possible role and mechanism of viral, double-stranded RNA as a cytopathic agent in virally infected cells are discussed.","author":[{"dropping-particle":"","family":"Cordell-Stewart","given":"B","non-dropping-particle":"","parse-names":false,"suffix":""},{"dropping-particle":"","family":"Taylor","given":"M W","non-dropping-particle":"","parse-names":false,"suffix":""}],"container-title":"Journal of virology","id":"ITEM-1","issue":"2","issued":{"date-parts":[["1973","8"]]},"page":"360-6","publisher":"American Society for Microbiology (ASM)","title":"Effect of viral double-stranded RNA on mammalian cells in culture: cytotoxicity under conditions preventing viral replication and protein synthesis.","type":"article-journal","volume":"12"},"uris":["http://www.mendeley.com/documents/?uuid=a677bda3-5bb3-3f0c-b750-2ed880195681"]},{"id":"ITEM-2","itemData":{"DOI":"10.1016/j.cytogfr.2007.06.016","ISSN":"1359-6101","PMID":"17698400","abstract":"Double-stranded RNA (dsRNA) has long been recognized as a central component of the interferon (IFN) system. It was originally characterized as a key mediator of IFN induction in response to virus infection. Subsequently, it was identified as a prime activator of the antiviral response. In recent years the discovery of the RNA interference (RNAi) pathway in mammals has renewed interest in dsRNA-mediated cellular responses. This has coincided with the identification of key components of the IFN induction pathway. Here, we present an overview of the current knowledge of dsRNA-mediated pathways in mammalian cells and introduce a link between these pathways and application of RNAi.","author":[{"dropping-particle":"","family":"Gantier","given":"Michael P","non-dropping-particle":"","parse-names":false,"suffix":""},{"dropping-particle":"","family":"Williams","given":"Bryan R G","non-dropping-particle":"","parse-names":false,"suffix":""}],"container-title":"Cytokine &amp; growth factor reviews","id":"ITEM-2","issue":"5-6","issued":{"date-parts":[["2007"]]},"page":"363-71","publisher":"NIH Public Access","title":"The response of mammalian cells to double-stranded RNA.","type":"article-journal","volume":"18"},"uris":["http://www.mendeley.com/documents/?uuid=8ce6d4ed-09f3-374e-a2c9-4331c166387c"]}],"mendeley":{"formattedCitation":"(Cordell-Stewart and Taylor, 1973; Gantier and Williams, 2007)","plainTextFormattedCitation":"(Cordell-Stewart and Taylor, 1973; Gantier and Williams, 2007)","previouslyFormattedCitation":"(Cordell-Stewart and Taylor, 1973; Gantier and Williams, 2007)"},"properties":{"noteIndex":0},"schema":"https://github.com/citation-style-language/schema/raw/master/csl-citation.json"}</w:instrText>
      </w:r>
      <w:r w:rsidR="005C0E76">
        <w:fldChar w:fldCharType="separate"/>
      </w:r>
      <w:r w:rsidR="00273C87" w:rsidRPr="00273C87">
        <w:rPr>
          <w:noProof/>
        </w:rPr>
        <w:t>(Cordell-Stewart and Taylor, 1973; Gantier and Williams, 2007)</w:t>
      </w:r>
      <w:r w:rsidR="005C0E76">
        <w:fldChar w:fldCharType="end"/>
      </w:r>
      <w:r w:rsidR="00273C87">
        <w:t xml:space="preserve">. Conversely, siRNAs are effective in both insect and mammalian cells, but require a transfection reagent to enter </w:t>
      </w:r>
      <w:r w:rsidR="00CC0295">
        <w:t xml:space="preserve">insect </w:t>
      </w:r>
      <w:r w:rsidR="00273C87">
        <w:t xml:space="preserve">cells, which negates the advantage of spontaneous uptake of naked dsRNA by insect cells </w:t>
      </w:r>
      <w:r w:rsidR="005C0E76">
        <w:fldChar w:fldCharType="begin" w:fldLock="1"/>
      </w:r>
      <w:r w:rsidR="007B0D02">
        <w:instrText>ADDIN CSL_CITATION {"citationItems":[{"id":"ITEM-1","itemData":{"DOI":"10.1016/J.IBMB.2015.03.009","ISSN":"0965-1748","abstract":"RNA interference (RNAi) is a highly conserved gene regulatory mechanism in eukaryotic organisms; however, an understanding of mechanisms of cellular uptake of double-stranded RNA (dsRNA) in different organisms remains elusive. By using pharmacological inhibitors of different endocytic pathways in conjunction with RNAi of a marker gene (lethal giant larvae, TcLgl) in the red flour beetle (Tribolium castaneum), we demonstrated that two inhibitors (chlorpromazine and bafilomycin-A1) of clathrin-dependent endocytosis can nearly abolish or significantly diminish RNAi of TcLgl, whereas methyl-β-cyclodextrin and cytochalasin-D, known to inhibit other endocytic pathways, showed no effect on RNAi of TcLgl. By using Cy3-labeled TcLgl dsRNA, we observed significantly reduced cellular uptake of TcLgl dsRNA in midgut cells after larvae were injected with each of the two clathrin-dependent endocytosis inhibitors. By using an “RNAi of RNAi” strategy, we further demonstrated that suppression of each transcript of the four key genes encoding clathrin heavy chain (TcChc), clathrin coat assembly protein AP50 (TcAP50), vacuolar (H+)-ATPase subunit H (TcVhaSFD) and a ras-related protein (TcRab7) in clathrin-dependent endocytosis by RNAi can significantly impair RNAi of TcLgl. These results support our conclusion that clathrin-dependent endocytosis is a major mechanism in cellular uptake of dsRNA in T. castaneum. Our study also provides new insights into improving RNAi efficiency by enhancing dsRNA endosomal release.","author":[{"dropping-particle":"","family":"Xiao","given":"Da","non-dropping-particle":"","parse-names":false,"suffix":""},{"dropping-particle":"","family":"Gao","given":"Xiwu","non-dropping-particle":"","parse-names":false,"suffix":""},{"dropping-particle":"","family":"Xu","given":"Jiaping","non-dropping-particle":"","parse-names":false,"suffix":""},{"dropping-particle":"","family":"Liang","given":"Xiao","non-dropping-particle":"","parse-names":false,"suffix":""},{"dropping-particle":"","family":"Li","given":"Qingqing","non-dropping-particle":"","parse-names":false,"suffix":""},{"dropping-particle":"","family":"Yao","given":"Jianxiu","non-dropping-particle":"","parse-names":false,"suffix":""},{"dropping-particle":"","family":"Zhu","given":"Kun Yan","non-dropping-particle":"","parse-names":false,"suffix":""}],"container-title":"Insect Biochemistry and Molecular Biology","id":"ITEM-1","issued":{"date-parts":[["2015","5","1"]]},"page":"68-77","publisher":"Pergamon","title":"Clathrin-dependent endocytosis plays a predominant role in cellular uptake of double-stranded RNA in the red flour beetle","type":"article-journal","volume":"60"},"uris":["http://www.mendeley.com/documents/?uuid=0601246f-e811-3912-957e-28ebec56a150"]}],"mendeley":{"formattedCitation":"(Xiao &lt;i&gt;et al.&lt;/i&gt;, 2015)","plainTextFormattedCitation":"(Xiao et al., 2015)","previouslyFormattedCitation":"(Xiao &lt;i&gt;et al.&lt;/i&gt;, 2015)"},"properties":{"noteIndex":0},"schema":"https://github.com/citation-style-language/schema/raw/master/csl-citation.json"}</w:instrText>
      </w:r>
      <w:r w:rsidR="005C0E76">
        <w:fldChar w:fldCharType="separate"/>
      </w:r>
      <w:r w:rsidR="00273C87" w:rsidRPr="00273C87">
        <w:rPr>
          <w:noProof/>
        </w:rPr>
        <w:t xml:space="preserve">(Xiao </w:t>
      </w:r>
      <w:r w:rsidR="00273C87" w:rsidRPr="00273C87">
        <w:rPr>
          <w:i/>
          <w:noProof/>
        </w:rPr>
        <w:t>et al.</w:t>
      </w:r>
      <w:r w:rsidR="00273C87" w:rsidRPr="00273C87">
        <w:rPr>
          <w:noProof/>
        </w:rPr>
        <w:t>, 2015)</w:t>
      </w:r>
      <w:r w:rsidR="005C0E76">
        <w:fldChar w:fldCharType="end"/>
      </w:r>
      <w:r w:rsidR="00273C87">
        <w:t xml:space="preserve"> which is required for a safe, efficacious and cost-effective final dsRNA </w:t>
      </w:r>
      <w:r w:rsidR="00C44B4D">
        <w:t xml:space="preserve">based biocontrol </w:t>
      </w:r>
      <w:r w:rsidR="00273C87">
        <w:t xml:space="preserve">insecticide product. The present study was therefore limited to long dsRNAs as the effector molecules for RNAi in insects. </w:t>
      </w:r>
      <w:r w:rsidR="005137B1">
        <w:t xml:space="preserve"> </w:t>
      </w:r>
    </w:p>
    <w:p w:rsidR="001E3B46" w:rsidRPr="00D6722B" w:rsidRDefault="006C074C" w:rsidP="000441D9">
      <w:pPr>
        <w:spacing w:line="360" w:lineRule="auto"/>
        <w:ind w:firstLine="284"/>
      </w:pPr>
      <w:r>
        <w:t>Long dsRNA</w:t>
      </w:r>
      <w:r w:rsidR="00ED1BE5">
        <w:t xml:space="preserve"> based insecticides can be degraded by nucleases, either in the environment (e.g. in soil </w:t>
      </w:r>
      <w:r w:rsidR="005C0E76">
        <w:fldChar w:fldCharType="begin" w:fldLock="1"/>
      </w:r>
      <w:r w:rsidR="00ED1BE5">
        <w:instrText>ADDIN CSL_CITATION {"citationItems":[{"id":"ITEM-1","itemData":{"DOI":"10.1371/journal.pone.0093155","ISSN":"1932-6203","abstract":"A laboratory soil degradation study was conducted to determine the biodegradation potential of a DvSnf7 dsRNA transcript derived from a Monsanto genetically modified (GM) maize product that confers resistance to corn rootworm (CRW; Diabrotica spp.). This study provides new information to improve the environmental assessment of dsRNAs that become pesticidal through an RNAi process. Three agricultural soils differing in their physicochemical characteristics were obtained from the U.S., Illinois (IL; silt loam), Missouri (MO; loamy sand) and North Dakota (ND; clay loam), and exposed to the target dsRNA by incorporating insect-protected maize biomass and purified (in vitro-transcribed) DvSnf7 RNA into soil. The GM and control (non-GM maize) materials were added to each soil and incubated at ca. 22°C for 48 hours (h). Samples were collected at 12 time intervals during the incubation period, extracted, and analyzed using QuantiGene molecular analysis and insect bioassay methods. The DT50 (half-life) values for DvSnf7 RNA in IL, MO, and ND soils were 19, 28, and 15 h based on QuantiGene, and 18, 29, and 14 h based on insect bioassay, respectively. Furthermore, the DT90 (time to 90% degradation) values for DvSnf7 RNA in all three soils were &lt;35 h. These results indicate that DvSnf7 RNA was degraded and biological activity was undetectable within approximately 2 days after application to soil, regardless of texture, pH, clay content and other soil differences. Furthermore, soil-incorporated DvSnf7 RNA was non-detectable in soil after 48 h, as measured by QuantiGene, at levels ranging more than two orders of magnitude (0.3, 1.5, 7.5 and 37.5 µg RNA/g soil). Results from this study indicate that the DvSnf7 dsRNA is unlikely to persist or accumulate in the environment. Furthermore, the rapid degradation of DvSnf7 dsRNA provides a basis to define relevant exposure scenarios for future RNA-based agricultural products.","author":[{"dropping-particle":"","family":"Dubelman","given":"Samuel","non-dropping-particle":"","parse-names":false,"suffix":""},{"dropping-particle":"","family":"Fischer","given":"Joshua","non-dropping-particle":"","parse-names":false,"suffix":""},{"dropping-particle":"","family":"Zapata","given":"Fatima","non-dropping-particle":"","parse-names":false,"suffix":""},{"dropping-particle":"","family":"Huizinga","given":"Kristin","non-dropping-particle":"","parse-names":false,"suffix":""},{"dropping-particle":"","family":"Jiang","given":"Changjian","non-dropping-particle":"","parse-names":false,"suffix":""},{"dropping-particle":"","family":"Uffman","given":"Joshua","non-dropping-particle":"","parse-names":false,"suffix":""},{"dropping-particle":"","family":"Levine","given":"Steven","non-dropping-particle":"","parse-names":false,"suffix":""},{"dropping-particle":"","family":"Carson","given":"David","non-dropping-particle":"","parse-names":false,"suffix":""}],"container-title":"PLoS ONE","editor":[{"dropping-particle":"","family":"Smagghe","given":"Guy","non-dropping-particle":"","parse-names":false,"suffix":""}],"id":"ITEM-1","issue":"3","issued":{"date-parts":[["2014","3","27"]]},"page":"e93155","publisher":"Public Library of Science","title":"Environmental Fate of Double-Stranded RNA in Agricultural Soils","type":"article-journal","volume":"9"},"uris":["http://www.mendeley.com/documents/?uuid=b3479b3f-460c-3c05-9dbb-56814777b613"]}],"mendeley":{"formattedCitation":"(Dubelman &lt;i&gt;et al.&lt;/i&gt;, 2014)","plainTextFormattedCitation":"(Dubelman et al., 2014)","previouslyFormattedCitation":"(Dubelman &lt;i&gt;et al.&lt;/i&gt;, 2014)"},"properties":{"noteIndex":0},"schema":"https://github.com/citation-style-language/schema/raw/master/csl-citation.json"}</w:instrText>
      </w:r>
      <w:r w:rsidR="005C0E76">
        <w:fldChar w:fldCharType="separate"/>
      </w:r>
      <w:r w:rsidR="00ED1BE5" w:rsidRPr="00ED1BE5">
        <w:rPr>
          <w:noProof/>
        </w:rPr>
        <w:t xml:space="preserve">(Dubelman </w:t>
      </w:r>
      <w:r w:rsidR="00ED1BE5" w:rsidRPr="00ED1BE5">
        <w:rPr>
          <w:i/>
          <w:noProof/>
        </w:rPr>
        <w:t>et al.</w:t>
      </w:r>
      <w:r w:rsidR="00ED1BE5" w:rsidRPr="00ED1BE5">
        <w:rPr>
          <w:noProof/>
        </w:rPr>
        <w:t>, 2014)</w:t>
      </w:r>
      <w:r w:rsidR="005C0E76">
        <w:fldChar w:fldCharType="end"/>
      </w:r>
      <w:r w:rsidR="00ED1BE5">
        <w:t xml:space="preserve">, or in the bodily fluids of the target insect </w:t>
      </w:r>
      <w:r w:rsidR="005C0E76">
        <w:fldChar w:fldCharType="begin" w:fldLock="1"/>
      </w:r>
      <w:r w:rsidR="00ED1BE5">
        <w:instrText>ADDIN CSL_CITATION {"citationItems":[{"id":"ITEM-1","itemData":{"DOI":"10.3389/fphys.2018.00624","ISSN":"1664-042X","abstract":"dsRNA degrading nuclease is responsible for the rapid degradation of dsRNA molecules, and thus accounts for variations in RNAi efficacy among insect species. Here, the biochemical properties and tissue-specific activities of dsRNA degrading nucleases in four insects (Spodoptera litura, Locusta migratoria, Periplaneta americana, and Zophobas atratus) from different orders were characterized using a modified assay method. The results revealed that all insect dsRNA degrading nucleases tested showed high activity in alkaline environments at optimal Mg2+ concentrations and elevated temperatures. We also found that enzymes from different insects varied in terms of their optimal reaction conditions and kinetic parameters. Whole body enzyme activity differed dramatically between insect species, although enzymes with higher substrate affinities (lower Km) were usually balanced by a smaller Vmax to maintain a proper level of degradative capacity. Furthermore, enzyme activities varied significantly between the four tested tissues (whole body, gut, hemolymph, and carcass) of the insect species. All the insects tested showed several hundred-fold higher dsRNA degrading activity in their gut than in other tissues. Reaction environment analysis demonstrated that physiological conditions in the prepared gut fluid and serum of different insects were not necessarily optimal for dsRNA degrading nuclease activity. Our data describe the biochemical characteristics and tissue distributions of dsRNA degrading activities in various insects, not only explaining why oral delivery of dsRNA often produces lower RNAi effects than injection of dsRNA, but also suggesting that dsRNA-degrading activities are regulated by physiological conditions. These results allow for a better understanding of the properties of dsRNA degrading nucleases, and will aid in the development of successful RNAi strategies in insects.","author":[{"dropping-particle":"","family":"Peng","given":"Yingchuan","non-dropping-particle":"","parse-names":false,"suffix":""},{"dropping-particle":"","family":"Wang","given":"Kangxu","non-dropping-particle":"","parse-names":false,"suffix":""},{"dropping-particle":"","family":"Fu","given":"Wenxi","non-dropping-particle":"","parse-names":false,"suffix":""},{"dropping-particle":"","family":"Sheng","given":"Chengwang","non-dropping-particle":"","parse-names":false,"suffix":""},{"dropping-particle":"","family":"Han","given":"Zhaojun","non-dropping-particle":"","parse-names":false,"suffix":""}],"container-title":"Frontiers in Physiology","id":"ITEM-1","issued":{"date-parts":[["2018","5","28"]]},"page":"624","publisher":"Frontiers","title":"Biochemical Comparison of dsRNA Degrading Nucleases in Four Different Insects","type":"article-journal","volume":"9"},"uris":["http://www.mendeley.com/documents/?uuid=085a2f8f-2e23-3b89-b9fe-2eeb3f9904f2"]}],"mendeley":{"formattedCitation":"(Peng &lt;i&gt;et al.&lt;/i&gt;, 2018)","plainTextFormattedCitation":"(Peng et al., 2018)","previouslyFormattedCitation":"(Peng &lt;i&gt;et al.&lt;/i&gt;, 2018)"},"properties":{"noteIndex":0},"schema":"https://github.com/citation-style-language/schema/raw/master/csl-citation.json"}</w:instrText>
      </w:r>
      <w:r w:rsidR="005C0E76">
        <w:fldChar w:fldCharType="separate"/>
      </w:r>
      <w:r w:rsidR="00ED1BE5" w:rsidRPr="00ED1BE5">
        <w:rPr>
          <w:noProof/>
        </w:rPr>
        <w:t xml:space="preserve">(Peng </w:t>
      </w:r>
      <w:r w:rsidR="00ED1BE5" w:rsidRPr="00ED1BE5">
        <w:rPr>
          <w:i/>
          <w:noProof/>
        </w:rPr>
        <w:t>et al.</w:t>
      </w:r>
      <w:r w:rsidR="00ED1BE5" w:rsidRPr="00ED1BE5">
        <w:rPr>
          <w:noProof/>
        </w:rPr>
        <w:t>, 2018)</w:t>
      </w:r>
      <w:r w:rsidR="005C0E76">
        <w:fldChar w:fldCharType="end"/>
      </w:r>
      <w:r w:rsidR="00ED1BE5">
        <w:t xml:space="preserve">. Some insect orders such as Lepidoptera demonstrate greater nuclease degradation of dsRNA </w:t>
      </w:r>
      <w:r w:rsidR="00ED1BE5" w:rsidRPr="00ED1BE5">
        <w:rPr>
          <w:i/>
        </w:rPr>
        <w:t>in vivo</w:t>
      </w:r>
      <w:r w:rsidR="00ED1BE5">
        <w:t xml:space="preserve"> than others </w:t>
      </w:r>
      <w:r w:rsidR="005C0E76">
        <w:fldChar w:fldCharType="begin" w:fldLock="1"/>
      </w:r>
      <w:r w:rsidR="00712B40">
        <w:instrText>ADDIN CSL_CITATION {"citationItems":[{"id":"ITEM-1","itemData":{"DOI":"10.1074/jbc.RA117.001553","ISSN":"0021-9258","PMID":"29500196","abstract":"More than 70% of all agricultural pests are insects in the order Lepidoptera, which, unlike other related insect orders, are not very sensitive to RNAi, limiting genetic studies of this insect group. However, the reason for this distinct lepidopteran characteristic is unknown. Previously, using transcriptome analysis of the Asian corn borer Ostrinia furnacalis, we identified a gene, termed up56, that is up-regulated in response to dsRNA. Here we report that this Lepidoptera-specific gene encodes a nuclease that contributes to RNAi insensitivity in this insect order. Its identity was experimentally validated, and sequence analysis indicated that up56 encodes a previously uncharacterized protein with homologous sequences in seven other lepidopteran species. Its computationally predicted three-dimensional structure revealed a high structural similarity to human exonuclease I. Exposure to dsRNA in O. furnacalis strongly up-regulated this gene's expression, and the protein could digest single-stranded RNA (ssRNA), dsRNA, and dsDNA both in vitro and in vivo Of note, we found that this up-regulation of up56 expression is faster than that of the gene encoding the key RNAi-associated nuclease Dicer. up56 knockdown in O. furnacalis significantly enhanced RNAi efficiency. Moreover, up56 overexpression in Drosophila melanogaster suppressed RNAi efficiency. Finally, up56 knockdown significantly increased the amount and diversity of small RNAs. Therefore, we renamed this protein RNAi efficiency-related nuclease (REase). In conclusion, we propose that REase may explain why lepidopterans are refractory to RNAi and that it represents a target for further research of RNAi efficiency in this insect order.","author":[{"dropping-particle":"","family":"Guan","given":"Ruo-Bing","non-dropping-particle":"","parse-names":false,"suffix":""},{"dropping-particle":"","family":"Li","given":"Hai-Chao","non-dropping-particle":"","parse-names":false,"suffix":""},{"dropping-particle":"","family":"Fan","given":"Yu-Jie","non-dropping-particle":"","parse-names":false,"suffix":""},{"dropping-particle":"","family":"Hu","given":"Shao-Ru","non-dropping-particle":"","parse-names":false,"suffix":""},{"dropping-particle":"","family":"Christiaens","given":"Olivier","non-dropping-particle":"","parse-names":false,"suffix":""},{"dropping-particle":"","family":"Smagghe","given":"Guy","non-dropping-particle":"","parse-names":false,"suffix":""},{"dropping-particle":"","family":"Miao","given":"Xue-Xia","non-dropping-particle":"","parse-names":false,"suffix":""}],"container-title":"Journal of Biological Chemistry","id":"ITEM-1","issue":"16","issued":{"date-parts":[["2018","4","20"]]},"page":"6011-6021","title":"A nuclease specific to lepidopteran insects suppresses RNAi","type":"article-journal","volume":"293"},"uris":["http://www.mendeley.com/documents/?uuid=a04f10d0-590a-3291-a879-f890d7289d7b"]}],"mendeley":{"formattedCitation":"(Guan &lt;i&gt;et al.&lt;/i&gt;, 2018)","plainTextFormattedCitation":"(Guan et al., 2018)","previouslyFormattedCitation":"(Guan &lt;i&gt;et al.&lt;/i&gt;, 2018)"},"properties":{"noteIndex":0},"schema":"https://github.com/citation-style-language/schema/raw/master/csl-citation.json"}</w:instrText>
      </w:r>
      <w:r w:rsidR="005C0E76">
        <w:fldChar w:fldCharType="separate"/>
      </w:r>
      <w:r w:rsidR="00ED1BE5" w:rsidRPr="00ED1BE5">
        <w:rPr>
          <w:noProof/>
        </w:rPr>
        <w:t xml:space="preserve">(Guan </w:t>
      </w:r>
      <w:r w:rsidR="00ED1BE5" w:rsidRPr="00ED1BE5">
        <w:rPr>
          <w:i/>
          <w:noProof/>
        </w:rPr>
        <w:t>et al.</w:t>
      </w:r>
      <w:r w:rsidR="00ED1BE5" w:rsidRPr="00ED1BE5">
        <w:rPr>
          <w:noProof/>
        </w:rPr>
        <w:t>, 2018)</w:t>
      </w:r>
      <w:r w:rsidR="005C0E76">
        <w:fldChar w:fldCharType="end"/>
      </w:r>
      <w:r w:rsidR="00ED1BE5">
        <w:t xml:space="preserve">, and nuclease degradation </w:t>
      </w:r>
      <w:r w:rsidR="007D05E7">
        <w:t xml:space="preserve">of dsRNA </w:t>
      </w:r>
      <w:r w:rsidR="00ED1BE5">
        <w:t xml:space="preserve">is a major barrier to successful triggering of RNAi by ingestion of dsRNA in insects. </w:t>
      </w:r>
      <w:r w:rsidR="007D05E7">
        <w:t>The</w:t>
      </w:r>
      <w:r w:rsidR="001E3B46">
        <w:t xml:space="preserve"> hypothesis was that if chemical modifications increase the stability of siRNAs such that they become efficacious in mammalian systems, then chemical modifications might similarly increase the stability of long dsRNAs – which are already efficacious – </w:t>
      </w:r>
      <w:r w:rsidR="00CC0295">
        <w:t>to environmental and insect nucleases</w:t>
      </w:r>
      <w:r w:rsidR="005F7575">
        <w:t xml:space="preserve">, thus reducing the dose of dsRNA required </w:t>
      </w:r>
      <w:r w:rsidR="005F7575" w:rsidRPr="00D6722B">
        <w:t xml:space="preserve">to achieve </w:t>
      </w:r>
      <w:r w:rsidR="00AA56C9" w:rsidRPr="00D6722B">
        <w:t>high</w:t>
      </w:r>
      <w:r w:rsidR="005F7575" w:rsidRPr="00D6722B">
        <w:t xml:space="preserve"> mortality of a target pest insect on a crop.</w:t>
      </w:r>
    </w:p>
    <w:p w:rsidR="007138B6" w:rsidRDefault="00273C87" w:rsidP="000441D9">
      <w:pPr>
        <w:spacing w:line="360" w:lineRule="auto"/>
        <w:ind w:firstLine="284"/>
      </w:pPr>
      <w:r>
        <w:t xml:space="preserve">To our knowledge, no results on the effect of chemically modified </w:t>
      </w:r>
      <w:r w:rsidR="00C44B4D">
        <w:t xml:space="preserve">long </w:t>
      </w:r>
      <w:r>
        <w:t>dsRNA in insect cell cultures or live insects</w:t>
      </w:r>
      <w:r w:rsidR="00903501">
        <w:t xml:space="preserve"> (discounting unmodified dsRNAs conjugated to other molecules for delivery) have been published. </w:t>
      </w:r>
      <w:r w:rsidR="007138B6">
        <w:t>Reviewed below are details of the RNAi mechanism, the use of unmodified dsRNA as an insecticide, and the use of chemical modifications of siRNAs and antisense oligonucleotides in non-insect systems. All of these areas give insights into the types of chemical modifications that may be incorporated into long dsRNA for use in insect systems, without compromising RNAi efficacy.</w:t>
      </w:r>
    </w:p>
    <w:p w:rsidR="005F7575" w:rsidRDefault="005F7575" w:rsidP="000441D9">
      <w:pPr>
        <w:spacing w:line="360" w:lineRule="auto"/>
        <w:ind w:firstLine="284"/>
      </w:pPr>
    </w:p>
    <w:p w:rsidR="005F26E3" w:rsidRDefault="005F26E3" w:rsidP="000441D9">
      <w:pPr>
        <w:spacing w:line="360" w:lineRule="auto"/>
        <w:ind w:firstLine="284"/>
      </w:pPr>
    </w:p>
    <w:p w:rsidR="005F26E3" w:rsidRDefault="005F26E3" w:rsidP="000441D9">
      <w:pPr>
        <w:spacing w:line="360" w:lineRule="auto"/>
        <w:ind w:firstLine="284"/>
      </w:pPr>
    </w:p>
    <w:p w:rsidR="005F26E3" w:rsidRDefault="005F26E3" w:rsidP="000441D9">
      <w:pPr>
        <w:spacing w:line="360" w:lineRule="auto"/>
        <w:ind w:firstLine="284"/>
      </w:pPr>
    </w:p>
    <w:p w:rsidR="00AD1DE4" w:rsidRDefault="00AD1DE4" w:rsidP="000441D9">
      <w:pPr>
        <w:pStyle w:val="Heading2"/>
        <w:spacing w:line="360" w:lineRule="auto"/>
      </w:pPr>
      <w:bookmarkStart w:id="9" w:name="_Toc35333912"/>
      <w:r>
        <w:lastRenderedPageBreak/>
        <w:t>Introduction to RNA interference (RNAi)</w:t>
      </w:r>
      <w:bookmarkEnd w:id="9"/>
    </w:p>
    <w:p w:rsidR="00AD1DE4" w:rsidRDefault="00253001" w:rsidP="000441D9">
      <w:pPr>
        <w:pStyle w:val="Heading3"/>
        <w:spacing w:line="360" w:lineRule="auto"/>
      </w:pPr>
      <w:bookmarkStart w:id="10" w:name="_Toc35333913"/>
      <w:r>
        <w:t>Introduction and h</w:t>
      </w:r>
      <w:r w:rsidR="00AD1DE4">
        <w:t>istory of RNAi</w:t>
      </w:r>
      <w:bookmarkEnd w:id="10"/>
    </w:p>
    <w:p w:rsidR="00E46AF1" w:rsidRPr="00D6722B" w:rsidRDefault="00E46AF1" w:rsidP="000441D9">
      <w:pPr>
        <w:spacing w:line="360" w:lineRule="auto"/>
        <w:ind w:firstLine="284"/>
      </w:pPr>
      <w:r w:rsidRPr="00D6722B">
        <w:t xml:space="preserve">The destruction or translational inhibition of endogenous mRNAs associated with specific host genes, by an RNA-protein complex, guided by double stranded RNA (dsRNA) complimentary to the target mRNA – either foreign or endogenous – is termed RNA interference (RNAi) and was discovered by Fire, Mello and co-workers </w:t>
      </w:r>
      <w:r w:rsidR="005C0E76" w:rsidRPr="00D6722B">
        <w:fldChar w:fldCharType="begin" w:fldLock="1"/>
      </w:r>
      <w:r w:rsidRPr="00D6722B">
        <w:instrText>ADDIN CSL_CITATION {"citationItems":[{"id":"ITEM-1","itemData":{"DOI":"10.1038/35888","ISSN":"0028-0836","PMID":"9486653","abstract":"Experimental introduction of RNA into cells can be used in certain biological systems to interfere with the function of an endogenous gene. Such effects have been proposed to result from a simple antisense mechanism that depends on hybridization between the injected RNA and endogenous messenger RNA transcripts. RNA interference has been used in the nematode Caenorhabditis elegans to manipulate gene expression. Here we investigate the requirements for structure and delivery of the interfering RNA. To our surprise, we found that double-stranded RNA was substantially more effective at producing interference than was either strand individually. After injection into adult animals, purified single strands had at most a modest effect, whereas double-stranded mixtures caused potent and specific interference. The effects of this interference were evident in both the injected animals and their progeny. Only a few molecules of injected double-stranded RNA were required per affected cell, arguing against stochiometric interference with endogenous mRNA and suggesting that there could be a catalytic or amplification component in the interference process.","author":[{"dropping-particle":"","family":"Fire","given":"Andrew","non-dropping-particle":"","parse-names":false,"suffix":""},{"dropping-particle":"","family":"Xu","given":"SiQun","non-dropping-particle":"","parse-names":false,"suffix":""},{"dropping-particle":"","family":"Montgomery","given":"Mary K.","non-dropping-particle":"","parse-names":false,"suffix":""},{"dropping-particle":"","family":"Kostas","given":"Steven A.","non-dropping-particle":"","parse-names":false,"suffix":""},{"dropping-particle":"","family":"Driver","given":"Samuel E.","non-dropping-particle":"","parse-names":false,"suffix":""},{"dropping-particle":"","family":"Mello","given":"Craig C.","non-dropping-particle":"","parse-names":false,"suffix":""}],"container-title":"Nature","id":"ITEM-1","issue":"6669","issued":{"date-parts":[["1998","2","19"]]},"page":"806-811","title":"Potent and specific genetic interference by double-stranded RNA in Caenorhabditis elegans","type":"article-journal","volume":"391"},"uris":["http://www.mendeley.com/documents/?uuid=a76f935f-75d8-387c-88fe-7b78b37fa5b2"]}],"mendeley":{"formattedCitation":"(Fire &lt;i&gt;et al.&lt;/i&gt;, 1998)","plainTextFormattedCitation":"(Fire et al., 1998)","previouslyFormattedCitation":"(Fire &lt;i&gt;et al.&lt;/i&gt;, 1998)"},"properties":{"noteIndex":0},"schema":"https://github.com/citation-style-language/schema/raw/master/csl-citation.json"}</w:instrText>
      </w:r>
      <w:r w:rsidR="005C0E76" w:rsidRPr="00D6722B">
        <w:fldChar w:fldCharType="separate"/>
      </w:r>
      <w:r w:rsidRPr="00D6722B">
        <w:rPr>
          <w:noProof/>
        </w:rPr>
        <w:t xml:space="preserve">(Fire </w:t>
      </w:r>
      <w:r w:rsidRPr="00D6722B">
        <w:rPr>
          <w:i/>
          <w:noProof/>
        </w:rPr>
        <w:t>et al.</w:t>
      </w:r>
      <w:r w:rsidRPr="00D6722B">
        <w:rPr>
          <w:noProof/>
        </w:rPr>
        <w:t>, 1998)</w:t>
      </w:r>
      <w:r w:rsidR="005C0E76" w:rsidRPr="00D6722B">
        <w:fldChar w:fldCharType="end"/>
      </w:r>
      <w:r w:rsidRPr="00D6722B">
        <w:t xml:space="preserve"> for which they were awarded the 2006 Nobel Prize for Physiology or Medicine </w:t>
      </w:r>
      <w:r w:rsidR="005C0E76" w:rsidRPr="00D6722B">
        <w:fldChar w:fldCharType="begin" w:fldLock="1"/>
      </w:r>
      <w:r w:rsidRPr="00D6722B">
        <w:instrText>ADDIN CSL_CITATION {"citationItems":[{"id":"ITEM-1","itemData":{"DOI":"10.1038/news061002-2","ISSN":"0028-0836","author":[{"dropping-particle":"","family":"Hopkin","given":"Michael","non-dropping-particle":"","parse-names":false,"suffix":""}],"container-title":"Nature","id":"ITEM-1","issued":{"date-parts":[["2006","10","2"]]},"publisher":"Nature Publishing Group","title":"RNAi scoops medical Nobel","type":"article-journal"},"uris":["http://www.mendeley.com/documents/?uuid=ccbf8805-5d86-3411-a228-9990b9c6cc4f"]}],"mendeley":{"formattedCitation":"(Hopkin, 2006)","plainTextFormattedCitation":"(Hopkin, 2006)","previouslyFormattedCitation":"(Hopkin, 2006)"},"properties":{"noteIndex":0},"schema":"https://github.com/citation-style-language/schema/raw/master/csl-citation.json"}</w:instrText>
      </w:r>
      <w:r w:rsidR="005C0E76" w:rsidRPr="00D6722B">
        <w:fldChar w:fldCharType="separate"/>
      </w:r>
      <w:r w:rsidRPr="00D6722B">
        <w:rPr>
          <w:noProof/>
        </w:rPr>
        <w:t>(Hopkin, 2006)</w:t>
      </w:r>
      <w:r w:rsidR="005C0E76" w:rsidRPr="00D6722B">
        <w:fldChar w:fldCharType="end"/>
      </w:r>
      <w:r w:rsidRPr="00D6722B">
        <w:t xml:space="preserve">. The awarding of the prize reflects the importance RNAi has come to play both as a tool in genetics, and as a pathway to be exploited to numerous ends in fields that include medicine and agriculture. </w:t>
      </w:r>
    </w:p>
    <w:p w:rsidR="00E46AF1" w:rsidRPr="00D6722B" w:rsidRDefault="00E46AF1" w:rsidP="000441D9">
      <w:pPr>
        <w:spacing w:line="360" w:lineRule="auto"/>
        <w:ind w:firstLine="284"/>
      </w:pPr>
      <w:r w:rsidRPr="00D6722B">
        <w:t xml:space="preserve">The mechanism now called RNAi was originally discovered in plants where it was termed posttranscriptional gene silencing (PTGS) </w:t>
      </w:r>
      <w:r w:rsidR="005C0E76" w:rsidRPr="00D6722B">
        <w:fldChar w:fldCharType="begin" w:fldLock="1"/>
      </w:r>
      <w:r w:rsidRPr="00D6722B">
        <w:instrText>ADDIN CSL_CITATION {"citationItems":[{"id":"ITEM-1","itemData":{"DOI":"10.1038/333866a0","ISSN":"0028-0836","abstract":"In most plants flower pigments derive from the flavonoid biosynthesis pathway. Consistent with this pathway in Petunia hybrida the key enzyme in flavonoid synthesis, chalcone synthase, is synthesized in the flower corolla, tube and anthers1. Here we show that constitutive expression of an 'anti-sense' chalcone synthase gene in transgenic petunia and tobacco plants results, with high frequency, in an altered flower pigmentation due to a reduction in levels of both the messenger RNA for the enzyme and the enzyme itself. The pattern of pigmentation varies among flowers of different transgenic plants, indicating that the activity of the anti-sense gene is influenced by DNA sequences that border its site of insertion in both a quantitative and a qualitative way. Backcrossing experiments show that the different pigmentation phenotypes resulting from the expression of anti-sense chalcone synthese gene(s) are stably inherited. These data establish that secondary metabolism in plants can be manipulated using transgenic plants that constitutively synthesize anti-sense RNA.","author":[{"dropping-particle":"","family":"Krol","given":"Alexander R.","non-dropping-particle":"van der","parse-names":false,"suffix":""},{"dropping-particle":"","family":"Lenting","given":"Peter E.","non-dropping-particle":"","parse-names":false,"suffix":""},{"dropping-particle":"","family":"Veenstra","given":"Jetty","non-dropping-particle":"","parse-names":false,"suffix":""},{"dropping-particle":"","family":"Meer","given":"Ingrid M.","non-dropping-particle":"van der","parse-names":false,"suffix":""},{"dropping-particle":"","family":"Koes","given":"Ronald E.","non-dropping-particle":"","parse-names":false,"suffix":""},{"dropping-particle":"","family":"Gerats","given":"Anton G. M.","non-dropping-particle":"","parse-names":false,"suffix":""},{"dropping-particle":"","family":"Mol","given":"Joseph N. M.","non-dropping-particle":"","parse-names":false,"suffix":""},{"dropping-particle":"","family":"Stuitje","given":"Antoine R.","non-dropping-particle":"","parse-names":false,"suffix":""}],"container-title":"Nature","id":"ITEM-1","issue":"6176","issued":{"date-parts":[["1988","6"]]},"page":"866-869","publisher":"Nature Publishing Group","title":"An anti-sense chalcone synthase gene in transgenic plants inhibits flower pigmentation","type":"article-journal","volume":"333"},"uris":["http://www.mendeley.com/documents/?uuid=04229ba9-13d1-3d71-adcd-0b9cfae2133f"]},{"id":"ITEM-2","itemData":{"DOI":"10.1038/35005113","ISBN":"0028-0836","ISSN":"0028-0836","PMID":"10749214","abstract":"Originally discovered in plants, the phenomenon of co-suppression by transgenic DNA has since been observed in many organisms from fungi to animals: introduction of transgenic copies of a gene results in reduced expression of the transgene as well as the endogenous gene. The effect depends on sequence identity between transgene and endogenous gene. Some cases of co-suppression resemble RNA interference (the experimental silencing of genes by the introduction of double-stranded RNA), as RNA seems to be both an important initiator and a target in these processes. Here we show that co-suppression in Caenorhabditis elegans is also probably mediated by RNA molecules. Both RNA interference and co-suppression have been implicated in the silencing of transposons. We now report that mutants of C. elegans that are defective in transposon silencing and RNA interference (mut-2, mut-7, mut-8 and mut-9) are in addition resistant to co-suppression. This indicates that RNA interference and co-suppression in C. elegans may be mediated at least in part by the same molecular machinery, possibly through RNA-guided degradation of messenger RNA molecules.","author":[{"dropping-particle":"","family":"Ketting","given":"R F","non-dropping-particle":"","parse-names":false,"suffix":""},{"dropping-particle":"","family":"Plasterk","given":"R H","non-dropping-particle":"","parse-names":false,"suffix":""}],"container-title":"Nature","id":"ITEM-2","issue":"6775","issued":{"date-parts":[["2000"]]},"page":"296-298","title":"A genetic link between co-suppression and RNA interference in C. elegans","type":"article-journal","volume":"404"},"uris":["http://www.mendeley.com/documents/?uuid=65889787-2942-4d8e-9ee4-8d488a8bcc6b"]}],"mendeley":{"formattedCitation":"(van der Krol &lt;i&gt;et al.&lt;/i&gt;, 1988; Ketting and Plasterk, 2000)","plainTextFormattedCitation":"(van der Krol et al., 1988; Ketting and Plasterk, 2000)","previouslyFormattedCitation":"(van der Krol &lt;i&gt;et al.&lt;/i&gt;, 1988; Ketting and Plasterk, 2000)"},"properties":{"noteIndex":0},"schema":"https://github.com/citation-style-language/schema/raw/master/csl-citation.json"}</w:instrText>
      </w:r>
      <w:r w:rsidR="005C0E76" w:rsidRPr="00D6722B">
        <w:fldChar w:fldCharType="separate"/>
      </w:r>
      <w:r w:rsidRPr="00D6722B">
        <w:rPr>
          <w:noProof/>
        </w:rPr>
        <w:t xml:space="preserve">(van der Krol </w:t>
      </w:r>
      <w:r w:rsidRPr="00D6722B">
        <w:rPr>
          <w:i/>
          <w:noProof/>
        </w:rPr>
        <w:t>et al.</w:t>
      </w:r>
      <w:r w:rsidRPr="00D6722B">
        <w:rPr>
          <w:noProof/>
        </w:rPr>
        <w:t>, 1988; Ketting and Plasterk, 2000)</w:t>
      </w:r>
      <w:r w:rsidR="005C0E76" w:rsidRPr="00D6722B">
        <w:fldChar w:fldCharType="end"/>
      </w:r>
      <w:r w:rsidRPr="00D6722B">
        <w:t xml:space="preserve"> and later known as co-suppression in plants and quelling in fungi </w:t>
      </w:r>
      <w:r w:rsidR="005C0E76" w:rsidRPr="00D6722B">
        <w:fldChar w:fldCharType="begin" w:fldLock="1"/>
      </w:r>
      <w:r w:rsidRPr="00D6722B">
        <w:instrText>ADDIN CSL_CITATION {"citationItems":[{"id":"ITEM-1","itemData":{"DOI":"10.1073/pnas.94.19.10233","ISBN":"0027-8424 (Print)\\n0027-8424 (Linking)","ISSN":"0027-8424","PMID":"9294193","abstract":"We report the isolation of 15 Neurospora crassa mutants defective in \"quelling\" or transgene-induced gene silencing. These quelling-defective mutants (qde) belonging to three complementation groups have provided insights into the mechanism of posttranscriptional gene silencing in N. crassa. The recessive nature of the qde mutations indicates that the encoded gene products act in trans. We show that when qde genes are mutated in a transgenic-induced silenced strain containing many copies of the transgene, the expression of the endogenous gene is maintained despite the presence of transgene sense RNA, the molecule proposed to trigger quelling. Moreover, the qde mutants failed to show quelling when tested with another gene, suggesting that they may be universally defective in transgene-induced gene silencing. As such, qde genes may be involved in sensing aberrant sense RNA and/or targeting/degrading the native mRNA. The qde mutations may be used to isolate the genes encoding the first components of the quelling mechanism. Moreover, these quelling mutants may be important in applied and basic research for the creation of strains able to overexpress a transgene.","author":[{"dropping-particle":"","family":"Cogoni","given":"C.","non-dropping-particle":"","parse-names":false,"suffix":""},{"dropping-particle":"","family":"Macino","given":"G.","non-dropping-particle":"","parse-names":false,"suffix":""}],"container-title":"Proceedings of the National Academy of Sciences","id":"ITEM-1","issue":"19","issued":{"date-parts":[["1997"]]},"page":"10233-10238","title":"Isolation of quelling-defective (qde) mutants impaired in posttranscriptional transgene-induced gene silencing in Neurospora crassa","type":"article-journal","volume":"94"},"uris":["http://www.mendeley.com/documents/?uuid=cb91e67f-5cf7-4fea-aed4-398e32dd0253"]}],"mendeley":{"formattedCitation":"(Cogoni and Macino, 1997)","plainTextFormattedCitation":"(Cogoni and Macino, 1997)","previouslyFormattedCitation":"(Cogoni and Macino, 1997)"},"properties":{"noteIndex":0},"schema":"https://github.com/citation-style-language/schema/raw/master/csl-citation.json"}</w:instrText>
      </w:r>
      <w:r w:rsidR="005C0E76" w:rsidRPr="00D6722B">
        <w:fldChar w:fldCharType="separate"/>
      </w:r>
      <w:r w:rsidRPr="00D6722B">
        <w:rPr>
          <w:noProof/>
        </w:rPr>
        <w:t>(Cogoni and Macino, 1997)</w:t>
      </w:r>
      <w:r w:rsidR="005C0E76" w:rsidRPr="00D6722B">
        <w:fldChar w:fldCharType="end"/>
      </w:r>
      <w:r w:rsidRPr="00D6722B">
        <w:t xml:space="preserve">. Fire, Mello and co-workers discovered RNAi in the nematode </w:t>
      </w:r>
      <w:r w:rsidRPr="00D6722B">
        <w:rPr>
          <w:i/>
        </w:rPr>
        <w:t>Caenorhabditis elegans</w:t>
      </w:r>
      <w:r w:rsidRPr="00D6722B">
        <w:t xml:space="preserve">, building on the work of others who had studied related phenomena in </w:t>
      </w:r>
      <w:r w:rsidRPr="00D6722B">
        <w:rPr>
          <w:i/>
        </w:rPr>
        <w:t>C. elegans</w:t>
      </w:r>
      <w:r w:rsidRPr="00D6722B">
        <w:t xml:space="preserve">, crowning the nematode as the first species to be found to exhibit PTGS/co-suppression outside the kingdom Plantae, with the phenomenon being discovered in the fungi </w:t>
      </w:r>
      <w:r w:rsidRPr="00D6722B">
        <w:rPr>
          <w:i/>
        </w:rPr>
        <w:t>Neurospora crassa</w:t>
      </w:r>
      <w:r w:rsidRPr="00D6722B">
        <w:t xml:space="preserve"> shortly thereafter </w:t>
      </w:r>
      <w:r w:rsidR="005C0E76" w:rsidRPr="00D6722B">
        <w:fldChar w:fldCharType="begin" w:fldLock="1"/>
      </w:r>
      <w:r w:rsidRPr="00D6722B">
        <w:instrText>ADDIN CSL_CITATION {"citationItems":[{"id":"ITEM-1","itemData":{"DOI":"10.1073/pnas.94.19.10233","ISBN":"0027-8424 (Print)\\n0027-8424 (Linking)","ISSN":"0027-8424","PMID":"9294193","abstract":"We report the isolation of 15 Neurospora crassa mutants defective in \"quelling\" or transgene-induced gene silencing. These quelling-defective mutants (qde) belonging to three complementation groups have provided insights into the mechanism of posttranscriptional gene silencing in N. crassa. The recessive nature of the qde mutations indicates that the encoded gene products act in trans. We show that when qde genes are mutated in a transgenic-induced silenced strain containing many copies of the transgene, the expression of the endogenous gene is maintained despite the presence of transgene sense RNA, the molecule proposed to trigger quelling. Moreover, the qde mutants failed to show quelling when tested with another gene, suggesting that they may be universally defective in transgene-induced gene silencing. As such, qde genes may be involved in sensing aberrant sense RNA and/or targeting/degrading the native mRNA. The qde mutations may be used to isolate the genes encoding the first components of the quelling mechanism. Moreover, these quelling mutants may be important in applied and basic research for the creation of strains able to overexpress a transgene.","author":[{"dropping-particle":"","family":"Cogoni","given":"C.","non-dropping-particle":"","parse-names":false,"suffix":""},{"dropping-particle":"","family":"Macino","given":"G.","non-dropping-particle":"","parse-names":false,"suffix":""}],"container-title":"Proceedings of the National Academy of Sciences","id":"ITEM-1","issue":"19","issued":{"date-parts":[["1997"]]},"page":"10233-10238","title":"Isolation of quelling-defective (qde) mutants impaired in posttranscriptional transgene-induced gene silencing in Neurospora crassa","type":"article-journal","volume":"94"},"uris":["http://www.mendeley.com/documents/?uuid=cb91e67f-5cf7-4fea-aed4-398e32dd0253"]},{"id":"ITEM-2","itemData":{"DOI":"10.1038/20215","ISSN":"0028-0836","PMID":"10335848","abstract":"In plants and fungi, the introduction of transgenes can lead to post-transcriptional gene silencing. This phenomenon, in which expression of the transgene and of endogenous genes containing sequences homologous to the transgene can be blocked, is involved in virus resistance and genome maintenance. Transgene-induced gene silencing has been termed quelling in Neurospora crassa and co-suppression in plants. Quelling-defective (qde) mutants of N. crassa, in which transgene-induced gene silencing is impaired, have been isolated. Here we report the cloning of qde-1, the first cellular component of the gene-silencing mechanism to be isolated, which defines a new gene family conserved among different species including plants, animals and fungi. The qde-1 gene product is similar to an RNA-dependent RNA polymerase found in the tomato. The identification of qde-1 strongly supports models that implicate an RNA-dependent RNA polymerase in the post-transcriptional gene-silencing mechanism. The presence of qde-1 homologues in a variety of species of plants and fungi indicates that a conserved gene-silencing mechanism may exist, which could have evolved to preserve genome integrity and to protect the genome against naturally occurring transposons and viruses.","author":[{"dropping-particle":"","family":"Cogoni","given":"Carlo","non-dropping-particle":"","parse-names":false,"suffix":""},{"dropping-particle":"","family":"Macino","given":"Giuseppe","non-dropping-particle":"","parse-names":false,"suffix":""}],"container-title":"Nature","id":"ITEM-2","issue":"6732","issued":{"date-parts":[["1999","5","13"]]},"page":"166-169","title":"Gene silencing in Neurospora crassa requires a protein homologous to RNA-dependent RNA polymerase","type":"article-journal","volume":"399"},"uris":["http://www.mendeley.com/documents/?uuid=873682b8-ac59-34a8-ac04-22e96982ab0e"]}],"mendeley":{"formattedCitation":"(Cogoni and Macino, 1997, 1999)","plainTextFormattedCitation":"(Cogoni and Macino, 1997, 1999)","previouslyFormattedCitation":"(Cogoni and Macino, 1997, 1999)"},"properties":{"noteIndex":0},"schema":"https://github.com/citation-style-language/schema/raw/master/csl-citation.json"}</w:instrText>
      </w:r>
      <w:r w:rsidR="005C0E76" w:rsidRPr="00D6722B">
        <w:fldChar w:fldCharType="separate"/>
      </w:r>
      <w:r w:rsidRPr="00D6722B">
        <w:rPr>
          <w:noProof/>
        </w:rPr>
        <w:t>(Cogoni and Macino, 1997, 1999)</w:t>
      </w:r>
      <w:r w:rsidR="005C0E76" w:rsidRPr="00D6722B">
        <w:fldChar w:fldCharType="end"/>
      </w:r>
      <w:r w:rsidRPr="00D6722B">
        <w:t xml:space="preserve">. Tentative links were made between what were considered separate phenomena at the time, and the mechanism was suggested to be identical across the kingdoms considered thus far </w:t>
      </w:r>
      <w:r w:rsidR="005C0E76" w:rsidRPr="00D6722B">
        <w:fldChar w:fldCharType="begin" w:fldLock="1"/>
      </w:r>
      <w:r w:rsidRPr="00D6722B">
        <w:instrText>ADDIN CSL_CITATION {"citationItems":[{"id":"ITEM-1","itemData":{"DOI":"10.1038/35005113","ISBN":"0028-0836","ISSN":"0028-0836","PMID":"10749214","abstract":"Originally discovered in plants, the phenomenon of co-suppression by transgenic DNA has since been observed in many organisms from fungi to animals: introduction of transgenic copies of a gene results in reduced expression of the transgene as well as the endogenous gene. The effect depends on sequence identity between transgene and endogenous gene. Some cases of co-suppression resemble RNA interference (the experimental silencing of genes by the introduction of double-stranded RNA), as RNA seems to be both an important initiator and a target in these processes. Here we show that co-suppression in Caenorhabditis elegans is also probably mediated by RNA molecules. Both RNA interference and co-suppression have been implicated in the silencing of transposons. We now report that mutants of C. elegans that are defective in transposon silencing and RNA interference (mut-2, mut-7, mut-8 and mut-9) are in addition resistant to co-suppression. This indicates that RNA interference and co-suppression in C. elegans may be mediated at least in part by the same molecular machinery, possibly through RNA-guided degradation of messenger RNA molecules.","author":[{"dropping-particle":"","family":"Ketting","given":"R F","non-dropping-particle":"","parse-names":false,"suffix":""},{"dropping-particle":"","family":"Plasterk","given":"R H","non-dropping-particle":"","parse-names":false,"suffix":""}],"container-title":"Nature","id":"ITEM-1","issue":"6775","issued":{"date-parts":[["2000"]]},"page":"296-298","title":"A genetic link between co-suppression and RNA interference in C. elegans","type":"article-journal","volume":"404"},"uris":["http://www.mendeley.com/documents/?uuid=65889787-2942-4d8e-9ee4-8d488a8bcc6b"]}],"mendeley":{"formattedCitation":"(Ketting and Plasterk, 2000)","plainTextFormattedCitation":"(Ketting and Plasterk, 2000)","previouslyFormattedCitation":"(Ketting and Plasterk, 2000)"},"properties":{"noteIndex":0},"schema":"https://github.com/citation-style-language/schema/raw/master/csl-citation.json"}</w:instrText>
      </w:r>
      <w:r w:rsidR="005C0E76" w:rsidRPr="00D6722B">
        <w:fldChar w:fldCharType="separate"/>
      </w:r>
      <w:r w:rsidRPr="00D6722B">
        <w:rPr>
          <w:noProof/>
        </w:rPr>
        <w:t>(Ketting and Plasterk, 2000)</w:t>
      </w:r>
      <w:r w:rsidR="005C0E76" w:rsidRPr="00D6722B">
        <w:fldChar w:fldCharType="end"/>
      </w:r>
      <w:r w:rsidRPr="00D6722B">
        <w:t xml:space="preserve">. RNAi is now known to be widespread among eukaryotes </w:t>
      </w:r>
      <w:r w:rsidR="005C0E76" w:rsidRPr="00D6722B">
        <w:fldChar w:fldCharType="begin" w:fldLock="1"/>
      </w:r>
      <w:r w:rsidRPr="00D6722B">
        <w:instrText>ADDIN CSL_CITATION {"citationItems":[{"id":"ITEM-1","itemData":{"DOI":"10.1038/nature02874","ISBN":"1476-4687 (Electronic)\\n0028-0836 (Linking)","ISSN":"00280836","PMID":"15372043","abstract":"There are at least three RNA silencing pathways for silencing specific genes in plants. In these pathways, silencing signals can be amplified and transmitted between cells, and may even be self-regulated by feedback mechanisms. Diverse biological roles of these pathways have been established, including defence against viruses, regulation of gene expression and the condensation of chromatin into heterochromatin. We are now in a good position to investigate the full extent of this functional diversity in genetic and epigenetic mechanisms of genome control.","author":[{"dropping-particle":"","family":"Baulcombe","given":"David","non-dropping-particle":"","parse-names":false,"suffix":""}],"container-title":"Nature","id":"ITEM-1","issue":"7006","issued":{"date-parts":[["2004"]]},"page":"356-363","title":"RNA silencing in plants","type":"article-journal","volume":"431"},"uris":["http://www.mendeley.com/documents/?uuid=8dccaaa0-907a-4882-874d-19460e614531"]},{"id":"ITEM-2","itemData":{"author":[{"dropping-particle":"","family":"Russell","given":"P.J.","non-dropping-particle":"","parse-names":false,"suffix":""}],"edition":"Third Edition","id":"ITEM-2","issued":{"date-parts":[["2010"]]},"publisher":"Benjamin Cummings","publisher-place":"San Francisco","title":"iGenetics: A Molecular Approach","type":"book"},"uris":["http://www.mendeley.com/documents/?uuid=6f0d9ea7-f616-325e-abab-4887b4736427"]}],"mendeley":{"formattedCitation":"(Baulcombe, 2004; Russell, 2010)","plainTextFormattedCitation":"(Baulcombe, 2004; Russell, 2010)","previouslyFormattedCitation":"(Baulcombe, 2004; Russell, 2010)"},"properties":{"noteIndex":0},"schema":"https://github.com/citation-style-language/schema/raw/master/csl-citation.json"}</w:instrText>
      </w:r>
      <w:r w:rsidR="005C0E76" w:rsidRPr="00D6722B">
        <w:fldChar w:fldCharType="separate"/>
      </w:r>
      <w:r w:rsidRPr="00D6722B">
        <w:rPr>
          <w:noProof/>
        </w:rPr>
        <w:t>(Baulcombe, 2004; Russell, 2010)</w:t>
      </w:r>
      <w:r w:rsidR="005C0E76" w:rsidRPr="00D6722B">
        <w:fldChar w:fldCharType="end"/>
      </w:r>
      <w:r w:rsidR="008612BD" w:rsidRPr="00D6722B">
        <w:t xml:space="preserve">. It principally </w:t>
      </w:r>
      <w:r w:rsidR="00BD78E9" w:rsidRPr="00D6722B">
        <w:t>involves the</w:t>
      </w:r>
      <w:r w:rsidR="008612BD" w:rsidRPr="00D6722B">
        <w:t xml:space="preserve"> post-transcriptional </w:t>
      </w:r>
      <w:r w:rsidR="00BD78E9" w:rsidRPr="00D6722B">
        <w:t xml:space="preserve">regulation of </w:t>
      </w:r>
      <w:r w:rsidR="008612BD" w:rsidRPr="00D6722B">
        <w:t xml:space="preserve">gene expression, though </w:t>
      </w:r>
      <w:r w:rsidR="00BD78E9" w:rsidRPr="00D6722B">
        <w:t>has been</w:t>
      </w:r>
      <w:r w:rsidR="008612BD" w:rsidRPr="00D6722B">
        <w:t xml:space="preserve"> implicated</w:t>
      </w:r>
      <w:r w:rsidR="008612BD" w:rsidRPr="008612BD">
        <w:t xml:space="preserve"> in</w:t>
      </w:r>
      <w:r w:rsidR="00F765EE">
        <w:t xml:space="preserve"> a range of other cellular processes. These include</w:t>
      </w:r>
      <w:r w:rsidR="008612BD" w:rsidRPr="008612BD">
        <w:t xml:space="preserve"> antiviral defence in</w:t>
      </w:r>
      <w:r w:rsidR="008612BD">
        <w:t xml:space="preserve"> insects </w:t>
      </w:r>
      <w:r w:rsidR="005C0E76">
        <w:fldChar w:fldCharType="begin" w:fldLock="1"/>
      </w:r>
      <w:r w:rsidR="008612BD">
        <w:instrText>ADDIN CSL_CITATION {"citationItems":[{"id":"ITEM-1","itemData":{"DOI":"10.1101/gad.1482006","ISSN":"0890-9369","PMID":"17079687","abstract":"Most organisms have evolved defense mechanisms to protect themselves from viruses and other pathogens. Arthropods lack the protein-based adaptive immune response found in vertebrates. Here we show that the central catalytic component of the RNA-induced silencing complex (RISC), the nuclease Argonaute 2 (Ago-2), is essential for antiviral defense in adult Drosophila melanogaster. Ago-2-defective flies are hypersensitive to infection with a major fruit fly pathogen, Drosophila C virus (DCV), and with Cricket Paralysis virus (CrPV). Increased mortality in ago-2 mutant flies was associated with a dramatic increase in viral RNA accumulation and virus titers. The physiological significance of this antiviral mechanism is underscored by our finding that DCV encodes a potent suppressor of RNA interference (RNAi). This suppressor binds long double-stranded RNA (dsRNA) and inhibits Dicer-2-mediated processing of dsRNA into short interfering RNA (siRNA), but does not bind short siRNAs or disrupt the microRNA (miRNA) pathway. Based on these results we propose that RNAi is a major antiviral immune defense mechanism in Drosophila.","author":[{"dropping-particle":"","family":"Rij","given":"Ronald P","non-dropping-particle":"van","parse-names":false,"suffix":""},{"dropping-particle":"","family":"Saleh","given":"Maria-Carla","non-dropping-particle":"","parse-names":false,"suffix":""},{"dropping-particle":"","family":"Berry","given":"Bassam","non-dropping-particle":"","parse-names":false,"suffix":""},{"dropping-particle":"","family":"Foo","given":"Catherine","non-dropping-particle":"","parse-names":false,"suffix":""},{"dropping-particle":"","family":"Houk","given":"Andrew","non-dropping-particle":"","parse-names":false,"suffix":""},{"dropping-particle":"","family":"Antoniewski","given":"Christophe","non-dropping-particle":"","parse-names":false,"suffix":""},{"dropping-particle":"","family":"Andino","given":"Raul","non-dropping-particle":"","parse-names":false,"suffix":""}],"container-title":"Genes &amp; development","id":"ITEM-1","issue":"21","issued":{"date-parts":[["2006","11","1"]]},"page":"2985-95","publisher":"Cold Spring Harbor Laboratory Press","title":"The RNA silencing endonuclease Argonaute 2 mediates specific antiviral immunity in Drosophila melanogaster.","type":"article-journal","volume":"20"},"uris":["http://www.mendeley.com/documents/?uuid=928df883-ed7a-30cf-8cd4-7497c22b29ab"]},{"id":"ITEM-2","itemData":{"DOI":"10.1111/j.1600-065X.2008.00722.x","ISSN":"1600-065X","PMID":"19120484","abstract":"Suppression of viral infection by RNA in a nucleotide sequence homology-dependent manner was first reported in plants in early 1990 s. Studies in the past 15 years have established a completely new RNA-based immune system against viruses that is mechanistically related to RNA silencing or RNA interference (RNAi). This viral immunity begins with recognition of viral double-stranded or structured RNA by the Dicer nuclease family of host immune receptors. In fungi, plants and invertebrates, the viral RNA trigger is processed into small interfering RNAs (siRNAs) to direct specific silencing of the homologous viral genomic and/or messenger RNAs by an RNaseH-like Argonaute protein. Deep sequencing of virus-derived siRNAs indicates that the immunity against viruses with a positive-strand RNA genome is induced by Dicer recognition of dsRNA formed during the initiation of viral progeny (+)RNA synthesis. The RNA-based immune pathway in these organisms overlaps the canonical dsRNA-siRNA pathway of RNAi and may require amplification of viral siRNAs by host RNA-dependent RNA polymerase in plants and nematodes. Production of virus-derived small RNAs is undetectable in mammalian cells infected with RNA viruses. However, infection of mammals with several nucleus-replicating DNA viruses induces production of virus-derived microRNAs capable of silencing host and viral mRNAs as found for viral siRNAs. Remarkably, recent studies indicate that prokaryotes also produce virus-derived small RNAs known as CRISPR RNAs to guide antiviral defense in a manner that has yet to be defined. In this article, we review the recent progress on the identification and mechanism of the key components including viral sensors, viral triggers, effectors, and amplifiers, of the small RNA-directed viral immunity. We also highlight some of the many unresolved questions.","author":[{"dropping-particle":"","family":"Aliyari","given":"Roghiyh","non-dropping-particle":"","parse-names":false,"suffix":""},{"dropping-particle":"","family":"Ding","given":"Shou-Wei","non-dropping-particle":"","parse-names":false,"suffix":""}],"container-title":"Immunological reviews","id":"ITEM-2","issue":"1","issued":{"date-parts":[["2009","1"]]},"page":"176-88","publisher":"NIH Public Access","title":"RNA-based viral immunity initiated by the Dicer family of host immune receptors.","type":"article-journal","volume":"227"},"uris":["http://www.mendeley.com/documents/?uuid=f675171b-f392-3c3e-be87-ef82254b2eaa"]}],"mendeley":{"formattedCitation":"(van Rij &lt;i&gt;et al.&lt;/i&gt;, 2006; Aliyari and Ding, 2009)","plainTextFormattedCitation":"(van Rij et al., 2006; Aliyari and Ding, 2009)","previouslyFormattedCitation":"(van Rij &lt;i&gt;et al.&lt;/i&gt;, 2006; Aliyari and Ding, 2009)"},"properties":{"noteIndex":0},"schema":"https://github.com/citation-style-language/schema/raw/master/csl-citation.json"}</w:instrText>
      </w:r>
      <w:r w:rsidR="005C0E76">
        <w:fldChar w:fldCharType="separate"/>
      </w:r>
      <w:r w:rsidR="008612BD" w:rsidRPr="008612BD">
        <w:rPr>
          <w:noProof/>
        </w:rPr>
        <w:t xml:space="preserve">(van Rij </w:t>
      </w:r>
      <w:r w:rsidR="008612BD" w:rsidRPr="008612BD">
        <w:rPr>
          <w:i/>
          <w:noProof/>
        </w:rPr>
        <w:t>et al.</w:t>
      </w:r>
      <w:r w:rsidR="008612BD" w:rsidRPr="008612BD">
        <w:rPr>
          <w:noProof/>
        </w:rPr>
        <w:t>, 2006; Aliyari and Ding, 2009)</w:t>
      </w:r>
      <w:r w:rsidR="005C0E76">
        <w:fldChar w:fldCharType="end"/>
      </w:r>
      <w:r w:rsidR="008612BD">
        <w:t xml:space="preserve"> and plants </w:t>
      </w:r>
      <w:r w:rsidR="005C0E76">
        <w:fldChar w:fldCharType="begin" w:fldLock="1"/>
      </w:r>
      <w:r w:rsidR="008612BD">
        <w:instrText>ADDIN CSL_CITATION {"citationItems":[{"id":"ITEM-1","itemData":{"DOI":"10.1016/j.pbi.2015.06.013","ISBN":"1369-5266","ISSN":"13695266","PMID":"26190744","abstract":"ARGONAUTES (AGOs) are the effector proteins functioning in eukaryotic RNA silencing pathways. AGOs associate with small RNAs and are programmed to target complementary RNA or DNA. Plant viruses induce a potent and specific antiviral RNA silencing host response in which AGOs play a central role. Antiviral AGOs associate with virus-derived small RNAs to repress complementary viral RNAs or DNAs, or with endogenous small RNAs to regulate host gene expression and promote antiviral defense. Here, we review recent progress towards understanding the roles of plant AGOs in antiviral defense. We also discuss the strategies that viruses have evolved to modulate, attenuate or suppress AGO antiviral functions.","author":[{"dropping-particle":"","family":"Carbonell","given":"Alberto","non-dropping-particle":"","parse-names":false,"suffix":""},{"dropping-particle":"","family":"Carrington","given":"James C.","non-dropping-particle":"","parse-names":false,"suffix":""}],"container-title":"Current Opinion in Plant Biology","id":"ITEM-1","issue":"Dcl","issued":{"date-parts":[["2015"]]},"page":"111-117","publisher":"Elsevier Ltd","title":"Antiviral roles of plant ARGONAUTES","type":"article-journal","volume":"27"},"uris":["http://www.mendeley.com/documents/?uuid=e6255ade-cda0-4879-ae6b-43c9a5678f9b"]},{"id":"ITEM-2","itemData":{"DOI":"10.1111/j.1600-065X.2008.00722.x","ISSN":"1600-065X","PMID":"19120484","abstract":"Suppression of viral infection by RNA in a nucleotide sequence homology-dependent manner was first reported in plants in early 1990 s. Studies in the past 15 years have established a completely new RNA-based immune system against viruses that is mechanistically related to RNA silencing or RNA interference (RNAi). This viral immunity begins with recognition of viral double-stranded or structured RNA by the Dicer nuclease family of host immune receptors. In fungi, plants and invertebrates, the viral RNA trigger is processed into small interfering RNAs (siRNAs) to direct specific silencing of the homologous viral genomic and/or messenger RNAs by an RNaseH-like Argonaute protein. Deep sequencing of virus-derived siRNAs indicates that the immunity against viruses with a positive-strand RNA genome is induced by Dicer recognition of dsRNA formed during the initiation of viral progeny (+)RNA synthesis. The RNA-based immune pathway in these organisms overlaps the canonical dsRNA-siRNA pathway of RNAi and may require amplification of viral siRNAs by host RNA-dependent RNA polymerase in plants and nematodes. Production of virus-derived small RNAs is undetectable in mammalian cells infected with RNA viruses. However, infection of mammals with several nucleus-replicating DNA viruses induces production of virus-derived microRNAs capable of silencing host and viral mRNAs as found for viral siRNAs. Remarkably, recent studies indicate that prokaryotes also produce virus-derived small RNAs known as CRISPR RNAs to guide antiviral defense in a manner that has yet to be defined. In this article, we review the recent progress on the identification and mechanism of the key components including viral sensors, viral triggers, effectors, and amplifiers, of the small RNA-directed viral immunity. We also highlight some of the many unresolved questions.","author":[{"dropping-particle":"","family":"Aliyari","given":"Roghiyh","non-dropping-particle":"","parse-names":false,"suffix":""},{"dropping-particle":"","family":"Ding","given":"Shou-Wei","non-dropping-particle":"","parse-names":false,"suffix":""}],"container-title":"Immunological reviews","id":"ITEM-2","issue":"1","issued":{"date-parts":[["2009","1"]]},"page":"176-88","publisher":"NIH Public Access","title":"RNA-based viral immunity initiated by the Dicer family of host immune receptors.","type":"article-journal","volume":"227"},"uris":["http://www.mendeley.com/documents/?uuid=f675171b-f392-3c3e-be87-ef82254b2eaa"]}],"mendeley":{"formattedCitation":"(Aliyari and Ding, 2009; Carbonell and Carrington, 2015)","plainTextFormattedCitation":"(Aliyari and Ding, 2009; Carbonell and Carrington, 2015)","previouslyFormattedCitation":"(Aliyari and Ding, 2009; Carbonell and Carrington, 2015)"},"properties":{"noteIndex":0},"schema":"https://github.com/citation-style-language/schema/raw/master/csl-citation.json"}</w:instrText>
      </w:r>
      <w:r w:rsidR="005C0E76">
        <w:fldChar w:fldCharType="separate"/>
      </w:r>
      <w:r w:rsidR="008612BD" w:rsidRPr="008612BD">
        <w:rPr>
          <w:noProof/>
        </w:rPr>
        <w:t>(Aliyari and Ding, 2009; Carbonell and Carrington, 2015)</w:t>
      </w:r>
      <w:r w:rsidR="005C0E76">
        <w:fldChar w:fldCharType="end"/>
      </w:r>
      <w:r w:rsidR="008612BD">
        <w:t xml:space="preserve">, as well as silencing of transposons </w:t>
      </w:r>
      <w:r w:rsidR="005C0E76">
        <w:fldChar w:fldCharType="begin" w:fldLock="1"/>
      </w:r>
      <w:r w:rsidR="00F765EE">
        <w:instrText>ADDIN CSL_CITATION {"citationItems":[{"id":"ITEM-1","itemData":{"DOI":"10.1016/J.TIBS.2015.12.008","ISSN":"0968-0004","PMID":"26810602","abstract":"The PIWI-interacting RNA (piRNA) pathway is a conserved defense mechanism that protects the genetic information of animal germ cells from the deleterious effects of molecular parasites, such as transposons. Discovered nearly a decade ago, this small RNA silencing system comprises PIWI-clade Argonaute proteins and their associated RNA-binding partners, the piRNAs. In this review, we highlight recent work that has advanced our understanding of how piRNAs preserve genome integrity across generations. We discuss the mechanism of piRNA biogenesis, give an overview of common themes as well as differences in piRNA-mediated silencing between species, and end by highlighting known and emerging functions of piRNAs.","author":[{"dropping-particle":"","family":"Czech","given":"Benjamin","non-dropping-particle":"","parse-names":false,"suffix":""},{"dropping-particle":"","family":"Hannon","given":"Gregory J.","non-dropping-particle":"","parse-names":false,"suffix":""}],"container-title":"Trends in Biochemical Sciences","id":"ITEM-1","issue":"4","issued":{"date-parts":[["2016"]]},"page":"324","publisher":"Elsevier","title":"One Loop to Rule Them All: The Ping-Pong Cycle and piRNA-Guided Silencing","type":"article-journal","volume":"41"},"uris":["http://www.mendeley.com/documents/?uuid=414df996-7987-3535-a879-da9b9dcb9f82"]}],"mendeley":{"formattedCitation":"(Czech and Hannon, 2016)","plainTextFormattedCitation":"(Czech and Hannon, 2016)","previouslyFormattedCitation":"(Czech and Hannon, 2016)"},"properties":{"noteIndex":0},"schema":"https://github.com/citation-style-language/schema/raw/master/csl-citation.json"}</w:instrText>
      </w:r>
      <w:r w:rsidR="005C0E76">
        <w:fldChar w:fldCharType="separate"/>
      </w:r>
      <w:r w:rsidR="008612BD" w:rsidRPr="008612BD">
        <w:rPr>
          <w:noProof/>
        </w:rPr>
        <w:t>(Czech and Hannon, 2016)</w:t>
      </w:r>
      <w:r w:rsidR="005C0E76">
        <w:fldChar w:fldCharType="end"/>
      </w:r>
      <w:r w:rsidR="00F765EE">
        <w:t>,</w:t>
      </w:r>
      <w:r w:rsidR="008612BD">
        <w:t xml:space="preserve"> and heterochromatin</w:t>
      </w:r>
      <w:r w:rsidR="00F765EE">
        <w:t xml:space="preserve"> formation </w:t>
      </w:r>
      <w:r w:rsidR="005C0E76">
        <w:fldChar w:fldCharType="begin" w:fldLock="1"/>
      </w:r>
      <w:r w:rsidR="000C1650">
        <w:instrText>ADDIN CSL_CITATION {"citationItems":[{"id":"ITEM-1","itemData":{"DOI":"10.1038/nrm2632","ISBN":"1471-0080 (Electronic)\\r1471-0072 (Linking)","ISSN":"14710072","PMID":"19165215","abstract":"Small RNAs of 20-30 nucleotides can target both chromatin and transcripts, and thereby keep both the genome and the transcriptome under extensive surveillance. Recent progress in high-throughput sequencing has uncovered an astounding landscape of small RNAs in eukaryotic cells. Various small RNAs of distinctive characteristics have been found and can be classified into three classes based on their biogenesis mechanism and the type of Argonaute protein that they are associated with: microRNAs (miRNAs), endogenous small interfering RNAs (endo-siRNAs or esiRNAs) and Piwi-interacting RNAs (piRNAs). This Review summarizes our current knowledge of how these intriguing molecules are generated in animal cells.","author":[{"dropping-particle":"","family":"Kim","given":"V. Narry","non-dropping-particle":"","parse-names":false,"suffix":""},{"dropping-particle":"","family":"Han","given":"Jinju","non-dropping-particle":"","parse-names":false,"suffix":""},{"dropping-particle":"","family":"Siomi","given":"Mikiko C.","non-dropping-particle":"","parse-names":false,"suffix":""}],"container-title":"Nature Reviews Molecular Cell Biology","id":"ITEM-1","issue":"2","issued":{"date-parts":[["2009"]]},"page":"126-139","title":"Biogenesis of small RNAs in animals","type":"article-journal","volume":"10"},"uris":["http://www.mendeley.com/documents/?uuid=089498b0-6a0e-4fce-bc51-6ec49333694c"]}],"mendeley":{"formattedCitation":"(Kim, Han and Siomi, 2009)","plainTextFormattedCitation":"(Kim, Han and Siomi, 2009)","previouslyFormattedCitation":"(Kim, Han and Siomi, 2009)"},"properties":{"noteIndex":0},"schema":"https://github.com/citation-style-language/schema/raw/master/csl-citation.json"}</w:instrText>
      </w:r>
      <w:r w:rsidR="005C0E76">
        <w:fldChar w:fldCharType="separate"/>
      </w:r>
      <w:r w:rsidR="00F765EE" w:rsidRPr="00F765EE">
        <w:rPr>
          <w:noProof/>
        </w:rPr>
        <w:t>(Kim, Han and Siomi, 2009)</w:t>
      </w:r>
      <w:r w:rsidR="005C0E76">
        <w:fldChar w:fldCharType="end"/>
      </w:r>
      <w:r w:rsidR="00F765EE">
        <w:t>.</w:t>
      </w:r>
      <w:r w:rsidR="008612BD">
        <w:t xml:space="preserve"> </w:t>
      </w:r>
      <w:r w:rsidR="00F765EE">
        <w:t xml:space="preserve"> Different variants </w:t>
      </w:r>
      <w:r w:rsidR="00F765EE" w:rsidRPr="00D6722B">
        <w:t>of the pathway have evolved for sub-specialisms (see below).</w:t>
      </w:r>
    </w:p>
    <w:p w:rsidR="00E46AF1" w:rsidRPr="00D6722B" w:rsidRDefault="00F765EE" w:rsidP="000441D9">
      <w:pPr>
        <w:spacing w:line="360" w:lineRule="auto"/>
        <w:ind w:firstLine="284"/>
      </w:pPr>
      <w:r w:rsidRPr="00D6722B">
        <w:t>Focussing on the gene regulatory and antiviral pathways, i</w:t>
      </w:r>
      <w:r w:rsidR="00E46AF1" w:rsidRPr="00D6722B">
        <w:t xml:space="preserve">t was not originally clear that dsRNA was required for robust RNAi to occur. Initially it was considered that single stranded (ss) antisense RNA simply blocked the action of endogenous RNA by Watson-Crick base pairing to the endogenous RNA, thus blocking the action of the translational machinery </w:t>
      </w:r>
      <w:r w:rsidR="005C0E76" w:rsidRPr="00D6722B">
        <w:fldChar w:fldCharType="begin" w:fldLock="1"/>
      </w:r>
      <w:r w:rsidR="00E46AF1" w:rsidRPr="00D6722B">
        <w:instrText>ADDIN CSL_CITATION {"citationItems":[{"id":"ITEM-1","itemData":{"DOI":"10.1038/35888","ISSN":"0028-0836","PMID":"9486653","abstract":"Experimental introduction of RNA into cells can be used in certain biological systems to interfere with the function of an endogenous gene. Such effects have been proposed to result from a simple antisense mechanism that depends on hybridization between the injected RNA and endogenous messenger RNA transcripts. RNA interference has been used in the nematode Caenorhabditis elegans to manipulate gene expression. Here we investigate the requirements for structure and delivery of the interfering RNA. To our surprise, we found that double-stranded RNA was substantially more effective at producing interference than was either strand individually. After injection into adult animals, purified single strands had at most a modest effect, whereas double-stranded mixtures caused potent and specific interference. The effects of this interference were evident in both the injected animals and their progeny. Only a few molecules of injected double-stranded RNA were required per affected cell, arguing against stochiometric interference with endogenous mRNA and suggesting that there could be a catalytic or amplification component in the interference process.","author":[{"dropping-particle":"","family":"Fire","given":"Andrew","non-dropping-particle":"","parse-names":false,"suffix":""},{"dropping-particle":"","family":"Xu","given":"SiQun","non-dropping-particle":"","parse-names":false,"suffix":""},{"dropping-particle":"","family":"Montgomery","given":"Mary K.","non-dropping-particle":"","parse-names":false,"suffix":""},{"dropping-particle":"","family":"Kostas","given":"Steven A.","non-dropping-particle":"","parse-names":false,"suffix":""},{"dropping-particle":"","family":"Driver","given":"Samuel E.","non-dropping-particle":"","parse-names":false,"suffix":""},{"dropping-particle":"","family":"Mello","given":"Craig C.","non-dropping-particle":"","parse-names":false,"suffix":""}],"container-title":"Nature","id":"ITEM-1","issue":"6669","issued":{"date-parts":[["1998","2","19"]]},"page":"806-811","title":"Potent and specific genetic interference by double-stranded RNA in Caenorhabditis elegans","type":"article-journal","volume":"391"},"uris":["http://www.mendeley.com/documents/?uuid=a76f935f-75d8-387c-88fe-7b78b37fa5b2"]}],"mendeley":{"formattedCitation":"(Fire &lt;i&gt;et al.&lt;/i&gt;, 1998)","plainTextFormattedCitation":"(Fire et al., 1998)","previouslyFormattedCitation":"(Fire &lt;i&gt;et al.&lt;/i&gt;, 1998)"},"properties":{"noteIndex":0},"schema":"https://github.com/citation-style-language/schema/raw/master/csl-citation.json"}</w:instrText>
      </w:r>
      <w:r w:rsidR="005C0E76" w:rsidRPr="00D6722B">
        <w:fldChar w:fldCharType="separate"/>
      </w:r>
      <w:r w:rsidR="00E46AF1" w:rsidRPr="00D6722B">
        <w:rPr>
          <w:noProof/>
        </w:rPr>
        <w:t xml:space="preserve">(Fire </w:t>
      </w:r>
      <w:r w:rsidR="00E46AF1" w:rsidRPr="00D6722B">
        <w:rPr>
          <w:i/>
          <w:noProof/>
        </w:rPr>
        <w:t>et al.</w:t>
      </w:r>
      <w:r w:rsidR="00E46AF1" w:rsidRPr="00D6722B">
        <w:rPr>
          <w:noProof/>
        </w:rPr>
        <w:t>, 1998)</w:t>
      </w:r>
      <w:r w:rsidR="005C0E76" w:rsidRPr="00D6722B">
        <w:fldChar w:fldCharType="end"/>
      </w:r>
      <w:r w:rsidR="00E46AF1" w:rsidRPr="00D6722B">
        <w:t xml:space="preserve">, and single stranded preparations of both sense and antisense RNA were indeed found to produce moderate interference </w:t>
      </w:r>
      <w:r w:rsidR="005C0E76" w:rsidRPr="00D6722B">
        <w:fldChar w:fldCharType="begin" w:fldLock="1"/>
      </w:r>
      <w:r w:rsidR="00E46AF1" w:rsidRPr="00D6722B">
        <w:instrText>ADDIN CSL_CITATION {"citationItems":[{"id":"ITEM-1","itemData":{"ISSN":"0950-1991","PMID":"1782862","abstract":"We have used an antisense strategy to effectively disrupt the expression of two genes encoding myofilament proteins present in C. elegans body wall muscles. DNA segments from the unc-22 and unc-54 genes have been placed in reverse orientation in vectors designed to produce RNA in body wall muscles. When the resulting plasmids are injected into oocytes, progeny with defects in muscle function are produced. These animals have phenotypes consistent with reduction and/or elimination of function of the gene to which antisense RNA has been produced: twitching and disorganization of muscle filaments for the unc-22 antisense constructs and lack of muscle tone, slow movement, and egg laying defects for the unc-54 antisense constructs. A fraction of the affected animals transmit the defective-muscle trait to subsequent generations. In these cases the transforming DNA is present at high copy number and cosegregates with the observed muscle defects. We have examined several of the unc-22 antisense plasmid transformed lines to determine the mechanistic basis for the observed phenotypes. The RNA product of the endogenous unc-22 locus is present at normal levels and this RNA is properly spliced in the region homologous to the antisense RNA. No evidence for modification of this RNA by deamination of adenosine to inosine was found. In affected animals the level of protein product from the endogenous unc-22 locus is greatly reduced. Antisense RNA produced from the transforming DNA was detected and was much more abundant than 'sense' RNA from the endogenous locus. These data suggest that the observed phenotypes result from interference with a late step in gene expression, such as transport into the cytoplasm or translation.","author":[{"dropping-particle":"","family":"Fire","given":"A","non-dropping-particle":"","parse-names":false,"suffix":""},{"dropping-particle":"","family":"Albertson","given":"D","non-dropping-particle":"","parse-names":false,"suffix":""},{"dropping-particle":"","family":"Harrison","given":"S W","non-dropping-particle":"","parse-names":false,"suffix":""},{"dropping-particle":"","family":"Moerman","given":"D G","non-dropping-particle":"","parse-names":false,"suffix":""}],"container-title":"Development (Cambridge, England)","id":"ITEM-1","issue":"2","issued":{"date-parts":[["1991","10"]]},"page":"503-14","title":"Production of antisense RNA leads to effective and specific inhibition of gene expression in C. elegans muscle.","type":"article-journal","volume":"113"},"uris":["http://www.mendeley.com/documents/?uuid=d5c9a60d-a30b-346d-8492-b81a469a1d5a"]},{"id":"ITEM-2","itemData":{"DOI":"10.1016/0092-8674(95)90082-9","ISSN":"00928674","PMID":"7758115","abstract":"The first cleavage of C. elegans is asymmetric, generating daughter cells with different sizes, cytoplasmic components, and fates. Mutations in the par-1 gene disrupt this asymmetry. We report here that par-1 encodes a putative Ser/Thr kinase with similarity to kinases from yeasts and mammals. Two strong alleles have mutations in the kinase domain, suggesting that kinase activity is essential for par-1 function. PAR-1 protein is localized to the posterior periphery of the zygote and is distributed in a polar fashion preceding the asymmetric divisions of the germline lineage. Because PAR-1 distribution in the germline correlates with the distribution of germline-specific P granules, it is possible that PAR-1 functions in germline development as well as in establishing embryonic polarity.","author":[{"dropping-particle":"","family":"Guo","given":"Su","non-dropping-particle":"","parse-names":false,"suffix":""},{"dropping-particle":"","family":"Kemphues","given":"Kenneth J.","non-dropping-particle":"","parse-names":false,"suffix":""}],"container-title":"Cell","id":"ITEM-2","issue":"4","issued":{"date-parts":[["1995","5","19"]]},"page":"611-620","title":"par-1, a gene required for establishing polarity in C. elegans embryos, encodes a putative Ser/Thr kinase that is asymmetrically distributed","type":"article-journal","volume":"81"},"uris":["http://www.mendeley.com/documents/?uuid=47662c25-ce3b-3889-9df3-9001f40c383b"]}],"mendeley":{"formattedCitation":"(Fire &lt;i&gt;et al.&lt;/i&gt;, 1991; Guo and Kemphues, 1995)","plainTextFormattedCitation":"(Fire et al., 1991; Guo and Kemphues, 1995)","previouslyFormattedCitation":"(Fire &lt;i&gt;et al.&lt;/i&gt;, 1991; Guo and Kemphues, 1995)"},"properties":{"noteIndex":0},"schema":"https://github.com/citation-style-language/schema/raw/master/csl-citation.json"}</w:instrText>
      </w:r>
      <w:r w:rsidR="005C0E76" w:rsidRPr="00D6722B">
        <w:fldChar w:fldCharType="separate"/>
      </w:r>
      <w:r w:rsidR="00E46AF1" w:rsidRPr="00D6722B">
        <w:rPr>
          <w:noProof/>
        </w:rPr>
        <w:t xml:space="preserve">(Fire </w:t>
      </w:r>
      <w:r w:rsidR="00E46AF1" w:rsidRPr="00D6722B">
        <w:rPr>
          <w:i/>
          <w:noProof/>
        </w:rPr>
        <w:t>et al.</w:t>
      </w:r>
      <w:r w:rsidR="00E46AF1" w:rsidRPr="00D6722B">
        <w:rPr>
          <w:noProof/>
        </w:rPr>
        <w:t>, 1991; Guo and Kemphues, 1995)</w:t>
      </w:r>
      <w:r w:rsidR="005C0E76" w:rsidRPr="00D6722B">
        <w:fldChar w:fldCharType="end"/>
      </w:r>
      <w:r w:rsidR="00E46AF1" w:rsidRPr="00D6722B">
        <w:t xml:space="preserve">. Investigations were also conducted into the effect of sense-antisense mixtures, which produced interference of two or more orders of magnitude greater than single strand preparations alone. It was hypothesised that a sense-antisense mixture might form dsRNA, and this was confirmed by electrophoresis </w:t>
      </w:r>
      <w:r w:rsidR="005C0E76" w:rsidRPr="00D6722B">
        <w:fldChar w:fldCharType="begin" w:fldLock="1"/>
      </w:r>
      <w:r w:rsidR="00E46AF1" w:rsidRPr="00D6722B">
        <w:instrText>ADDIN CSL_CITATION {"citationItems":[{"id":"ITEM-1","itemData":{"DOI":"10.1038/35888","ISSN":"0028-0836","PMID":"9486653","abstract":"Experimental introduction of RNA into cells can be used in certain biological systems to interfere with the function of an endogenous gene. Such effects have been proposed to result from a simple antisense mechanism that depends on hybridization between the injected RNA and endogenous messenger RNA transcripts. RNA interference has been used in the nematode Caenorhabditis elegans to manipulate gene expression. Here we investigate the requirements for structure and delivery of the interfering RNA. To our surprise, we found that double-stranded RNA was substantially more effective at producing interference than was either strand individually. After injection into adult animals, purified single strands had at most a modest effect, whereas double-stranded mixtures caused potent and specific interference. The effects of this interference were evident in both the injected animals and their progeny. Only a few molecules of injected double-stranded RNA were required per affected cell, arguing against stochiometric interference with endogenous mRNA and suggesting that there could be a catalytic or amplification component in the interference process.","author":[{"dropping-particle":"","family":"Fire","given":"Andrew","non-dropping-particle":"","parse-names":false,"suffix":""},{"dropping-particle":"","family":"Xu","given":"SiQun","non-dropping-particle":"","parse-names":false,"suffix":""},{"dropping-particle":"","family":"Montgomery","given":"Mary K.","non-dropping-particle":"","parse-names":false,"suffix":""},{"dropping-particle":"","family":"Kostas","given":"Steven A.","non-dropping-particle":"","parse-names":false,"suffix":""},{"dropping-particle":"","family":"Driver","given":"Samuel E.","non-dropping-particle":"","parse-names":false,"suffix":""},{"dropping-particle":"","family":"Mello","given":"Craig C.","non-dropping-particle":"","parse-names":false,"suffix":""}],"container-title":"Nature","id":"ITEM-1","issue":"6669","issued":{"date-parts":[["1998","2","19"]]},"page":"806-811","title":"Potent and specific genetic interference by double-stranded RNA in Caenorhabditis elegans","type":"article-journal","volume":"391"},"uris":["http://www.mendeley.com/documents/?uuid=a76f935f-75d8-387c-88fe-7b78b37fa5b2"]}],"mendeley":{"formattedCitation":"(Fire &lt;i&gt;et al.&lt;/i&gt;, 1998)","plainTextFormattedCitation":"(Fire et al., 1998)","previouslyFormattedCitation":"(Fire &lt;i&gt;et al.&lt;/i&gt;, 1998)"},"properties":{"noteIndex":0},"schema":"https://github.com/citation-style-language/schema/raw/master/csl-citation.json"}</w:instrText>
      </w:r>
      <w:r w:rsidR="005C0E76" w:rsidRPr="00D6722B">
        <w:fldChar w:fldCharType="separate"/>
      </w:r>
      <w:r w:rsidR="00E46AF1" w:rsidRPr="00D6722B">
        <w:rPr>
          <w:noProof/>
        </w:rPr>
        <w:t xml:space="preserve">(Fire </w:t>
      </w:r>
      <w:r w:rsidR="00E46AF1" w:rsidRPr="00D6722B">
        <w:rPr>
          <w:i/>
          <w:noProof/>
        </w:rPr>
        <w:t>et al.</w:t>
      </w:r>
      <w:r w:rsidR="00E46AF1" w:rsidRPr="00D6722B">
        <w:rPr>
          <w:noProof/>
        </w:rPr>
        <w:t>, 1998)</w:t>
      </w:r>
      <w:r w:rsidR="005C0E76" w:rsidRPr="00D6722B">
        <w:fldChar w:fldCharType="end"/>
      </w:r>
      <w:r w:rsidR="00E46AF1" w:rsidRPr="00D6722B">
        <w:t xml:space="preserve">. It was later established </w:t>
      </w:r>
      <w:r w:rsidR="00E46AF1" w:rsidRPr="00D6722B">
        <w:lastRenderedPageBreak/>
        <w:t xml:space="preserve">that single stranded RNA (ssRNA) does in fact regulate </w:t>
      </w:r>
      <w:r w:rsidR="00C44B4D" w:rsidRPr="00D6722B">
        <w:t>transcription</w:t>
      </w:r>
      <w:r w:rsidR="009E3FE2" w:rsidRPr="00D6722B">
        <w:t xml:space="preserve"> as only one strand of the dsRNA forms the final </w:t>
      </w:r>
      <w:r w:rsidR="007D05E7" w:rsidRPr="00D6722B">
        <w:t>RNA-induced silencing complex</w:t>
      </w:r>
      <w:r w:rsidR="007D05E7">
        <w:t xml:space="preserve"> (</w:t>
      </w:r>
      <w:r w:rsidR="009E3FE2" w:rsidRPr="00D6722B">
        <w:t>RISC</w:t>
      </w:r>
      <w:r w:rsidR="007D05E7">
        <w:t>)</w:t>
      </w:r>
      <w:r w:rsidR="00E46AF1" w:rsidRPr="00D6722B">
        <w:t>, however dsRNA allow</w:t>
      </w:r>
      <w:r w:rsidR="009E3FE2" w:rsidRPr="00D6722B">
        <w:t>s</w:t>
      </w:r>
      <w:r w:rsidR="00E46AF1" w:rsidRPr="00D6722B">
        <w:t xml:space="preserve"> cellular RNAi machinery to produce a more robust silencing effect than ssRNA precursors </w:t>
      </w:r>
      <w:r w:rsidR="005C0E76" w:rsidRPr="00D6722B">
        <w:fldChar w:fldCharType="begin" w:fldLock="1"/>
      </w:r>
      <w:r w:rsidR="00E46AF1" w:rsidRPr="00D6722B">
        <w:instrText>ADDIN CSL_CITATION {"citationItems":[{"id":"ITEM-1","itemData":{"author":[{"dropping-particle":"","family":"Russell","given":"P.J.","non-dropping-particle":"","parse-names":false,"suffix":""}],"edition":"Third Edition","id":"ITEM-1","issued":{"date-parts":[["2010"]]},"publisher":"Benjamin Cummings","publisher-place":"San Francisco","title":"iGenetics: A Molecular Approach","type":"book"},"uris":["http://www.mendeley.com/documents/?uuid=6f0d9ea7-f616-325e-abab-4887b4736427"]}],"mendeley":{"formattedCitation":"(Russell, 2010)","plainTextFormattedCitation":"(Russell, 2010)","previouslyFormattedCitation":"(Russell, 2010)"},"properties":{"noteIndex":0},"schema":"https://github.com/citation-style-language/schema/raw/master/csl-citation.json"}</w:instrText>
      </w:r>
      <w:r w:rsidR="005C0E76" w:rsidRPr="00D6722B">
        <w:fldChar w:fldCharType="separate"/>
      </w:r>
      <w:r w:rsidR="00E46AF1" w:rsidRPr="00D6722B">
        <w:rPr>
          <w:noProof/>
        </w:rPr>
        <w:t>(Russell, 2010)</w:t>
      </w:r>
      <w:r w:rsidR="005C0E76" w:rsidRPr="00D6722B">
        <w:fldChar w:fldCharType="end"/>
      </w:r>
      <w:r w:rsidR="00C44B4D" w:rsidRPr="00D6722B">
        <w:t xml:space="preserve"> with the additional complimentary ‘passenger’ strand protecting the targeting ‘guide’ strand</w:t>
      </w:r>
      <w:r w:rsidR="00E46AF1" w:rsidRPr="00D6722B">
        <w:t xml:space="preserve">. </w:t>
      </w:r>
    </w:p>
    <w:p w:rsidR="00E46AF1" w:rsidRPr="00D6722B" w:rsidRDefault="00E46AF1" w:rsidP="000441D9">
      <w:pPr>
        <w:spacing w:line="360" w:lineRule="auto"/>
        <w:ind w:firstLine="284"/>
      </w:pPr>
      <w:r w:rsidRPr="00D6722B">
        <w:t xml:space="preserve">These initial findings suggested a more complex mechanism for RNAi than simple blocking of translational machinery. It was later determined that a complex of proteins termed a RISC is responsible for the sequence-specific nuclease activity which results in the degradation of target mRNA </w:t>
      </w:r>
      <w:r w:rsidR="005C0E76" w:rsidRPr="00D6722B">
        <w:fldChar w:fldCharType="begin" w:fldLock="1"/>
      </w:r>
      <w:r w:rsidRPr="00D6722B">
        <w:instrText>ADDIN CSL_CITATION {"citationItems":[{"id":"ITEM-1","itemData":{"DOI":"10.1038/35005107","ISBN":"0028-0836","ISSN":"0028-0836","PMID":"10749213","abstract":"In a diverse group of organisms that includes Caenorhabditis elegans , Drosophila, planaria, hydra, trypanosomes, fungi and plants, the introduction of double-stranded RNAs inhibits gene expression in a sequence-specific manner1, 2, 3, 4, 5, 6, 7. These responses, called RNA interference or post-transcriptional gene silencing, may provide anti-viral defence, modulate transposition or regulate gene expression1, 6, 8, 9, 10. We have taken a biochemical approach towards elucidating the mechanisms underlying this genetic phenomenon. Here we show that 'loss-of-function' phenotypes can be created in cultured Drosophila cells by transfection with specific double-stranded RNAs. This coincides with a marked reduction in the level of cognate cellular messenger RNAs. Extracts of transfected cells contain a nuclease activity that specifically degrades exogenous transcripts homologous to transfected double-stranded RNA. This enzyme contains an essential RNA component. After partial purification, the sequence-specific nuclease co-fractionates with a discrete, approx25-nucleotide RNA species which may confer specificity to the enzyme through homology to the substrate mRNAs.","author":[{"dropping-particle":"","family":"Hammond","given":"Scott M","non-dropping-particle":"","parse-names":false,"suffix":""},{"dropping-particle":"","family":"Bernstein","given":"Emily","non-dropping-particle":"","parse-names":false,"suffix":""},{"dropping-particle":"","family":"Beach","given":"David","non-dropping-particle":"","parse-names":false,"suffix":""},{"dropping-particle":"","family":"Hannon","given":"Gregory J","non-dropping-particle":"","parse-names":false,"suffix":""}],"container-title":"Nature","id":"ITEM-1","issue":"6775","issued":{"date-parts":[["2000"]]},"page":"293-296","title":"An RNA-directed nuclease mediates post-transcriptional gene silencing in Drosophila cells","type":"article-journal","volume":"404"},"uris":["http://www.mendeley.com/documents/?uuid=3897b7c4-5d69-4d90-af33-e21fe6800164"]}],"mendeley":{"formattedCitation":"(Hammond &lt;i&gt;et al.&lt;/i&gt;, 2000)","plainTextFormattedCitation":"(Hammond et al., 2000)","previouslyFormattedCitation":"(Hammond &lt;i&gt;et al.&lt;/i&gt;, 2000)"},"properties":{"noteIndex":0},"schema":"https://github.com/citation-style-language/schema/raw/master/csl-citation.json"}</w:instrText>
      </w:r>
      <w:r w:rsidR="005C0E76" w:rsidRPr="00D6722B">
        <w:fldChar w:fldCharType="separate"/>
      </w:r>
      <w:r w:rsidRPr="00D6722B">
        <w:rPr>
          <w:noProof/>
        </w:rPr>
        <w:t xml:space="preserve">(Hammond </w:t>
      </w:r>
      <w:r w:rsidRPr="00D6722B">
        <w:rPr>
          <w:i/>
          <w:noProof/>
        </w:rPr>
        <w:t>et al.</w:t>
      </w:r>
      <w:r w:rsidRPr="00D6722B">
        <w:rPr>
          <w:noProof/>
        </w:rPr>
        <w:t>, 2000)</w:t>
      </w:r>
      <w:r w:rsidR="005C0E76" w:rsidRPr="00D6722B">
        <w:fldChar w:fldCharType="end"/>
      </w:r>
      <w:r w:rsidRPr="00D6722B">
        <w:t xml:space="preserve">.  </w:t>
      </w:r>
    </w:p>
    <w:p w:rsidR="00253001" w:rsidRDefault="00253001" w:rsidP="000441D9">
      <w:pPr>
        <w:pStyle w:val="Heading3"/>
        <w:spacing w:line="360" w:lineRule="auto"/>
      </w:pPr>
      <w:bookmarkStart w:id="11" w:name="_Toc35333914"/>
      <w:r>
        <w:t>Mechanism and natural functions of RNAi</w:t>
      </w:r>
      <w:bookmarkEnd w:id="11"/>
    </w:p>
    <w:p w:rsidR="00E46AF1" w:rsidRPr="00D6722B" w:rsidRDefault="00E46AF1" w:rsidP="000441D9">
      <w:pPr>
        <w:spacing w:line="360" w:lineRule="auto"/>
        <w:ind w:firstLine="284"/>
      </w:pPr>
      <w:r w:rsidRPr="00D6722B">
        <w:t>RNAi in eukaryotes is induced by non</w:t>
      </w:r>
      <w:r w:rsidR="00AA56C9" w:rsidRPr="00D6722B">
        <w:t>-</w:t>
      </w:r>
      <w:r w:rsidRPr="00D6722B">
        <w:t xml:space="preserve">coding small regulatory RNAs that are separated into two major categories; micro RNAS (miRNAs) and short </w:t>
      </w:r>
      <w:r w:rsidRPr="00595094">
        <w:t>interfering RNAs (siRNAs)</w:t>
      </w:r>
      <w:r w:rsidR="00BD78E9" w:rsidRPr="00595094">
        <w:t xml:space="preserve"> (see figure</w:t>
      </w:r>
      <w:r w:rsidR="000C5621" w:rsidRPr="00595094">
        <w:t xml:space="preserve"> 1.2</w:t>
      </w:r>
      <w:r w:rsidR="00BD78E9" w:rsidRPr="00595094">
        <w:t>)</w:t>
      </w:r>
      <w:r w:rsidRPr="00595094">
        <w:t>. miRNAs are encoded in the genome and produced from a pri-miRNA precursor in the nucleus prior to being exported to the cytoplasm in order to effect RNAi</w:t>
      </w:r>
      <w:r w:rsidR="004D4132" w:rsidRPr="00595094">
        <w:t xml:space="preserve"> (see figure </w:t>
      </w:r>
      <w:r w:rsidR="000C5621" w:rsidRPr="00595094">
        <w:t>1.2 a</w:t>
      </w:r>
      <w:r w:rsidR="004D4132" w:rsidRPr="00595094">
        <w:t>)</w:t>
      </w:r>
      <w:r w:rsidRPr="00595094">
        <w:t xml:space="preserve">, whereas siRNAs are produced by the processing of longer dsRNAs in the cytoplasm </w:t>
      </w:r>
      <w:r w:rsidR="005C0E76" w:rsidRPr="00595094">
        <w:fldChar w:fldCharType="begin" w:fldLock="1"/>
      </w:r>
      <w:r w:rsidRPr="00595094">
        <w:instrText>ADDIN CSL_CITATION {"citationItems":[{"id":"ITEM-1","itemData":{"DOI":"10.1016/j.addr.2009.05.002","ISBN":"0169-409X","ISSN":"0169409X","PMID":"19427885","abstract":"Over just a single decade, we have witnessed the rapid maturation of the field of RNA interference - the sequence-specific gene silencing mediated by small double-stranded RNAs - directly from its infancy into adulthood. With exciting data currently emerging from first clinical trials, it is now more likely than ever that RNAi drugs will soon provide another potent class of agents in our battle against infectious and genetic diseases. Accelerating this process and adding to RNAi's promise is our steadily expanding arsenal of innovative RNAi-based experimental tools and clinically applicable technologies. This article will critically review a selection of relevant recent advances in RNAi therapeutics, from novel asymmetric or bi-functional siRNA designs, deliberate use of small RNAs to regulate nuclear transcription, engineering of potent adeno-associated viral vectors for shRNA expression, exploitation of endogenous miRNAs to control transgene expression or vector tropism, to elegant attempts to inhibit cellular miRNAs involved in human disease. This review will also present cautionary notes on the potential risks inherent to in vivo RNAi applications, before discussing the latest surprising findings on circulating miRNAs in human body fluids, and concluding with an outlook into the possible future of RNAi as an increasingly powerful biomedical tool. © 2009 Elsevier B.V. All rights reserved.","author":[{"dropping-particle":"","family":"Grimm","given":"Dirk","non-dropping-particle":"","parse-names":false,"suffix":""}],"container-title":"Advanced Drug Delivery Reviews","id":"ITEM-1","issue":"9","issued":{"date-parts":[["2009"]]},"page":"672-703","title":"Small silencing RNAs: State-of-the-art","type":"article-journal","volume":"61"},"uris":["http://www.mendeley.com/documents/?uuid=cbbc2818-2e76-4103-b332-3fcff9ac0f13"]},{"id":"ITEM-2","itemData":{"author":[{"dropping-particle":"","family":"Russell","given":"P.J.","non-dropping-particle":"","parse-names":false,"suffix":""}],"edition":"Third Edition","id":"ITEM-2","issued":{"date-parts":[["2010"]]},"publisher":"Benjamin Cummings","publisher-place":"San Francisco","title":"iGenetics: A Molecular Approach","type":"book"},"uris":["http://www.mendeley.com/documents/?uuid=6f0d9ea7-f616-325e-abab-4887b4736427"]}],"mendeley":{"formattedCitation":"(Grimm, 2009; Russell, 2010)","plainTextFormattedCitation":"(Grimm, 2009; Russell, 2010)","previouslyFormattedCitation":"(Grimm, 2009; Russell, 2010)"},"properties":{"noteIndex":0},"schema":"https://github.com/citation-style-language/schema/raw/master/csl-citation.json"}</w:instrText>
      </w:r>
      <w:r w:rsidR="005C0E76" w:rsidRPr="00595094">
        <w:fldChar w:fldCharType="separate"/>
      </w:r>
      <w:r w:rsidRPr="00595094">
        <w:rPr>
          <w:noProof/>
        </w:rPr>
        <w:t>(Grimm, 2009; Russell, 2010)</w:t>
      </w:r>
      <w:r w:rsidR="005C0E76" w:rsidRPr="00595094">
        <w:fldChar w:fldCharType="end"/>
      </w:r>
      <w:r w:rsidR="004D4132" w:rsidRPr="00595094">
        <w:t xml:space="preserve"> (see </w:t>
      </w:r>
      <w:r w:rsidR="000C5621" w:rsidRPr="00595094">
        <w:t>figure 1.2 b</w:t>
      </w:r>
      <w:r w:rsidR="004D4132" w:rsidRPr="00595094">
        <w:t>)</w:t>
      </w:r>
      <w:r w:rsidRPr="00595094">
        <w:t>. Both miRNAs and siRNAs are around 21-23 nucleotides in length.</w:t>
      </w:r>
      <w:r w:rsidR="00754126" w:rsidRPr="00595094">
        <w:t xml:space="preserve"> The first miRNA </w:t>
      </w:r>
      <w:r w:rsidR="0014686D" w:rsidRPr="00595094">
        <w:t>and its regulatory</w:t>
      </w:r>
      <w:r w:rsidR="0014686D" w:rsidRPr="00D6722B">
        <w:t xml:space="preserve"> function </w:t>
      </w:r>
      <w:r w:rsidR="00754126" w:rsidRPr="00D6722B">
        <w:t>was discovered</w:t>
      </w:r>
      <w:r w:rsidR="0014686D" w:rsidRPr="00D6722B">
        <w:t xml:space="preserve"> long before the RNAi mechanism was understood </w:t>
      </w:r>
      <w:r w:rsidR="005C0E76" w:rsidRPr="00D6722B">
        <w:fldChar w:fldCharType="begin" w:fldLock="1"/>
      </w:r>
      <w:r w:rsidR="00775C7E" w:rsidRPr="00D6722B">
        <w:instrText>ADDIN CSL_CITATION {"citationItems":[{"id":"ITEM-1","itemData":{"DOI":"10.1016/0092-8674(93)90530-4","ISSN":"00928674","PMID":"8252622","abstract":"During C. elegans development, the temporal pattern of many cell lineages is specified by graded activity of the heterochronic gene Lin-14. Here we demonstrate that a temporal gradient in Lin-14 protein is generated posttranscriptionally by multiple elements in the lin-14 3'UTR that are regulated by the heterochronic gene Lin-4. The lin-14 3'UTR is both necessary and sufficient to confer lin-4-mediated posttranscriptional temporal regulation. The function of the lin-14 3'UTR is conserved between C. elegans and C. briggsae. Among the conserved sequences are seven elements that are each complementary to the lin-4 RNAs. A reporter gene bearing three of these elements shows partial temporal gradient activity. These data suggest a molecular mechanism for Lin-14p temporal gradient formation: the lin-4 RNAs base pair to sites in the lin-14 3'UTR to form multiple RNA duplexes that down-regulate lin-14 translation.","author":[{"dropping-particle":"","family":"Wightman","given":"Bruce","non-dropping-particle":"","parse-names":false,"suffix":""},{"dropping-particle":"","family":"Ha","given":"Ilho","non-dropping-particle":"","parse-names":false,"suffix":""},{"dropping-particle":"","family":"Ruvkun","given":"Gary","non-dropping-particle":"","parse-names":false,"suffix":""}],"container-title":"Cell","id":"ITEM-1","issue":"5","issued":{"date-parts":[["1993","12","3"]]},"page":"855-862","title":"Posttranscriptional regulation of the heterochronic gene lin-14 by lin-4 mediates temporal pattern formation in C. elegans","type":"article-journal","volume":"75"},"uris":["http://www.mendeley.com/documents/?uuid=013d3ef5-1463-3264-90f2-9bf00dcb6f78"]},{"id":"ITEM-2","itemData":{"DOI":"10.1016/0092-8674(93)90529-y","ISSN":"0092-8674","PMID":"8252621","abstract":"lin-4 is essential for the normal temporal control of diverse postembryonic developmental events in C. elegans. lin-4 acts by negatively regulating the level of LIN-14 protein, creating a temporal decrease in LIN-14 protein starting in the first larval stage (L1). We have cloned the C. elegans lin-4 locus by chromosomal walking and transformation rescue. We used the C. elegans clone to isolate the gene from three other Caenorhabditis species; all four Caenorhabditis clones functionally rescue the lin-4 null allele of C. elegans. Comparison of the lin-4 genomic sequence from these four species and site-directed mutagenesis of potential open reading frames indicated that lin-4 does not encode a protein. Two small lin-4 transcripts of approximately 22 and 61 nt were identified in C. elegans and found to contain sequences complementary to a repeated sequence element in the 3' untranslated region (UTR) of lin-14 mRNA, suggesting that lin-4 regulates lin-14 translation via an antisense RNA-RNA interaction.","author":[{"dropping-particle":"","family":"Lee","given":"R C","non-dropping-particle":"","parse-names":false,"suffix":""},{"dropping-particle":"","family":"Feinbaum","given":"R L","non-dropping-particle":"","parse-names":false,"suffix":""},{"dropping-particle":"","family":"Ambros","given":"V","non-dropping-particle":"","parse-names":false,"suffix":""}],"container-title":"Cell","id":"ITEM-2","issue":"5","issued":{"date-parts":[["1993","12","3"]]},"page":"843-54","publisher":"Elsevier","title":"The C. elegans heterochronic gene lin-4 encodes small RNAs with antisense complementarity to lin-14.","type":"article-journal","volume":"75"},"uris":["http://www.mendeley.com/documents/?uuid=6b584fe7-6c70-3fb9-8466-48e4b9172501"]}],"mendeley":{"formattedCitation":"(Lee, Feinbaum and Ambros, 1993; Wightman, Ha and Ruvkun, 1993)","plainTextFormattedCitation":"(Lee, Feinbaum and Ambros, 1993; Wightman, Ha and Ruvkun, 1993)","previouslyFormattedCitation":"(Lee, Feinbaum and Ambros, 1993; Wightman, Ha and Ruvkun, 1993)"},"properties":{"noteIndex":0},"schema":"https://github.com/citation-style-language/schema/raw/master/csl-citation.json"}</w:instrText>
      </w:r>
      <w:r w:rsidR="005C0E76" w:rsidRPr="00D6722B">
        <w:fldChar w:fldCharType="separate"/>
      </w:r>
      <w:r w:rsidR="0014686D" w:rsidRPr="00D6722B">
        <w:rPr>
          <w:noProof/>
        </w:rPr>
        <w:t>(Lee, Feinbaum and Ambros, 1993; Wightman, Ha and Ruvkun, 1993)</w:t>
      </w:r>
      <w:r w:rsidR="005C0E76" w:rsidRPr="00D6722B">
        <w:fldChar w:fldCharType="end"/>
      </w:r>
      <w:r w:rsidR="0014686D" w:rsidRPr="00D6722B">
        <w:t>.</w:t>
      </w:r>
    </w:p>
    <w:p w:rsidR="00E46AF1" w:rsidRPr="00D6722B" w:rsidRDefault="00E46AF1" w:rsidP="000441D9">
      <w:pPr>
        <w:spacing w:line="360" w:lineRule="auto"/>
        <w:ind w:firstLine="284"/>
      </w:pPr>
      <w:r w:rsidRPr="00D6722B">
        <w:t xml:space="preserve">miRNAs are initially expressed in 5’ capped and 3’ polyadenylated tail form, with a hairpin structure at one end known as a primary miRNA transcript or pri-miRNA </w:t>
      </w:r>
      <w:r w:rsidR="005C0E76" w:rsidRPr="00D6722B">
        <w:fldChar w:fldCharType="begin" w:fldLock="1"/>
      </w:r>
      <w:r w:rsidRPr="00D6722B">
        <w:instrText>ADDIN CSL_CITATION {"citationItems":[{"id":"ITEM-1","itemData":{"DOI":"10.1101/gad.1262504","ISSN":"0890-9369","PMID":"15574589","abstract":"RNase III proteins play key roles in microRNA (miRNA) biogenesis. The nuclear RNase III Drosha cleaves primary miRNAs (pri-miRNAs) to release hairpin-shaped pre-miRNAs that are subsequently cut by the cytoplasmic RNase III Dicer to generate mature miRNAs. While Dicer (class III) and other simple RNase III proteins (class I) have been studied intensively, the class II enzyme Drosha remains to be characterized. Here we dissected the action mechanism of human Drosha by generating mutants and by characterizing its new interacting partner, DGCR8. The basic action mechanism of Drosha was found to be similar to that of human Dicer; the RNase III domains A and B form an intramolecular dimer and cleave the 3' and 5' strands of the stem, respectively. Human Drosha fractionates at approximately 650 kDa, indicating that Drosha functions as a large complex. In this complex, Drosha interacts with DGCR8, which contains two double-stranded RNA (dsRNA)-binding domains. By RNAi and biochemical reconstitution, we show that DGCR8 may be an essential component of the pri-miRNA processing complex, along with Drosha. Based on these results, we propose a model for the action mechanism of class II RNase III proteins.","author":[{"dropping-particle":"","family":"Han","given":"Jinju","non-dropping-particle":"","parse-names":false,"suffix":""},{"dropping-particle":"","family":"Lee","given":"Yoontae","non-dropping-particle":"","parse-names":false,"suffix":""},{"dropping-particle":"","family":"Yeom","given":"Kyu-Hyun","non-dropping-particle":"","parse-names":false,"suffix":""},{"dropping-particle":"","family":"Kim","given":"Young-Kook","non-dropping-particle":"","parse-names":false,"suffix":""},{"dropping-particle":"","family":"Jin","given":"Hua","non-dropping-particle":"","parse-names":false,"suffix":""},{"dropping-particle":"","family":"Kim","given":"V Narry","non-dropping-particle":"","parse-names":false,"suffix":""}],"container-title":"Genes &amp; development","id":"ITEM-1","issue":"24","issued":{"date-parts":[["2004","12","15"]]},"page":"3016-27","publisher":"Cold Spring Harbor Laboratory Press","title":"The Drosha-DGCR8 complex in primary microRNA processing.","type":"article-journal","volume":"18"},"uris":["http://www.mendeley.com/documents/?uuid=8689e9c8-f358-3692-80a3-37eda6700148"]}],"mendeley":{"formattedCitation":"(Han &lt;i&gt;et al.&lt;/i&gt;, 2004)","plainTextFormattedCitation":"(Han et al., 2004)","previouslyFormattedCitation":"(Han &lt;i&gt;et al.&lt;/i&gt;, 2004)"},"properties":{"noteIndex":0},"schema":"https://github.com/citation-style-language/schema/raw/master/csl-citation.json"}</w:instrText>
      </w:r>
      <w:r w:rsidR="005C0E76" w:rsidRPr="00D6722B">
        <w:fldChar w:fldCharType="separate"/>
      </w:r>
      <w:r w:rsidRPr="00D6722B">
        <w:rPr>
          <w:noProof/>
        </w:rPr>
        <w:t xml:space="preserve">(Han </w:t>
      </w:r>
      <w:r w:rsidRPr="00D6722B">
        <w:rPr>
          <w:i/>
          <w:noProof/>
        </w:rPr>
        <w:t>et al.</w:t>
      </w:r>
      <w:r w:rsidRPr="00D6722B">
        <w:rPr>
          <w:noProof/>
        </w:rPr>
        <w:t>, 2004)</w:t>
      </w:r>
      <w:r w:rsidR="005C0E76" w:rsidRPr="00D6722B">
        <w:fldChar w:fldCharType="end"/>
      </w:r>
      <w:r w:rsidRPr="00D6722B">
        <w:t xml:space="preserve">. The cap and polyadenylated tail are both removed by the endonuclease Drosha and its accessory protein (known as Pasha in </w:t>
      </w:r>
      <w:r w:rsidRPr="00D6722B">
        <w:rPr>
          <w:i/>
        </w:rPr>
        <w:t>Drosophila</w:t>
      </w:r>
      <w:r w:rsidRPr="00D6722B">
        <w:t xml:space="preserve">) </w:t>
      </w:r>
      <w:r w:rsidR="005C0E76" w:rsidRPr="00D6722B">
        <w:fldChar w:fldCharType="begin" w:fldLock="1"/>
      </w:r>
      <w:r w:rsidRPr="00D6722B">
        <w:instrText>ADDIN CSL_CITATION {"citationItems":[{"id":"ITEM-1","itemData":{"DOI":"10.1016/J.CUB.2004.12.057","ISSN":"0960-9822","abstract":"The ribonuclease Drosha requires a dedicated double-stranded RNA binding protein to convert long, nuclear primary microRNA transcripts into shorter pre-microRNA stem–loops, the cytoplasmic precursors from which mature microRNAs are ultimately excised.","author":[{"dropping-particle":"","family":"Tomari","given":"Yukihide","non-dropping-particle":"","parse-names":false,"suffix":""},{"dropping-particle":"","family":"Zamore","given":"Phillip D.","non-dropping-particle":"","parse-names":false,"suffix":""}],"container-title":"Current Biology","id":"ITEM-1","issue":"2","issued":{"date-parts":[["2005","1","26"]]},"page":"R61-R64","publisher":"Cell Press","title":"MicroRNA Biogenesis: Drosha Can't Cut It without a Partner","type":"article-journal","volume":"15"},"uris":["http://www.mendeley.com/documents/?uuid=e6c9085d-681c-3ea3-a875-1f2bcb3380a9"]}],"mendeley":{"formattedCitation":"(Tomari and Zamore, 2005)","plainTextFormattedCitation":"(Tomari and Zamore, 2005)","previouslyFormattedCitation":"(Tomari and Zamore, 2005)"},"properties":{"noteIndex":0},"schema":"https://github.com/citation-style-language/schema/raw/master/csl-citation.json"}</w:instrText>
      </w:r>
      <w:r w:rsidR="005C0E76" w:rsidRPr="00D6722B">
        <w:fldChar w:fldCharType="separate"/>
      </w:r>
      <w:r w:rsidRPr="00D6722B">
        <w:rPr>
          <w:noProof/>
        </w:rPr>
        <w:t>(Tomari and Zamore, 2005)</w:t>
      </w:r>
      <w:r w:rsidR="005C0E76" w:rsidRPr="00D6722B">
        <w:fldChar w:fldCharType="end"/>
      </w:r>
      <w:r w:rsidRPr="00D6722B">
        <w:t xml:space="preserve"> to leave a 3’ overhang of two nucleotides; this construct is known as pre-miRNA. The pre-miRNA is conveyed to the cytoplasm, where the hairpin structure is removed by the </w:t>
      </w:r>
      <w:r w:rsidR="00871DEC" w:rsidRPr="00D6722B">
        <w:t xml:space="preserve">ribonuclease III </w:t>
      </w:r>
      <w:r w:rsidR="004D4132" w:rsidRPr="00D6722B">
        <w:t xml:space="preserve">(RNase III) </w:t>
      </w:r>
      <w:r w:rsidRPr="00D6722B">
        <w:t>enzyme Dicer and its accessory protein (known as Loq</w:t>
      </w:r>
      <w:r w:rsidR="004D4132" w:rsidRPr="00D6722B">
        <w:t>uacious</w:t>
      </w:r>
      <w:r w:rsidRPr="00D6722B">
        <w:t xml:space="preserve"> in </w:t>
      </w:r>
      <w:r w:rsidRPr="00D6722B">
        <w:rPr>
          <w:i/>
        </w:rPr>
        <w:t>Drosophila</w:t>
      </w:r>
      <w:r w:rsidRPr="00D6722B">
        <w:t xml:space="preserve">) to leave miRNA </w:t>
      </w:r>
      <w:r w:rsidR="005C0E76" w:rsidRPr="00D6722B">
        <w:fldChar w:fldCharType="begin" w:fldLock="1"/>
      </w:r>
      <w:r w:rsidRPr="00D6722B">
        <w:instrText>ADDIN CSL_CITATION {"citationItems":[{"id":"ITEM-1","itemData":{"DOI":"10.1016/B978-0-12-404741-9.00002-7","ISBN":"9780124047419","ISSN":"1874-6047","abstract":"In animals and plants, Dicer enzymes collaborate with double-stranded RNA-binding protein partners that change what substrates Dicer uses and where within the substrate they dice. In the fruit fly Drosophila melanogaster, different Dicer enzymes produce microRNAs (miRNAs) and small interfering RNAs (siRNAs): Dicer-1 produces miRNAs from pre-miRNAs, while Dicer-2 generates siRNAs from long double-stranded RNA. Flies produce four Dicer partner proteins—one encoded by the r2d2 locus and three by loquacious (loqs). Alternative splicing of loqs generates Loqs-PA, Loqs-PB, and Loqs-PD. Loqs-PA and Loqs-PB bind to Dicer-1 and assist miRNA biogenesis by increasing substrate affinity or enzyme turnover. Loqs-PB also alters the size of some miRNAs, generating isoforms with seed sequences and target specificities distinct from those that would be made by Dicer-1 alone or Dicer-1 bound to Loqs-PA. Loqs-PD binds Dicer-2, promoting the production of both endogenous and exogenous siRNAs by increasing substrate affinity. In this chapter, we will discuss the diverse functions loqs plays in small silencing RNA pathways.","author":[{"dropping-particle":"","family":"Fukunaga","given":"Ryuya","non-dropping-particle":"","parse-names":false,"suffix":""},{"dropping-particle":"","family":"Zamore","given":"Phillip D.","non-dropping-particle":"","parse-names":false,"suffix":""}],"container-title":"The Enzymes","id":"ITEM-1","issued":{"date-parts":[["2012","1","1"]]},"page":"37-68","publisher":"Academic Press","title":"Loquacious, a Dicer Partner Protein, Functions in Both the MicroRNA and siRNA Pathways","type":"article-journal","volume":"32"},"uris":["http://www.mendeley.com/documents/?uuid=64ada7d7-8d8e-3f02-84bb-f76768b4dbac"]}],"mendeley":{"formattedCitation":"(Fukunaga and Zamore, 2012)","plainTextFormattedCitation":"(Fukunaga and Zamore, 2012)","previouslyFormattedCitation":"(Fukunaga and Zamore, 2012)"},"properties":{"noteIndex":0},"schema":"https://github.com/citation-style-language/schema/raw/master/csl-citation.json"}</w:instrText>
      </w:r>
      <w:r w:rsidR="005C0E76" w:rsidRPr="00D6722B">
        <w:fldChar w:fldCharType="separate"/>
      </w:r>
      <w:r w:rsidRPr="00D6722B">
        <w:rPr>
          <w:noProof/>
        </w:rPr>
        <w:t>(Fukunaga and Zamore, 2012)</w:t>
      </w:r>
      <w:r w:rsidR="005C0E76" w:rsidRPr="00D6722B">
        <w:fldChar w:fldCharType="end"/>
      </w:r>
      <w:r w:rsidRPr="00D6722B">
        <w:t xml:space="preserve">. Long dsRNA </w:t>
      </w:r>
      <w:r w:rsidR="0014686D" w:rsidRPr="00D6722B">
        <w:t>siRNA precursors</w:t>
      </w:r>
      <w:r w:rsidRPr="00D6722B">
        <w:t xml:space="preserve"> may or may not co</w:t>
      </w:r>
      <w:r w:rsidR="0014686D" w:rsidRPr="00D6722B">
        <w:t>ntain a hairpin construct, but are</w:t>
      </w:r>
      <w:r w:rsidRPr="00D6722B">
        <w:t xml:space="preserve"> rendered to an siRNA essentially identical to </w:t>
      </w:r>
      <w:r w:rsidR="00871DEC" w:rsidRPr="00D6722B">
        <w:t>an</w:t>
      </w:r>
      <w:r w:rsidRPr="00D6722B">
        <w:t xml:space="preserve"> miRNA by Dicer and its accessory protein, which remove any hairpin structures present and then divide the dsRNA into siRNAs with 3’ two nucleotide overhangs.</w:t>
      </w:r>
      <w:r w:rsidR="007D05E7">
        <w:t xml:space="preserve"> While the structure of mature siRNAs and miRNAs are essentially identical, a key difference is that miRNAs usually target sequences in 3’ UTRs of mRNAs, whereas</w:t>
      </w:r>
      <w:r w:rsidRPr="00D6722B">
        <w:t xml:space="preserve"> </w:t>
      </w:r>
      <w:r w:rsidR="007D05E7">
        <w:t>siRNAs usually target coding sequences.</w:t>
      </w:r>
    </w:p>
    <w:p w:rsidR="0014686D" w:rsidRDefault="0014686D" w:rsidP="000441D9">
      <w:pPr>
        <w:spacing w:line="360" w:lineRule="auto"/>
        <w:ind w:firstLine="284"/>
      </w:pPr>
      <w:r>
        <w:t xml:space="preserve">A third major variant of the pathway exists involving single stranded Piwi-interacting RNAs or piRNAs, though this is termed RNA silencing rather than RNA interference, and the biogenesis of piRNAs is Dicer-independent </w:t>
      </w:r>
      <w:r w:rsidR="005C0E76">
        <w:fldChar w:fldCharType="begin" w:fldLock="1"/>
      </w:r>
      <w:r>
        <w:instrText>ADDIN CSL_CITATION {"citationItems":[{"id":"ITEM-1","itemData":{"DOI":"10.1126/science.1129333","ISSN":"0036-8075","PMID":"16809489","abstract":"In the Drosophila germline, repeat-associated small interfering RNAs (rasiRNAs) ensure genomic stability by silencing endogenous selfish genetic elements such as retrotransposons and repetitive sequences. Whereas small interfering RNAs (siRNAs) derive from both the sense and antisense strands of their double-stranded RNA precursors, rasiRNAs arise mainly from the antisense strand. rasiRNA production appears not to require Dicer-1, which makes microRNAs (miRNAs), or Dicer-2, which makes siRNAs, and rasiRNAs lack the 2',3' hydroxy termini characteristic of animal siRNA and miRNA. Unlike siRNAs and miRNAs, rasiRNAs function through the Piwi, rather than the Ago, Argonaute protein subfamily. Our data suggest that rasiRNAs protect the fly germline through a silencing mechanism distinct from both the miRNA and RNA interference pathways.","author":[{"dropping-particle":"V.","family":"Vagin","given":"V.","non-dropping-particle":"","parse-names":false,"suffix":""},{"dropping-particle":"","family":"Sigova","given":"Alla","non-dropping-particle":"","parse-names":false,"suffix":""},{"dropping-particle":"","family":"Li","given":"Chengjian","non-dropping-particle":"","parse-names":false,"suffix":""},{"dropping-particle":"","family":"Seitz","given":"Hervé","non-dropping-particle":"","parse-names":false,"suffix":""},{"dropping-particle":"","family":"Gvozdev","given":"Vladimir","non-dropping-particle":"","parse-names":false,"suffix":""},{"dropping-particle":"","family":"Zamore","given":"Phillip D","non-dropping-particle":"","parse-names":false,"suffix":""}],"container-title":"Science","id":"ITEM-1","issue":"5785","issued":{"date-parts":[["2006","7","21"]]},"page":"320-324","title":"A Distinct Small RNA Pathway Silences Selfish Genetic Elements in the Germline","type":"article-journal","volume":"313"},"uris":["http://www.mendeley.com/documents/?uuid=90641afd-15d2-3089-8d59-c2bbe917e100"]}],"mendeley":{"formattedCitation":"(Vagin &lt;i&gt;et al.&lt;/i&gt;, 2006)","plainTextFormattedCitation":"(Vagin et al., 2006)","previouslyFormattedCitation":"(Vagin &lt;i&gt;et al.&lt;/i&gt;, 2006)"},"properties":{"noteIndex":0},"schema":"https://github.com/citation-style-language/schema/raw/master/csl-citation.json"}</w:instrText>
      </w:r>
      <w:r w:rsidR="005C0E76">
        <w:fldChar w:fldCharType="separate"/>
      </w:r>
      <w:r w:rsidRPr="001C6BBE">
        <w:rPr>
          <w:noProof/>
        </w:rPr>
        <w:t xml:space="preserve">(Vagin </w:t>
      </w:r>
      <w:r w:rsidRPr="001C6BBE">
        <w:rPr>
          <w:i/>
          <w:noProof/>
        </w:rPr>
        <w:t>et al.</w:t>
      </w:r>
      <w:r w:rsidRPr="001C6BBE">
        <w:rPr>
          <w:noProof/>
        </w:rPr>
        <w:t>, 2006)</w:t>
      </w:r>
      <w:r w:rsidR="005C0E76">
        <w:fldChar w:fldCharType="end"/>
      </w:r>
      <w:r>
        <w:t xml:space="preserve"> and distinct from siRNAs and miRNAs. piRNAs themselves also have very different in structure from miRNAs and siRNAs, as they are formed from a </w:t>
      </w:r>
      <w:r>
        <w:lastRenderedPageBreak/>
        <w:t xml:space="preserve">26 nucleotide single stranded precursor that is processed into a single stranded 21 nt piRNA with a 2’-O-Me modification at the 3’ end </w:t>
      </w:r>
      <w:r w:rsidR="005C0E76">
        <w:fldChar w:fldCharType="begin" w:fldLock="1"/>
      </w:r>
      <w:r>
        <w:instrText>ADDIN CSL_CITATION {"citationItems":[{"id":"ITEM-1","itemData":{"DOI":"10.1016/j.str.2010.11.015","ISSN":"09692126","PMID":"21237665","abstract":"Piwi proteins are germline-specific Argonautes that associate with small RNAs called Piwi-interacting RNAs (piRNAs), and together with these RNAs are implicated in transposon silencing. The PAZ domain of Argonaute proteins recognizes the 3'-end of the RNA, which in the case of piRNAs is invariably modified with a 2'-O-methyl group. Here, we present the solution structure of the PAZ domain from the mouse Piwi protein, MIWI, in complex with an 8-mer piRNA mimic. The methyl group is positioned in a hydrophobic cavity made of conserved amino acids from strand β7 and helix α3, where it is contacted by the side chain of methionine-382. Our structure is similar to that of Ago-PAZ, but subtle differences illustrate how the PAZ domain has evolved to accommodate distinct 3' ends from a variety of RNA substrates.","author":[{"dropping-particle":"","family":"Simon","given":"Bernd","non-dropping-particle":"","parse-names":false,"suffix":""},{"dropping-particle":"","family":"Kirkpatrick","given":"John P.","non-dropping-particle":"","parse-names":false,"suffix":""},{"dropping-particle":"","family":"Eckhardt","given":"Stephanie","non-dropping-particle":"","parse-names":false,"suffix":""},{"dropping-particle":"","family":"Reuter","given":"Michael","non-dropping-particle":"","parse-names":false,"suffix":""},{"dropping-particle":"","family":"Rocha","given":"Elsa A.","non-dropping-particle":"","parse-names":false,"suffix":""},{"dropping-particle":"","family":"Andrade-Navarro","given":"Miguel A.","non-dropping-particle":"","parse-names":false,"suffix":""},{"dropping-particle":"","family":"Sehr","given":"Peter","non-dropping-particle":"","parse-names":false,"suffix":""},{"dropping-particle":"","family":"Pillai","given":"Ramesh S.","non-dropping-particle":"","parse-names":false,"suffix":""},{"dropping-particle":"","family":"Carlomagno","given":"Teresa","non-dropping-particle":"","parse-names":false,"suffix":""}],"container-title":"Structure","id":"ITEM-1","issue":"2","issued":{"date-parts":[["2011","2","9"]]},"page":"172-180","title":"Recognition of 2′-O-Methylated 3′-End of piRNA by the PAZ Domain of a Piwi Protein","type":"article-journal","volume":"19"},"uris":["http://www.mendeley.com/documents/?uuid=d9c03c7f-61af-3692-935f-2fd6bd771ca5"]}],"mendeley":{"formattedCitation":"(Simon &lt;i&gt;et al.&lt;/i&gt;, 2011)","plainTextFormattedCitation":"(Simon et al., 2011)","previouslyFormattedCitation":"(Simon &lt;i&gt;et al.&lt;/i&gt;, 2011)"},"properties":{"noteIndex":0},"schema":"https://github.com/citation-style-language/schema/raw/master/csl-citation.json"}</w:instrText>
      </w:r>
      <w:r w:rsidR="005C0E76">
        <w:fldChar w:fldCharType="separate"/>
      </w:r>
      <w:r w:rsidRPr="001C6BBE">
        <w:rPr>
          <w:noProof/>
        </w:rPr>
        <w:t xml:space="preserve">(Simon </w:t>
      </w:r>
      <w:r w:rsidRPr="001C6BBE">
        <w:rPr>
          <w:i/>
          <w:noProof/>
        </w:rPr>
        <w:t>et al.</w:t>
      </w:r>
      <w:r w:rsidRPr="001C6BBE">
        <w:rPr>
          <w:noProof/>
        </w:rPr>
        <w:t>, 2011)</w:t>
      </w:r>
      <w:r w:rsidR="005C0E76">
        <w:fldChar w:fldCharType="end"/>
      </w:r>
      <w:r>
        <w:t>. Further consideration of the piRNA pathway is beyond the scope of the project.</w:t>
      </w:r>
    </w:p>
    <w:p w:rsidR="000C5621" w:rsidRDefault="00940A22" w:rsidP="000C5621">
      <w:pPr>
        <w:keepNext/>
        <w:spacing w:after="200"/>
        <w:jc w:val="left"/>
      </w:pPr>
      <w:r w:rsidRPr="00940A22">
        <w:rPr>
          <w:noProof/>
          <w:lang w:eastAsia="en-GB"/>
        </w:rPr>
        <w:drawing>
          <wp:inline distT="0" distB="0" distL="0" distR="0">
            <wp:extent cx="5731510" cy="3858972"/>
            <wp:effectExtent l="0" t="0" r="0" b="0"/>
            <wp:docPr id="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2241360" cy="8242594"/>
                      <a:chOff x="-563996" y="604156"/>
                      <a:chExt cx="12241360" cy="8242594"/>
                    </a:xfrm>
                  </a:grpSpPr>
                  <a:grpSp>
                    <a:nvGrpSpPr>
                      <a:cNvPr id="555" name="Group 554"/>
                      <a:cNvGrpSpPr/>
                    </a:nvGrpSpPr>
                    <a:grpSpPr>
                      <a:xfrm>
                        <a:off x="-563996" y="604156"/>
                        <a:ext cx="12241360" cy="8172908"/>
                        <a:chOff x="-563996" y="604156"/>
                        <a:chExt cx="12241360" cy="8172908"/>
                      </a:xfrm>
                    </a:grpSpPr>
                    <a:grpSp>
                      <a:nvGrpSpPr>
                        <a:cNvPr id="3" name="Group 553"/>
                        <a:cNvGrpSpPr/>
                      </a:nvGrpSpPr>
                      <a:grpSpPr>
                        <a:xfrm>
                          <a:off x="-563996" y="604156"/>
                          <a:ext cx="12241360" cy="8172908"/>
                          <a:chOff x="-563996" y="604156"/>
                          <a:chExt cx="12241360" cy="8172908"/>
                        </a:xfrm>
                      </a:grpSpPr>
                      <a:grpSp>
                        <a:nvGrpSpPr>
                          <a:cNvPr id="5" name="Group 3"/>
                          <a:cNvGrpSpPr/>
                        </a:nvGrpSpPr>
                        <a:grpSpPr>
                          <a:xfrm>
                            <a:off x="5484676" y="3454279"/>
                            <a:ext cx="6192688" cy="5322785"/>
                            <a:chOff x="2136304" y="2266147"/>
                            <a:chExt cx="6192688" cy="5322785"/>
                          </a:xfrm>
                        </a:grpSpPr>
                        <a:grpSp>
                          <a:nvGrpSpPr>
                            <a:cNvPr id="260" name="Group 340"/>
                            <a:cNvGrpSpPr/>
                          </a:nvGrpSpPr>
                          <a:grpSpPr>
                            <a:xfrm>
                              <a:off x="2136304" y="2266147"/>
                              <a:ext cx="6192688" cy="5322785"/>
                              <a:chOff x="2136304" y="2266147"/>
                              <a:chExt cx="6192688" cy="5322785"/>
                            </a:xfrm>
                          </a:grpSpPr>
                          <a:grpSp>
                            <a:nvGrpSpPr>
                              <a:cNvPr id="262" name="Group 257"/>
                              <a:cNvGrpSpPr>
                                <a:grpSpLocks noChangeAspect="1"/>
                              </a:cNvGrpSpPr>
                            </a:nvGrpSpPr>
                            <a:grpSpPr>
                              <a:xfrm>
                                <a:off x="3216424" y="2296344"/>
                                <a:ext cx="3194703" cy="169433"/>
                                <a:chOff x="1295401" y="1217062"/>
                                <a:chExt cx="6389406" cy="338865"/>
                              </a:xfrm>
                            </a:grpSpPr>
                            <a:cxnSp>
                              <a:nvCxnSpPr>
                                <a:cNvPr id="251" name="Straight Connector 5"/>
                                <a:cNvCxnSpPr/>
                              </a:nvCxnSpPr>
                              <a:spPr>
                                <a:xfrm>
                                  <a:off x="1295401" y="1234867"/>
                                  <a:ext cx="32004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2" name="Straight Connector 6"/>
                                <a:cNvCxnSpPr/>
                              </a:nvCxnSpPr>
                              <a:spPr>
                                <a:xfrm flipV="1">
                                  <a:off x="1295401" y="1540260"/>
                                  <a:ext cx="3200400" cy="15667"/>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3" name="Straight Connector 7"/>
                                <a:cNvCxnSpPr/>
                              </a:nvCxnSpPr>
                              <a:spPr>
                                <a:xfrm>
                                  <a:off x="13716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4" name="Straight Connector 8"/>
                                <a:cNvCxnSpPr/>
                              </a:nvCxnSpPr>
                              <a:spPr>
                                <a:xfrm>
                                  <a:off x="15240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5" name="Straight Connector 9"/>
                                <a:cNvCxnSpPr/>
                              </a:nvCxnSpPr>
                              <a:spPr>
                                <a:xfrm>
                                  <a:off x="1674265" y="125053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6" name="Straight Connector 10"/>
                                <a:cNvCxnSpPr/>
                              </a:nvCxnSpPr>
                              <a:spPr>
                                <a:xfrm>
                                  <a:off x="1828801" y="125053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7" name="Straight Connector 11"/>
                                <a:cNvCxnSpPr/>
                              </a:nvCxnSpPr>
                              <a:spPr>
                                <a:xfrm>
                                  <a:off x="1980489"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8" name="Straight Connector 12"/>
                                <a:cNvCxnSpPr/>
                              </a:nvCxnSpPr>
                              <a:spPr>
                                <a:xfrm>
                                  <a:off x="2132889"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9" name="Straight Connector 13"/>
                                <a:cNvCxnSpPr/>
                              </a:nvCxnSpPr>
                              <a:spPr>
                                <a:xfrm>
                                  <a:off x="2285289"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1" name="Straight Connector 14"/>
                                <a:cNvCxnSpPr/>
                              </a:nvCxnSpPr>
                              <a:spPr>
                                <a:xfrm>
                                  <a:off x="24384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1" name="Straight Connector 15"/>
                                <a:cNvCxnSpPr/>
                              </a:nvCxnSpPr>
                              <a:spPr>
                                <a:xfrm>
                                  <a:off x="25908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3" name="Straight Connector 16"/>
                                <a:cNvCxnSpPr/>
                              </a:nvCxnSpPr>
                              <a:spPr>
                                <a:xfrm>
                                  <a:off x="2740353"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4" name="Straight Connector 17"/>
                                <a:cNvCxnSpPr/>
                              </a:nvCxnSpPr>
                              <a:spPr>
                                <a:xfrm>
                                  <a:off x="2894889"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6" name="Straight Connector 18"/>
                                <a:cNvCxnSpPr/>
                              </a:nvCxnSpPr>
                              <a:spPr>
                                <a:xfrm>
                                  <a:off x="3047289"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7" name="Straight Connector 19"/>
                                <a:cNvCxnSpPr/>
                              </a:nvCxnSpPr>
                              <a:spPr>
                                <a:xfrm>
                                  <a:off x="3199689"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1" name="Straight Connector 20"/>
                                <a:cNvCxnSpPr/>
                              </a:nvCxnSpPr>
                              <a:spPr>
                                <a:xfrm>
                                  <a:off x="3352089" y="1226321"/>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2" name="Straight Connector 21"/>
                                <a:cNvCxnSpPr/>
                              </a:nvCxnSpPr>
                              <a:spPr>
                                <a:xfrm>
                                  <a:off x="3505201" y="1219200"/>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3" name="Straight Connector 22"/>
                                <a:cNvCxnSpPr/>
                              </a:nvCxnSpPr>
                              <a:spPr>
                                <a:xfrm>
                                  <a:off x="3657601" y="1219200"/>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6" name="Straight Connector 23"/>
                                <a:cNvCxnSpPr/>
                              </a:nvCxnSpPr>
                              <a:spPr>
                                <a:xfrm>
                                  <a:off x="3807865"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7" name="Straight Connector 24"/>
                                <a:cNvCxnSpPr/>
                              </a:nvCxnSpPr>
                              <a:spPr>
                                <a:xfrm>
                                  <a:off x="39624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8" name="Straight Connector 25"/>
                                <a:cNvCxnSpPr/>
                              </a:nvCxnSpPr>
                              <a:spPr>
                                <a:xfrm>
                                  <a:off x="41148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9" name="Straight Connector 26"/>
                                <a:cNvCxnSpPr/>
                              </a:nvCxnSpPr>
                              <a:spPr>
                                <a:xfrm>
                                  <a:off x="42672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1" name="Straight Connector 27"/>
                                <a:cNvCxnSpPr/>
                              </a:nvCxnSpPr>
                              <a:spPr>
                                <a:xfrm>
                                  <a:off x="4419601" y="123486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2" name="Straight Connector 28"/>
                                <a:cNvCxnSpPr/>
                              </a:nvCxnSpPr>
                              <a:spPr>
                                <a:xfrm>
                                  <a:off x="4484407" y="1234867"/>
                                  <a:ext cx="32004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3" name="Straight Connector 29"/>
                                <a:cNvCxnSpPr/>
                              </a:nvCxnSpPr>
                              <a:spPr>
                                <a:xfrm flipV="1">
                                  <a:off x="4484407" y="1524593"/>
                                  <a:ext cx="3200400" cy="15667"/>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4" name="Straight Connector 30"/>
                                <a:cNvCxnSpPr/>
                              </a:nvCxnSpPr>
                              <a:spPr>
                                <a:xfrm>
                                  <a:off x="45606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6" name="Straight Connector 31"/>
                                <a:cNvCxnSpPr/>
                              </a:nvCxnSpPr>
                              <a:spPr>
                                <a:xfrm>
                                  <a:off x="47130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7" name="Straight Connector 32"/>
                                <a:cNvCxnSpPr/>
                              </a:nvCxnSpPr>
                              <a:spPr>
                                <a:xfrm>
                                  <a:off x="4863271" y="1232729"/>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8" name="Straight Connector 33"/>
                                <a:cNvCxnSpPr/>
                              </a:nvCxnSpPr>
                              <a:spPr>
                                <a:xfrm>
                                  <a:off x="5017807" y="1232729"/>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9" name="Straight Connector 34"/>
                                <a:cNvCxnSpPr/>
                              </a:nvCxnSpPr>
                              <a:spPr>
                                <a:xfrm>
                                  <a:off x="5184451"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0" name="Straight Connector 35"/>
                                <a:cNvCxnSpPr/>
                              </a:nvCxnSpPr>
                              <a:spPr>
                                <a:xfrm>
                                  <a:off x="5336851"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1" name="Straight Connector 36"/>
                                <a:cNvCxnSpPr/>
                              </a:nvCxnSpPr>
                              <a:spPr>
                                <a:xfrm>
                                  <a:off x="5489251"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2" name="Straight Connector 37"/>
                                <a:cNvCxnSpPr/>
                              </a:nvCxnSpPr>
                              <a:spPr>
                                <a:xfrm>
                                  <a:off x="56274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3" name="Straight Connector 38"/>
                                <a:cNvCxnSpPr/>
                              </a:nvCxnSpPr>
                              <a:spPr>
                                <a:xfrm>
                                  <a:off x="57798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4" name="Straight Connector 39"/>
                                <a:cNvCxnSpPr/>
                              </a:nvCxnSpPr>
                              <a:spPr>
                                <a:xfrm>
                                  <a:off x="5944315"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5" name="Straight Connector 40"/>
                                <a:cNvCxnSpPr/>
                              </a:nvCxnSpPr>
                              <a:spPr>
                                <a:xfrm>
                                  <a:off x="6098851"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6" name="Straight Connector 41"/>
                                <a:cNvCxnSpPr/>
                              </a:nvCxnSpPr>
                              <a:spPr>
                                <a:xfrm>
                                  <a:off x="6251251"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7" name="Straight Connector 42"/>
                                <a:cNvCxnSpPr/>
                              </a:nvCxnSpPr>
                              <a:spPr>
                                <a:xfrm>
                                  <a:off x="6403651"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8" name="Straight Connector 43"/>
                                <a:cNvCxnSpPr/>
                              </a:nvCxnSpPr>
                              <a:spPr>
                                <a:xfrm>
                                  <a:off x="6556051" y="12341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9" name="Straight Connector 44"/>
                                <a:cNvCxnSpPr/>
                              </a:nvCxnSpPr>
                              <a:spPr>
                                <a:xfrm>
                                  <a:off x="6709163" y="122703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0" name="Straight Connector 45"/>
                                <a:cNvCxnSpPr/>
                              </a:nvCxnSpPr>
                              <a:spPr>
                                <a:xfrm>
                                  <a:off x="6861563" y="122703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8" name="Straight Connector 46"/>
                                <a:cNvCxnSpPr/>
                              </a:nvCxnSpPr>
                              <a:spPr>
                                <a:xfrm>
                                  <a:off x="6996871"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9" name="Straight Connector 47"/>
                                <a:cNvCxnSpPr/>
                              </a:nvCxnSpPr>
                              <a:spPr>
                                <a:xfrm>
                                  <a:off x="71514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4" name="Straight Connector 48"/>
                                <a:cNvCxnSpPr/>
                              </a:nvCxnSpPr>
                              <a:spPr>
                                <a:xfrm>
                                  <a:off x="73038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4" name="Straight Connector 49"/>
                                <a:cNvCxnSpPr/>
                              </a:nvCxnSpPr>
                              <a:spPr>
                                <a:xfrm>
                                  <a:off x="74562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7" name="Straight Connector 50"/>
                                <a:cNvCxnSpPr/>
                              </a:nvCxnSpPr>
                              <a:spPr>
                                <a:xfrm>
                                  <a:off x="7608607" y="12170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grpSp>
                            <a:nvGrpSpPr>
                              <a:cNvPr id="263" name="Group 51"/>
                              <a:cNvGrpSpPr>
                                <a:grpSpLocks noChangeAspect="1"/>
                              </a:cNvGrpSpPr>
                            </a:nvGrpSpPr>
                            <a:grpSpPr>
                              <a:xfrm>
                                <a:off x="3972508" y="3556484"/>
                                <a:ext cx="1605897" cy="160946"/>
                                <a:chOff x="2949013" y="2649195"/>
                                <a:chExt cx="3211794" cy="321892"/>
                              </a:xfrm>
                            </a:grpSpPr>
                            <a:cxnSp>
                              <a:nvCxnSpPr>
                                <a:cNvPr id="228" name="Straight Connector 227"/>
                                <a:cNvCxnSpPr/>
                              </a:nvCxnSpPr>
                              <a:spPr>
                                <a:xfrm>
                                  <a:off x="3327877" y="2666287"/>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9" name="Straight Connector 228"/>
                                <a:cNvCxnSpPr/>
                              </a:nvCxnSpPr>
                              <a:spPr>
                                <a:xfrm flipV="1">
                                  <a:off x="2949013" y="2938328"/>
                                  <a:ext cx="2819400" cy="1566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0" name="Straight Connector 229"/>
                                <a:cNvCxnSpPr/>
                              </a:nvCxnSpPr>
                              <a:spPr>
                                <a:xfrm>
                                  <a:off x="30252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1" name="Straight Connector 230"/>
                                <a:cNvCxnSpPr/>
                              </a:nvCxnSpPr>
                              <a:spPr>
                                <a:xfrm>
                                  <a:off x="31776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2" name="Straight Connector 231"/>
                                <a:cNvCxnSpPr/>
                              </a:nvCxnSpPr>
                              <a:spPr>
                                <a:xfrm>
                                  <a:off x="3327877"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3" name="Straight Connector 232"/>
                                <a:cNvCxnSpPr/>
                              </a:nvCxnSpPr>
                              <a:spPr>
                                <a:xfrm>
                                  <a:off x="3482413"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4" name="Straight Connector 233"/>
                                <a:cNvCxnSpPr/>
                              </a:nvCxnSpPr>
                              <a:spPr>
                                <a:xfrm>
                                  <a:off x="36490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5" name="Straight Connector 234"/>
                                <a:cNvCxnSpPr/>
                              </a:nvCxnSpPr>
                              <a:spPr>
                                <a:xfrm>
                                  <a:off x="3801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6" name="Straight Connector 235"/>
                                <a:cNvCxnSpPr/>
                              </a:nvCxnSpPr>
                              <a:spPr>
                                <a:xfrm>
                                  <a:off x="3953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7" name="Straight Connector 236"/>
                                <a:cNvCxnSpPr/>
                              </a:nvCxnSpPr>
                              <a:spPr>
                                <a:xfrm>
                                  <a:off x="4092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8" name="Straight Connector 237"/>
                                <a:cNvCxnSpPr/>
                              </a:nvCxnSpPr>
                              <a:spPr>
                                <a:xfrm>
                                  <a:off x="4244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9" name="Straight Connector 238"/>
                                <a:cNvCxnSpPr/>
                              </a:nvCxnSpPr>
                              <a:spPr>
                                <a:xfrm>
                                  <a:off x="4408921"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0" name="Straight Connector 239"/>
                                <a:cNvCxnSpPr/>
                              </a:nvCxnSpPr>
                              <a:spPr>
                                <a:xfrm>
                                  <a:off x="4563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1" name="Straight Connector 240"/>
                                <a:cNvCxnSpPr/>
                              </a:nvCxnSpPr>
                              <a:spPr>
                                <a:xfrm>
                                  <a:off x="4715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2" name="Straight Connector 66"/>
                                <a:cNvCxnSpPr/>
                              </a:nvCxnSpPr>
                              <a:spPr>
                                <a:xfrm>
                                  <a:off x="48682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3" name="Straight Connector 242"/>
                                <a:cNvCxnSpPr/>
                              </a:nvCxnSpPr>
                              <a:spPr>
                                <a:xfrm>
                                  <a:off x="50206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4" name="Straight Connector 243"/>
                                <a:cNvCxnSpPr/>
                              </a:nvCxnSpPr>
                              <a:spPr>
                                <a:xfrm>
                                  <a:off x="51737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5" name="Straight Connector 244"/>
                                <a:cNvCxnSpPr/>
                              </a:nvCxnSpPr>
                              <a:spPr>
                                <a:xfrm>
                                  <a:off x="53261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6" name="Straight Connector 245"/>
                                <a:cNvCxnSpPr/>
                              </a:nvCxnSpPr>
                              <a:spPr>
                                <a:xfrm>
                                  <a:off x="5461477"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7" name="Straight Connector 246"/>
                                <a:cNvCxnSpPr/>
                              </a:nvCxnSpPr>
                              <a:spPr>
                                <a:xfrm>
                                  <a:off x="5616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8" name="Straight Connector 247"/>
                                <a:cNvCxnSpPr/>
                              </a:nvCxnSpPr>
                              <a:spPr>
                                <a:xfrm>
                                  <a:off x="5768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9" name="Straight Connector 248"/>
                                <a:cNvCxnSpPr/>
                              </a:nvCxnSpPr>
                              <a:spPr>
                                <a:xfrm>
                                  <a:off x="59208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0" name="Straight Connector 249"/>
                                <a:cNvCxnSpPr/>
                              </a:nvCxnSpPr>
                              <a:spPr>
                                <a:xfrm>
                                  <a:off x="60732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grpSp>
                            <a:nvGrpSpPr>
                              <a:cNvPr id="264" name="Group 75"/>
                              <a:cNvGrpSpPr>
                                <a:grpSpLocks noChangeAspect="1"/>
                              </a:cNvGrpSpPr>
                            </a:nvGrpSpPr>
                            <a:grpSpPr>
                              <a:xfrm>
                                <a:off x="5340660" y="2620380"/>
                                <a:ext cx="674762" cy="364621"/>
                                <a:chOff x="5566876" y="1709159"/>
                                <a:chExt cx="1349523" cy="729241"/>
                              </a:xfrm>
                            </a:grpSpPr>
                            <a:sp>
                              <a:nvSpPr>
                                <a:cNvPr id="226" name="Oval 225"/>
                                <a:cNvSpPr/>
                              </a:nvSpPr>
                              <a:spPr>
                                <a:xfrm>
                                  <a:off x="5566876" y="1752600"/>
                                  <a:ext cx="1204956" cy="685800"/>
                                </a:xfrm>
                                <a:prstGeom prst="ellipse">
                                  <a:avLst/>
                                </a:prstGeom>
                                <a:solidFill>
                                  <a:srgbClr val="00B050"/>
                                </a:solidFill>
                                <a:ln>
                                  <a:solidFill>
                                    <a:srgbClr val="00B05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7" name="Oval 226"/>
                                <a:cNvSpPr/>
                              </a:nvSpPr>
                              <a:spPr>
                                <a:xfrm>
                                  <a:off x="6618721" y="1709159"/>
                                  <a:ext cx="297678" cy="342900"/>
                                </a:xfrm>
                                <a:prstGeom prst="ellipse">
                                  <a:avLst/>
                                </a:prstGeom>
                                <a:solidFill>
                                  <a:srgbClr val="7030A0"/>
                                </a:solidFill>
                                <a:ln>
                                  <a:solidFill>
                                    <a:srgbClr val="7030A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65" name="Group 78"/>
                              <a:cNvGrpSpPr>
                                <a:grpSpLocks noChangeAspect="1"/>
                              </a:cNvGrpSpPr>
                            </a:nvGrpSpPr>
                            <a:grpSpPr>
                              <a:xfrm>
                                <a:off x="4764596" y="2703523"/>
                                <a:ext cx="953925" cy="708945"/>
                                <a:chOff x="4495801" y="1752600"/>
                                <a:chExt cx="1907850" cy="1417890"/>
                              </a:xfrm>
                            </a:grpSpPr>
                            <a:cxnSp>
                              <a:nvCxnSpPr>
                                <a:cNvPr id="224" name="Straight Arrow Connector 223"/>
                                <a:cNvCxnSpPr/>
                              </a:nvCxnSpPr>
                              <a:spPr>
                                <a:xfrm>
                                  <a:off x="4495801" y="1752600"/>
                                  <a:ext cx="0" cy="12954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25" name="Arc 224"/>
                                <a:cNvSpPr/>
                              </a:nvSpPr>
                              <a:spPr>
                                <a:xfrm rot="16200000">
                                  <a:off x="4862469" y="1629309"/>
                                  <a:ext cx="1174513" cy="1907850"/>
                                </a:xfrm>
                                <a:prstGeom prst="arc">
                                  <a:avLst/>
                                </a:prstGeom>
                                <a:ln>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sp>
                            <a:nvSpPr>
                              <a:cNvPr id="4" name="Oval 10"/>
                              <a:cNvSpPr>
                                <a:spLocks noChangeAspect="1"/>
                              </a:cNvSpPr>
                            </a:nvSpPr>
                            <a:spPr>
                              <a:xfrm>
                                <a:off x="4260540" y="4780620"/>
                                <a:ext cx="1371598" cy="342900"/>
                              </a:xfrm>
                              <a:prstGeom prst="ellipse">
                                <a:avLst/>
                              </a:prstGeom>
                              <a:solidFill>
                                <a:srgbClr val="0070C0"/>
                              </a:solidFill>
                              <a:ln>
                                <a:solidFill>
                                  <a:srgbClr val="0070C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TextBox 11"/>
                              <a:cNvSpPr txBox="1"/>
                            </a:nvSpPr>
                            <a:spPr>
                              <a:xfrm>
                                <a:off x="2137048" y="2266147"/>
                                <a:ext cx="129540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Long dsRNA</a:t>
                                  </a:r>
                                  <a:endParaRPr lang="en-GB" sz="1000" b="1" dirty="0"/>
                                </a:p>
                              </a:txBody>
                              <a:useSpRect/>
                            </a:txSp>
                          </a:sp>
                          <a:grpSp>
                            <a:nvGrpSpPr>
                              <a:cNvPr id="268" name="Group 365"/>
                              <a:cNvGrpSpPr>
                                <a:grpSpLocks noChangeAspect="1"/>
                              </a:cNvGrpSpPr>
                            </a:nvGrpSpPr>
                            <a:grpSpPr>
                              <a:xfrm>
                                <a:off x="3384766" y="6508812"/>
                                <a:ext cx="2928002" cy="112025"/>
                                <a:chOff x="1743702" y="12520421"/>
                                <a:chExt cx="5856003" cy="224050"/>
                              </a:xfrm>
                            </a:grpSpPr>
                            <a:grpSp>
                              <a:nvGrpSpPr>
                                <a:cNvPr id="436" name="Group 97"/>
                                <a:cNvGrpSpPr/>
                              </a:nvGrpSpPr>
                              <a:grpSpPr>
                                <a:xfrm rot="10800000">
                                  <a:off x="1743702" y="12520421"/>
                                  <a:ext cx="2832930" cy="219959"/>
                                  <a:chOff x="3069021" y="4632352"/>
                                  <a:chExt cx="2832930" cy="228600"/>
                                </a:xfrm>
                              </a:grpSpPr>
                              <a:cxnSp>
                                <a:nvCxnSpPr>
                                  <a:cNvPr id="203" name="Straight Connector 202"/>
                                  <a:cNvCxnSpPr/>
                                </a:nvCxnSpPr>
                                <a:spPr>
                                  <a:xfrm>
                                    <a:off x="3069021" y="4649444"/>
                                    <a:ext cx="2832930" cy="713"/>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nvGrpSpPr>
                                  <a:cNvPr id="550" name="Group 99"/>
                                  <a:cNvGrpSpPr/>
                                </a:nvGrpSpPr>
                                <a:grpSpPr>
                                  <a:xfrm>
                                    <a:off x="3069021" y="4632352"/>
                                    <a:ext cx="2440536" cy="228600"/>
                                    <a:chOff x="3069021" y="3545083"/>
                                    <a:chExt cx="2440536" cy="321892"/>
                                  </a:xfrm>
                                </a:grpSpPr>
                                <a:cxnSp>
                                  <a:nvCxnSpPr>
                                    <a:cNvPr id="207" name="Straight Connector 206"/>
                                    <a:cNvCxnSpPr/>
                                  </a:nvCxnSpPr>
                                  <a:spPr>
                                    <a:xfrm>
                                      <a:off x="3069021"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08" name="Straight Connector 207"/>
                                    <a:cNvCxnSpPr/>
                                  </a:nvCxnSpPr>
                                  <a:spPr>
                                    <a:xfrm>
                                      <a:off x="3223557"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09" name="Straight Connector 208"/>
                                    <a:cNvCxnSpPr/>
                                  </a:nvCxnSpPr>
                                  <a:spPr>
                                    <a:xfrm>
                                      <a:off x="33902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0" name="Straight Connector 209"/>
                                    <a:cNvCxnSpPr/>
                                  </a:nvCxnSpPr>
                                  <a:spPr>
                                    <a:xfrm>
                                      <a:off x="3542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1" name="Straight Connector 210"/>
                                    <a:cNvCxnSpPr/>
                                  </a:nvCxnSpPr>
                                  <a:spPr>
                                    <a:xfrm>
                                      <a:off x="3695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2" name="Straight Connector 211"/>
                                    <a:cNvCxnSpPr/>
                                  </a:nvCxnSpPr>
                                  <a:spPr>
                                    <a:xfrm>
                                      <a:off x="3833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3" name="Straight Connector 212"/>
                                    <a:cNvCxnSpPr/>
                                  </a:nvCxnSpPr>
                                  <a:spPr>
                                    <a:xfrm>
                                      <a:off x="3985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4" name="Straight Connector 213"/>
                                    <a:cNvCxnSpPr/>
                                  </a:nvCxnSpPr>
                                  <a:spPr>
                                    <a:xfrm>
                                      <a:off x="4150065"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5" name="Straight Connector 214"/>
                                    <a:cNvCxnSpPr/>
                                  </a:nvCxnSpPr>
                                  <a:spPr>
                                    <a:xfrm>
                                      <a:off x="4304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6" name="Straight Connector 215"/>
                                    <a:cNvCxnSpPr/>
                                  </a:nvCxnSpPr>
                                  <a:spPr>
                                    <a:xfrm>
                                      <a:off x="4457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7" name="Straight Connector 216"/>
                                    <a:cNvCxnSpPr/>
                                  </a:nvCxnSpPr>
                                  <a:spPr>
                                    <a:xfrm>
                                      <a:off x="46094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8" name="Straight Connector 217"/>
                                    <a:cNvCxnSpPr/>
                                  </a:nvCxnSpPr>
                                  <a:spPr>
                                    <a:xfrm>
                                      <a:off x="47618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19" name="Straight Connector 218"/>
                                    <a:cNvCxnSpPr/>
                                  </a:nvCxnSpPr>
                                  <a:spPr>
                                    <a:xfrm>
                                      <a:off x="49149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20" name="Straight Connector 219"/>
                                    <a:cNvCxnSpPr/>
                                  </a:nvCxnSpPr>
                                  <a:spPr>
                                    <a:xfrm>
                                      <a:off x="50673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21" name="Straight Connector 220"/>
                                    <a:cNvCxnSpPr/>
                                  </a:nvCxnSpPr>
                                  <a:spPr>
                                    <a:xfrm>
                                      <a:off x="5202621"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22" name="Straight Connector 221"/>
                                    <a:cNvCxnSpPr/>
                                  </a:nvCxnSpPr>
                                  <a:spPr>
                                    <a:xfrm>
                                      <a:off x="5357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23" name="Straight Connector 222"/>
                                    <a:cNvCxnSpPr/>
                                  </a:nvCxnSpPr>
                                  <a:spPr>
                                    <a:xfrm>
                                      <a:off x="5509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205" name="Straight Connector 204"/>
                                  <a:cNvCxnSpPr/>
                                </a:nvCxnSpPr>
                                <a:spPr>
                                  <a:xfrm>
                                    <a:off x="5661957" y="4632352"/>
                                    <a:ext cx="0" cy="2286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06" name="Straight Connector 205"/>
                                  <a:cNvCxnSpPr/>
                                </a:nvCxnSpPr>
                                <a:spPr>
                                  <a:xfrm>
                                    <a:off x="5814357" y="4632352"/>
                                    <a:ext cx="0" cy="2286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182" name="Straight Connector 181"/>
                                <a:cNvCxnSpPr/>
                              </a:nvCxnSpPr>
                              <a:spPr>
                                <a:xfrm flipH="1">
                                  <a:off x="4576631" y="12721904"/>
                                  <a:ext cx="3023074" cy="2031"/>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nvGrpSpPr>
                                <a:cNvPr id="457" name="Group 121"/>
                                <a:cNvGrpSpPr/>
                              </a:nvGrpSpPr>
                              <a:grpSpPr>
                                <a:xfrm rot="10800000">
                                  <a:off x="5070871" y="12528009"/>
                                  <a:ext cx="2440536" cy="216462"/>
                                  <a:chOff x="3069021" y="3545083"/>
                                  <a:chExt cx="2440536" cy="321892"/>
                                </a:xfrm>
                              </a:grpSpPr>
                              <a:cxnSp>
                                <a:nvCxnSpPr>
                                  <a:cNvPr id="186" name="Straight Connector 185"/>
                                  <a:cNvCxnSpPr/>
                                </a:nvCxnSpPr>
                                <a:spPr>
                                  <a:xfrm>
                                    <a:off x="3069021"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87" name="Straight Connector 186"/>
                                  <a:cNvCxnSpPr/>
                                </a:nvCxnSpPr>
                                <a:spPr>
                                  <a:xfrm>
                                    <a:off x="3223557"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88" name="Straight Connector 187"/>
                                  <a:cNvCxnSpPr/>
                                </a:nvCxnSpPr>
                                <a:spPr>
                                  <a:xfrm>
                                    <a:off x="33902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89" name="Straight Connector 188"/>
                                  <a:cNvCxnSpPr/>
                                </a:nvCxnSpPr>
                                <a:spPr>
                                  <a:xfrm>
                                    <a:off x="3542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0" name="Straight Connector 189"/>
                                  <a:cNvCxnSpPr/>
                                </a:nvCxnSpPr>
                                <a:spPr>
                                  <a:xfrm>
                                    <a:off x="3695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1" name="Straight Connector 190"/>
                                  <a:cNvCxnSpPr/>
                                </a:nvCxnSpPr>
                                <a:spPr>
                                  <a:xfrm>
                                    <a:off x="3833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2" name="Straight Connector 191"/>
                                  <a:cNvCxnSpPr/>
                                </a:nvCxnSpPr>
                                <a:spPr>
                                  <a:xfrm>
                                    <a:off x="3985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3" name="Straight Connector 192"/>
                                  <a:cNvCxnSpPr/>
                                </a:nvCxnSpPr>
                                <a:spPr>
                                  <a:xfrm>
                                    <a:off x="4150065"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4" name="Straight Connector 193"/>
                                  <a:cNvCxnSpPr/>
                                </a:nvCxnSpPr>
                                <a:spPr>
                                  <a:xfrm>
                                    <a:off x="4304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5" name="Straight Connector 194"/>
                                  <a:cNvCxnSpPr/>
                                </a:nvCxnSpPr>
                                <a:spPr>
                                  <a:xfrm>
                                    <a:off x="4457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6" name="Straight Connector 195"/>
                                  <a:cNvCxnSpPr/>
                                </a:nvCxnSpPr>
                                <a:spPr>
                                  <a:xfrm>
                                    <a:off x="46094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7" name="Straight Connector 196"/>
                                  <a:cNvCxnSpPr/>
                                </a:nvCxnSpPr>
                                <a:spPr>
                                  <a:xfrm>
                                    <a:off x="47618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8" name="Straight Connector 197"/>
                                  <a:cNvCxnSpPr/>
                                </a:nvCxnSpPr>
                                <a:spPr>
                                  <a:xfrm>
                                    <a:off x="49149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99" name="Straight Connector 198"/>
                                  <a:cNvCxnSpPr/>
                                </a:nvCxnSpPr>
                                <a:spPr>
                                  <a:xfrm>
                                    <a:off x="50673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00" name="Straight Connector 199"/>
                                  <a:cNvCxnSpPr/>
                                </a:nvCxnSpPr>
                                <a:spPr>
                                  <a:xfrm>
                                    <a:off x="5202621"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01" name="Straight Connector 200"/>
                                  <a:cNvCxnSpPr/>
                                </a:nvCxnSpPr>
                                <a:spPr>
                                  <a:xfrm>
                                    <a:off x="5357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02" name="Straight Connector 201"/>
                                  <a:cNvCxnSpPr/>
                                </a:nvCxnSpPr>
                                <a:spPr>
                                  <a:xfrm>
                                    <a:off x="5509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184" name="Straight Connector 183"/>
                                <a:cNvCxnSpPr/>
                              </a:nvCxnSpPr>
                              <a:spPr>
                                <a:xfrm flipV="1">
                                  <a:off x="4908834" y="12523792"/>
                                  <a:ext cx="0" cy="216462"/>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185" name="Straight Connector 184"/>
                                <a:cNvCxnSpPr/>
                              </a:nvCxnSpPr>
                              <a:spPr>
                                <a:xfrm flipV="1">
                                  <a:off x="4756434" y="12523792"/>
                                  <a:ext cx="0" cy="216462"/>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grpSp>
                            <a:nvGrpSpPr>
                              <a:cNvPr id="269" name="Group 258"/>
                              <a:cNvGrpSpPr>
                                <a:grpSpLocks noChangeAspect="1"/>
                              </a:cNvGrpSpPr>
                            </a:nvGrpSpPr>
                            <a:grpSpPr>
                              <a:xfrm rot="20668937">
                                <a:off x="2308584" y="3444333"/>
                                <a:ext cx="1605897" cy="160946"/>
                                <a:chOff x="2949013" y="2649195"/>
                                <a:chExt cx="3211794" cy="321892"/>
                              </a:xfrm>
                            </a:grpSpPr>
                            <a:cxnSp>
                              <a:nvCxnSpPr>
                                <a:cNvPr id="158" name="Straight Connector 157"/>
                                <a:cNvCxnSpPr/>
                              </a:nvCxnSpPr>
                              <a:spPr>
                                <a:xfrm>
                                  <a:off x="3327877" y="2666287"/>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9" name="Straight Connector 158"/>
                                <a:cNvCxnSpPr/>
                              </a:nvCxnSpPr>
                              <a:spPr>
                                <a:xfrm flipV="1">
                                  <a:off x="2949013" y="2938328"/>
                                  <a:ext cx="2819400" cy="1566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0" name="Straight Connector 159"/>
                                <a:cNvCxnSpPr/>
                              </a:nvCxnSpPr>
                              <a:spPr>
                                <a:xfrm>
                                  <a:off x="30252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1" name="Straight Connector 160"/>
                                <a:cNvCxnSpPr/>
                              </a:nvCxnSpPr>
                              <a:spPr>
                                <a:xfrm>
                                  <a:off x="31776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2" name="Straight Connector 161"/>
                                <a:cNvCxnSpPr/>
                              </a:nvCxnSpPr>
                              <a:spPr>
                                <a:xfrm>
                                  <a:off x="3327877"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3" name="Straight Connector 162"/>
                                <a:cNvCxnSpPr/>
                              </a:nvCxnSpPr>
                              <a:spPr>
                                <a:xfrm>
                                  <a:off x="3482413"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4" name="Straight Connector 163"/>
                                <a:cNvCxnSpPr/>
                              </a:nvCxnSpPr>
                              <a:spPr>
                                <a:xfrm>
                                  <a:off x="36490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5" name="Straight Connector 164"/>
                                <a:cNvCxnSpPr/>
                              </a:nvCxnSpPr>
                              <a:spPr>
                                <a:xfrm>
                                  <a:off x="3801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6" name="Straight Connector 165"/>
                                <a:cNvCxnSpPr/>
                              </a:nvCxnSpPr>
                              <a:spPr>
                                <a:xfrm>
                                  <a:off x="3953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 name="Straight Connector 166"/>
                                <a:cNvCxnSpPr/>
                              </a:nvCxnSpPr>
                              <a:spPr>
                                <a:xfrm>
                                  <a:off x="4092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8" name="Straight Connector 167"/>
                                <a:cNvCxnSpPr/>
                              </a:nvCxnSpPr>
                              <a:spPr>
                                <a:xfrm>
                                  <a:off x="4244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9" name="Straight Connector 168"/>
                                <a:cNvCxnSpPr/>
                              </a:nvCxnSpPr>
                              <a:spPr>
                                <a:xfrm>
                                  <a:off x="4408921"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0" name="Straight Connector 169"/>
                                <a:cNvCxnSpPr/>
                              </a:nvCxnSpPr>
                              <a:spPr>
                                <a:xfrm>
                                  <a:off x="4563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1" name="Straight Connector 170"/>
                                <a:cNvCxnSpPr/>
                              </a:nvCxnSpPr>
                              <a:spPr>
                                <a:xfrm>
                                  <a:off x="4715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2" name="Straight Connector 171"/>
                                <a:cNvCxnSpPr/>
                              </a:nvCxnSpPr>
                              <a:spPr>
                                <a:xfrm>
                                  <a:off x="48682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3" name="Straight Connector 172"/>
                                <a:cNvCxnSpPr/>
                              </a:nvCxnSpPr>
                              <a:spPr>
                                <a:xfrm>
                                  <a:off x="50206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4" name="Straight Connector 173"/>
                                <a:cNvCxnSpPr/>
                              </a:nvCxnSpPr>
                              <a:spPr>
                                <a:xfrm>
                                  <a:off x="51737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5" name="Straight Connector 174"/>
                                <a:cNvCxnSpPr/>
                              </a:nvCxnSpPr>
                              <a:spPr>
                                <a:xfrm>
                                  <a:off x="53261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6" name="Straight Connector 175"/>
                                <a:cNvCxnSpPr/>
                              </a:nvCxnSpPr>
                              <a:spPr>
                                <a:xfrm>
                                  <a:off x="5461477"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7" name="Straight Connector 176"/>
                                <a:cNvCxnSpPr/>
                              </a:nvCxnSpPr>
                              <a:spPr>
                                <a:xfrm>
                                  <a:off x="5616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8" name="Straight Connector 177"/>
                                <a:cNvCxnSpPr/>
                              </a:nvCxnSpPr>
                              <a:spPr>
                                <a:xfrm>
                                  <a:off x="5768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9" name="Straight Connector 178"/>
                                <a:cNvCxnSpPr/>
                              </a:nvCxnSpPr>
                              <a:spPr>
                                <a:xfrm>
                                  <a:off x="59208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0" name="Straight Connector 179"/>
                                <a:cNvCxnSpPr/>
                              </a:nvCxnSpPr>
                              <a:spPr>
                                <a:xfrm>
                                  <a:off x="60732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grpSp>
                            <a:nvGrpSpPr>
                              <a:cNvPr id="270" name="Group 282"/>
                              <a:cNvGrpSpPr>
                                <a:grpSpLocks noChangeAspect="1"/>
                              </a:cNvGrpSpPr>
                            </a:nvGrpSpPr>
                            <a:grpSpPr>
                              <a:xfrm rot="491821">
                                <a:off x="5703971" y="3454120"/>
                                <a:ext cx="1605897" cy="160946"/>
                                <a:chOff x="2949013" y="2649195"/>
                                <a:chExt cx="3211794" cy="321892"/>
                              </a:xfrm>
                            </a:grpSpPr>
                            <a:cxnSp>
                              <a:nvCxnSpPr>
                                <a:cNvPr id="135" name="Straight Connector 134"/>
                                <a:cNvCxnSpPr/>
                              </a:nvCxnSpPr>
                              <a:spPr>
                                <a:xfrm>
                                  <a:off x="3327877" y="2666287"/>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6" name="Straight Connector 135"/>
                                <a:cNvCxnSpPr/>
                              </a:nvCxnSpPr>
                              <a:spPr>
                                <a:xfrm flipV="1">
                                  <a:off x="2949013" y="2938328"/>
                                  <a:ext cx="2819400" cy="1566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7" name="Straight Connector 136"/>
                                <a:cNvCxnSpPr/>
                              </a:nvCxnSpPr>
                              <a:spPr>
                                <a:xfrm>
                                  <a:off x="30252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8" name="Straight Connector 137"/>
                                <a:cNvCxnSpPr/>
                              </a:nvCxnSpPr>
                              <a:spPr>
                                <a:xfrm>
                                  <a:off x="31776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9" name="Straight Connector 138"/>
                                <a:cNvCxnSpPr/>
                              </a:nvCxnSpPr>
                              <a:spPr>
                                <a:xfrm>
                                  <a:off x="3327877"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0" name="Straight Connector 139"/>
                                <a:cNvCxnSpPr/>
                              </a:nvCxnSpPr>
                              <a:spPr>
                                <a:xfrm>
                                  <a:off x="3482413"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1" name="Straight Connector 140"/>
                                <a:cNvCxnSpPr/>
                              </a:nvCxnSpPr>
                              <a:spPr>
                                <a:xfrm>
                                  <a:off x="36490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2" name="Straight Connector 141"/>
                                <a:cNvCxnSpPr/>
                              </a:nvCxnSpPr>
                              <a:spPr>
                                <a:xfrm>
                                  <a:off x="3801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3" name="Straight Connector 142"/>
                                <a:cNvCxnSpPr/>
                              </a:nvCxnSpPr>
                              <a:spPr>
                                <a:xfrm>
                                  <a:off x="3953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 name="Straight Connector 143"/>
                                <a:cNvCxnSpPr/>
                              </a:nvCxnSpPr>
                              <a:spPr>
                                <a:xfrm>
                                  <a:off x="4092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5" name="Straight Connector 144"/>
                                <a:cNvCxnSpPr/>
                              </a:nvCxnSpPr>
                              <a:spPr>
                                <a:xfrm>
                                  <a:off x="4244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 name="Straight Connector 145"/>
                                <a:cNvCxnSpPr/>
                              </a:nvCxnSpPr>
                              <a:spPr>
                                <a:xfrm>
                                  <a:off x="4408921"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7" name="Straight Connector 146"/>
                                <a:cNvCxnSpPr/>
                              </a:nvCxnSpPr>
                              <a:spPr>
                                <a:xfrm>
                                  <a:off x="4563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8" name="Straight Connector 147"/>
                                <a:cNvCxnSpPr/>
                              </a:nvCxnSpPr>
                              <a:spPr>
                                <a:xfrm>
                                  <a:off x="4715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9" name="Straight Connector 148"/>
                                <a:cNvCxnSpPr/>
                              </a:nvCxnSpPr>
                              <a:spPr>
                                <a:xfrm>
                                  <a:off x="48682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0" name="Straight Connector 149"/>
                                <a:cNvCxnSpPr/>
                              </a:nvCxnSpPr>
                              <a:spPr>
                                <a:xfrm>
                                  <a:off x="50206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1" name="Straight Connector 150"/>
                                <a:cNvCxnSpPr/>
                              </a:nvCxnSpPr>
                              <a:spPr>
                                <a:xfrm>
                                  <a:off x="51737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2" name="Straight Connector 151"/>
                                <a:cNvCxnSpPr/>
                              </a:nvCxnSpPr>
                              <a:spPr>
                                <a:xfrm>
                                  <a:off x="53261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3" name="Straight Connector 152"/>
                                <a:cNvCxnSpPr/>
                              </a:nvCxnSpPr>
                              <a:spPr>
                                <a:xfrm>
                                  <a:off x="5461477"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4" name="Straight Connector 153"/>
                                <a:cNvCxnSpPr/>
                              </a:nvCxnSpPr>
                              <a:spPr>
                                <a:xfrm>
                                  <a:off x="5616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5" name="Straight Connector 154"/>
                                <a:cNvCxnSpPr/>
                              </a:nvCxnSpPr>
                              <a:spPr>
                                <a:xfrm>
                                  <a:off x="5768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6" name="Straight Connector 155"/>
                                <a:cNvCxnSpPr/>
                              </a:nvCxnSpPr>
                              <a:spPr>
                                <a:xfrm>
                                  <a:off x="59208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7" name="Straight Connector 156"/>
                                <a:cNvCxnSpPr/>
                              </a:nvCxnSpPr>
                              <a:spPr>
                                <a:xfrm>
                                  <a:off x="60732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sp>
                            <a:nvSpPr>
                              <a:cNvPr id="16" name="Oval 15"/>
                              <a:cNvSpPr>
                                <a:spLocks noChangeAspect="1"/>
                              </a:cNvSpPr>
                            </a:nvSpPr>
                            <a:spPr>
                              <a:xfrm>
                                <a:off x="4296544" y="4744616"/>
                                <a:ext cx="148839" cy="171450"/>
                              </a:xfrm>
                              <a:prstGeom prst="ellipse">
                                <a:avLst/>
                              </a:prstGeom>
                              <a:solidFill>
                                <a:srgbClr val="C00000"/>
                              </a:solidFill>
                              <a:ln>
                                <a:solidFill>
                                  <a:srgbClr val="C00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Oval 16"/>
                              <a:cNvSpPr>
                                <a:spLocks noChangeAspect="1"/>
                              </a:cNvSpPr>
                            </a:nvSpPr>
                            <a:spPr>
                              <a:xfrm>
                                <a:off x="5556684" y="4780620"/>
                                <a:ext cx="148839" cy="171450"/>
                              </a:xfrm>
                              <a:prstGeom prst="ellipse">
                                <a:avLst/>
                              </a:prstGeom>
                              <a:solidFill>
                                <a:schemeClr val="accent3"/>
                              </a:solidFill>
                              <a:ln>
                                <a:solidFill>
                                  <a:schemeClr val="accent3"/>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Oval 17"/>
                              <a:cNvSpPr>
                                <a:spLocks noChangeAspect="1"/>
                              </a:cNvSpPr>
                            </a:nvSpPr>
                            <a:spPr>
                              <a:xfrm>
                                <a:off x="4836604" y="4636604"/>
                                <a:ext cx="148839" cy="171450"/>
                              </a:xfrm>
                              <a:prstGeom prst="ellipse">
                                <a:avLst/>
                              </a:prstGeom>
                              <a:solidFill>
                                <a:srgbClr val="FFC000"/>
                              </a:solidFill>
                              <a:ln>
                                <a:solidFill>
                                  <a:srgbClr val="FFC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274" name="Group 309"/>
                              <a:cNvGrpSpPr>
                                <a:grpSpLocks noChangeAspect="1"/>
                              </a:cNvGrpSpPr>
                            </a:nvGrpSpPr>
                            <a:grpSpPr>
                              <a:xfrm>
                                <a:off x="4764596" y="3927659"/>
                                <a:ext cx="953925" cy="708945"/>
                                <a:chOff x="4495801" y="1752600"/>
                                <a:chExt cx="1907850" cy="1417890"/>
                              </a:xfrm>
                            </a:grpSpPr>
                            <a:cxnSp>
                              <a:nvCxnSpPr>
                                <a:cNvPr id="133" name="Straight Arrow Connector 132"/>
                                <a:cNvCxnSpPr/>
                              </a:nvCxnSpPr>
                              <a:spPr>
                                <a:xfrm>
                                  <a:off x="4495801" y="1752600"/>
                                  <a:ext cx="0" cy="12954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34" name="Arc 133"/>
                                <a:cNvSpPr/>
                              </a:nvSpPr>
                              <a:spPr>
                                <a:xfrm rot="16200000">
                                  <a:off x="4862469" y="1629309"/>
                                  <a:ext cx="1174513" cy="1907850"/>
                                </a:xfrm>
                                <a:prstGeom prst="arc">
                                  <a:avLst/>
                                </a:prstGeom>
                                <a:ln>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75" name="Group 312"/>
                              <a:cNvGrpSpPr>
                                <a:grpSpLocks noChangeAspect="1"/>
                              </a:cNvGrpSpPr>
                            </a:nvGrpSpPr>
                            <a:grpSpPr>
                              <a:xfrm>
                                <a:off x="3972508" y="4979714"/>
                                <a:ext cx="1605897" cy="160946"/>
                                <a:chOff x="2949013" y="2649195"/>
                                <a:chExt cx="3211794" cy="321892"/>
                              </a:xfrm>
                            </a:grpSpPr>
                            <a:cxnSp>
                              <a:nvCxnSpPr>
                                <a:cNvPr id="110" name="Straight Connector 109"/>
                                <a:cNvCxnSpPr/>
                              </a:nvCxnSpPr>
                              <a:spPr>
                                <a:xfrm>
                                  <a:off x="3327877" y="2666287"/>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1" name="Straight Connector 110"/>
                                <a:cNvCxnSpPr/>
                              </a:nvCxnSpPr>
                              <a:spPr>
                                <a:xfrm flipV="1">
                                  <a:off x="2949013" y="2938328"/>
                                  <a:ext cx="2819400" cy="1566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2" name="Straight Connector 111"/>
                                <a:cNvCxnSpPr/>
                              </a:nvCxnSpPr>
                              <a:spPr>
                                <a:xfrm>
                                  <a:off x="30252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3" name="Straight Connector 112"/>
                                <a:cNvCxnSpPr/>
                              </a:nvCxnSpPr>
                              <a:spPr>
                                <a:xfrm>
                                  <a:off x="31776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4" name="Straight Connector 113"/>
                                <a:cNvCxnSpPr/>
                              </a:nvCxnSpPr>
                              <a:spPr>
                                <a:xfrm>
                                  <a:off x="3327877"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5" name="Straight Connector 114"/>
                                <a:cNvCxnSpPr/>
                              </a:nvCxnSpPr>
                              <a:spPr>
                                <a:xfrm>
                                  <a:off x="3482413"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6" name="Straight Connector 115"/>
                                <a:cNvCxnSpPr/>
                              </a:nvCxnSpPr>
                              <a:spPr>
                                <a:xfrm>
                                  <a:off x="36490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7" name="Straight Connector 116"/>
                                <a:cNvCxnSpPr/>
                              </a:nvCxnSpPr>
                              <a:spPr>
                                <a:xfrm>
                                  <a:off x="3801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8" name="Straight Connector 117"/>
                                <a:cNvCxnSpPr/>
                              </a:nvCxnSpPr>
                              <a:spPr>
                                <a:xfrm>
                                  <a:off x="3953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9" name="Straight Connector 118"/>
                                <a:cNvCxnSpPr/>
                              </a:nvCxnSpPr>
                              <a:spPr>
                                <a:xfrm>
                                  <a:off x="4092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0" name="Straight Connector 119"/>
                                <a:cNvCxnSpPr/>
                              </a:nvCxnSpPr>
                              <a:spPr>
                                <a:xfrm>
                                  <a:off x="4244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1" name="Straight Connector 120"/>
                                <a:cNvCxnSpPr/>
                              </a:nvCxnSpPr>
                              <a:spPr>
                                <a:xfrm>
                                  <a:off x="4408921"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2" name="Straight Connector 121"/>
                                <a:cNvCxnSpPr/>
                              </a:nvCxnSpPr>
                              <a:spPr>
                                <a:xfrm>
                                  <a:off x="4563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3" name="Straight Connector 122"/>
                                <a:cNvCxnSpPr/>
                              </a:nvCxnSpPr>
                              <a:spPr>
                                <a:xfrm>
                                  <a:off x="4715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4" name="Straight Connector 123"/>
                                <a:cNvCxnSpPr/>
                              </a:nvCxnSpPr>
                              <a:spPr>
                                <a:xfrm>
                                  <a:off x="48682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5" name="Straight Connector 124"/>
                                <a:cNvCxnSpPr/>
                              </a:nvCxnSpPr>
                              <a:spPr>
                                <a:xfrm>
                                  <a:off x="50206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6" name="Straight Connector 125"/>
                                <a:cNvCxnSpPr/>
                              </a:nvCxnSpPr>
                              <a:spPr>
                                <a:xfrm>
                                  <a:off x="51737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7" name="Straight Connector 126"/>
                                <a:cNvCxnSpPr/>
                              </a:nvCxnSpPr>
                              <a:spPr>
                                <a:xfrm>
                                  <a:off x="53261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8" name="Straight Connector 127"/>
                                <a:cNvCxnSpPr/>
                              </a:nvCxnSpPr>
                              <a:spPr>
                                <a:xfrm>
                                  <a:off x="5461477"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9" name="Straight Connector 128"/>
                                <a:cNvCxnSpPr/>
                              </a:nvCxnSpPr>
                              <a:spPr>
                                <a:xfrm>
                                  <a:off x="5616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0" name="Straight Connector 129"/>
                                <a:cNvCxnSpPr/>
                              </a:nvCxnSpPr>
                              <a:spPr>
                                <a:xfrm>
                                  <a:off x="5768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1" name="Straight Connector 130"/>
                                <a:cNvCxnSpPr/>
                              </a:nvCxnSpPr>
                              <a:spPr>
                                <a:xfrm>
                                  <a:off x="59208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2" name="Straight Connector 131"/>
                                <a:cNvCxnSpPr/>
                              </a:nvCxnSpPr>
                              <a:spPr>
                                <a:xfrm>
                                  <a:off x="60732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sp>
                            <a:nvSpPr>
                              <a:cNvPr id="21" name="Oval 20"/>
                              <a:cNvSpPr>
                                <a:spLocks noChangeAspect="1"/>
                              </a:cNvSpPr>
                            </a:nvSpPr>
                            <a:spPr>
                              <a:xfrm>
                                <a:off x="4260540" y="6184776"/>
                                <a:ext cx="1371598" cy="342900"/>
                              </a:xfrm>
                              <a:prstGeom prst="ellipse">
                                <a:avLst/>
                              </a:prstGeom>
                              <a:solidFill>
                                <a:srgbClr val="0070C0"/>
                              </a:solidFill>
                              <a:ln>
                                <a:solidFill>
                                  <a:srgbClr val="0070C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Oval 21"/>
                              <a:cNvSpPr>
                                <a:spLocks noChangeAspect="1"/>
                              </a:cNvSpPr>
                            </a:nvSpPr>
                            <a:spPr>
                              <a:xfrm>
                                <a:off x="4296544" y="6148772"/>
                                <a:ext cx="148839" cy="171450"/>
                              </a:xfrm>
                              <a:prstGeom prst="ellipse">
                                <a:avLst/>
                              </a:prstGeom>
                              <a:solidFill>
                                <a:srgbClr val="C00000"/>
                              </a:solidFill>
                              <a:ln>
                                <a:solidFill>
                                  <a:srgbClr val="C00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Oval 22"/>
                              <a:cNvSpPr>
                                <a:spLocks noChangeAspect="1"/>
                              </a:cNvSpPr>
                            </a:nvSpPr>
                            <a:spPr>
                              <a:xfrm>
                                <a:off x="5556684" y="6184776"/>
                                <a:ext cx="148839" cy="171450"/>
                              </a:xfrm>
                              <a:prstGeom prst="ellipse">
                                <a:avLst/>
                              </a:prstGeom>
                              <a:solidFill>
                                <a:schemeClr val="accent3"/>
                              </a:solidFill>
                              <a:ln>
                                <a:solidFill>
                                  <a:schemeClr val="accent3"/>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Oval 23"/>
                              <a:cNvSpPr>
                                <a:spLocks noChangeAspect="1"/>
                              </a:cNvSpPr>
                            </a:nvSpPr>
                            <a:spPr>
                              <a:xfrm>
                                <a:off x="4836604" y="6040760"/>
                                <a:ext cx="148839" cy="171450"/>
                              </a:xfrm>
                              <a:prstGeom prst="ellipse">
                                <a:avLst/>
                              </a:prstGeom>
                              <a:solidFill>
                                <a:srgbClr val="FFC000"/>
                              </a:solidFill>
                              <a:ln>
                                <a:solidFill>
                                  <a:srgbClr val="FFC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280" name="Group 364"/>
                              <a:cNvGrpSpPr>
                                <a:grpSpLocks noChangeAspect="1"/>
                              </a:cNvGrpSpPr>
                            </a:nvGrpSpPr>
                            <a:grpSpPr>
                              <a:xfrm>
                                <a:off x="4176223" y="6364796"/>
                                <a:ext cx="1416465" cy="114300"/>
                                <a:chOff x="3508762" y="10496324"/>
                                <a:chExt cx="2832930" cy="228600"/>
                              </a:xfrm>
                            </a:grpSpPr>
                            <a:cxnSp>
                              <a:nvCxnSpPr>
                                <a:cNvPr id="89" name="Straight Connector 88"/>
                                <a:cNvCxnSpPr/>
                              </a:nvCxnSpPr>
                              <a:spPr>
                                <a:xfrm>
                                  <a:off x="3508762" y="10513416"/>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nvGrpSpPr>
                                <a:cNvPr id="389" name="Group 64"/>
                                <a:cNvGrpSpPr/>
                              </a:nvGrpSpPr>
                              <a:grpSpPr>
                                <a:xfrm>
                                  <a:off x="3508762" y="10496324"/>
                                  <a:ext cx="2440536" cy="228600"/>
                                  <a:chOff x="3069021" y="3545083"/>
                                  <a:chExt cx="2440536" cy="321892"/>
                                </a:xfrm>
                              </a:grpSpPr>
                              <a:cxnSp>
                                <a:nvCxnSpPr>
                                  <a:cNvPr id="93" name="Straight Connector 92"/>
                                  <a:cNvCxnSpPr/>
                                </a:nvCxnSpPr>
                                <a:spPr>
                                  <a:xfrm>
                                    <a:off x="3069021" y="3560750"/>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4" name="Straight Connector 93"/>
                                  <a:cNvCxnSpPr/>
                                </a:nvCxnSpPr>
                                <a:spPr>
                                  <a:xfrm>
                                    <a:off x="3223557" y="3560750"/>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5" name="Straight Connector 94"/>
                                  <a:cNvCxnSpPr/>
                                </a:nvCxnSpPr>
                                <a:spPr>
                                  <a:xfrm>
                                    <a:off x="33902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6" name="Straight Connector 95"/>
                                  <a:cNvCxnSpPr/>
                                </a:nvCxnSpPr>
                                <a:spPr>
                                  <a:xfrm>
                                    <a:off x="35426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7" name="Straight Connector 96"/>
                                  <a:cNvCxnSpPr/>
                                </a:nvCxnSpPr>
                                <a:spPr>
                                  <a:xfrm>
                                    <a:off x="36950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8" name="Straight Connector 97"/>
                                  <a:cNvCxnSpPr/>
                                </a:nvCxnSpPr>
                                <a:spPr>
                                  <a:xfrm>
                                    <a:off x="38331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 name="Straight Connector 98"/>
                                  <a:cNvCxnSpPr/>
                                </a:nvCxnSpPr>
                                <a:spPr>
                                  <a:xfrm>
                                    <a:off x="39855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0" name="Straight Connector 99"/>
                                  <a:cNvCxnSpPr/>
                                </a:nvCxnSpPr>
                                <a:spPr>
                                  <a:xfrm>
                                    <a:off x="4150065"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1" name="Straight Connector 100"/>
                                  <a:cNvCxnSpPr/>
                                </a:nvCxnSpPr>
                                <a:spPr>
                                  <a:xfrm>
                                    <a:off x="43046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2" name="Straight Connector 101"/>
                                  <a:cNvCxnSpPr/>
                                </a:nvCxnSpPr>
                                <a:spPr>
                                  <a:xfrm>
                                    <a:off x="44570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3" name="Straight Connector 102"/>
                                  <a:cNvCxnSpPr/>
                                </a:nvCxnSpPr>
                                <a:spPr>
                                  <a:xfrm>
                                    <a:off x="46094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4" name="Straight Connector 103"/>
                                  <a:cNvCxnSpPr/>
                                </a:nvCxnSpPr>
                                <a:spPr>
                                  <a:xfrm>
                                    <a:off x="47618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5" name="Straight Connector 104"/>
                                  <a:cNvCxnSpPr/>
                                </a:nvCxnSpPr>
                                <a:spPr>
                                  <a:xfrm>
                                    <a:off x="4914913" y="35550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6" name="Straight Connector 105"/>
                                  <a:cNvCxnSpPr/>
                                </a:nvCxnSpPr>
                                <a:spPr>
                                  <a:xfrm>
                                    <a:off x="5067313" y="35550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7" name="Straight Connector 106"/>
                                  <a:cNvCxnSpPr/>
                                </a:nvCxnSpPr>
                                <a:spPr>
                                  <a:xfrm>
                                    <a:off x="5202621"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8" name="Straight Connector 107"/>
                                  <a:cNvCxnSpPr/>
                                </a:nvCxnSpPr>
                                <a:spPr>
                                  <a:xfrm>
                                    <a:off x="53571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9" name="Straight Connector 108"/>
                                  <a:cNvCxnSpPr/>
                                </a:nvCxnSpPr>
                                <a:spPr>
                                  <a:xfrm>
                                    <a:off x="55095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cxnSp>
                              <a:nvCxnSpPr>
                                <a:cNvPr id="91" name="Straight Connector 90"/>
                                <a:cNvCxnSpPr/>
                              </a:nvCxnSpPr>
                              <a:spPr>
                                <a:xfrm>
                                  <a:off x="6101698" y="10496324"/>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 name="Straight Connector 91"/>
                                <a:cNvCxnSpPr/>
                              </a:nvCxnSpPr>
                              <a:spPr>
                                <a:xfrm>
                                  <a:off x="6254098" y="10496324"/>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sp>
                            <a:nvSpPr>
                              <a:cNvPr id="26" name="TextBox 25"/>
                              <a:cNvSpPr txBox="1"/>
                            </a:nvSpPr>
                            <a:spPr>
                              <a:xfrm>
                                <a:off x="5592688" y="6292788"/>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t>3’</a:t>
                                  </a:r>
                                  <a:endParaRPr lang="en-GB" sz="800" dirty="0"/>
                                </a:p>
                              </a:txBody>
                              <a:useSpRect/>
                            </a:txSp>
                          </a:sp>
                          <a:sp>
                            <a:nvSpPr>
                              <a:cNvPr id="27" name="TextBox 26"/>
                              <a:cNvSpPr txBox="1"/>
                            </a:nvSpPr>
                            <a:spPr>
                              <a:xfrm>
                                <a:off x="3936504" y="6292788"/>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t>5’</a:t>
                                  </a:r>
                                  <a:endParaRPr lang="en-GB" sz="800" dirty="0"/>
                                </a:p>
                              </a:txBody>
                              <a:useSpRect/>
                            </a:txSp>
                          </a:sp>
                          <a:sp>
                            <a:nvSpPr>
                              <a:cNvPr id="28" name="TextBox 27"/>
                              <a:cNvSpPr txBox="1"/>
                            </a:nvSpPr>
                            <a:spPr>
                              <a:xfrm>
                                <a:off x="3144416" y="6473388"/>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solidFill>
                                        <a:srgbClr val="00B050"/>
                                      </a:solidFill>
                                    </a:rPr>
                                    <a:t>3’</a:t>
                                  </a:r>
                                  <a:endParaRPr lang="en-GB" sz="800" dirty="0">
                                    <a:solidFill>
                                      <a:srgbClr val="00B050"/>
                                    </a:solidFill>
                                  </a:endParaRPr>
                                </a:p>
                              </a:txBody>
                              <a:useSpRect/>
                            </a:txSp>
                          </a:sp>
                          <a:sp>
                            <a:nvSpPr>
                              <a:cNvPr id="29" name="TextBox 28"/>
                              <a:cNvSpPr txBox="1"/>
                            </a:nvSpPr>
                            <a:spPr>
                              <a:xfrm>
                                <a:off x="6276764" y="6473388"/>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solidFill>
                                        <a:srgbClr val="00B050"/>
                                      </a:solidFill>
                                    </a:rPr>
                                    <a:t>5’</a:t>
                                  </a:r>
                                  <a:endParaRPr lang="en-GB" sz="800" dirty="0">
                                    <a:solidFill>
                                      <a:srgbClr val="00B050"/>
                                    </a:solidFill>
                                  </a:endParaRPr>
                                </a:p>
                              </a:txBody>
                              <a:useSpRect/>
                            </a:txSp>
                          </a:sp>
                          <a:grpSp>
                            <a:nvGrpSpPr>
                              <a:cNvPr id="285" name="Group 423"/>
                              <a:cNvGrpSpPr/>
                            </a:nvGrpSpPr>
                            <a:grpSpPr>
                              <a:xfrm>
                                <a:off x="3144416" y="7373488"/>
                                <a:ext cx="3420380" cy="215444"/>
                                <a:chOff x="3144416" y="5284676"/>
                                <a:chExt cx="3420380" cy="215444"/>
                              </a:xfrm>
                            </a:grpSpPr>
                            <a:grpSp>
                              <a:nvGrpSpPr>
                                <a:cNvPr id="301" name="Group 97"/>
                                <a:cNvGrpSpPr/>
                              </a:nvGrpSpPr>
                              <a:grpSpPr>
                                <a:xfrm rot="10800000">
                                  <a:off x="3384766" y="5320100"/>
                                  <a:ext cx="1416465" cy="109980"/>
                                  <a:chOff x="3069021" y="4632352"/>
                                  <a:chExt cx="2832930" cy="228600"/>
                                </a:xfrm>
                              </a:grpSpPr>
                              <a:cxnSp>
                                <a:nvCxnSpPr>
                                  <a:cNvPr id="68" name="Straight Connector 67"/>
                                  <a:cNvCxnSpPr/>
                                </a:nvCxnSpPr>
                                <a:spPr>
                                  <a:xfrm>
                                    <a:off x="3069021" y="4649444"/>
                                    <a:ext cx="2832930" cy="713"/>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nvGrpSpPr>
                                  <a:cNvPr id="333" name="Group 99"/>
                                  <a:cNvGrpSpPr/>
                                </a:nvGrpSpPr>
                                <a:grpSpPr>
                                  <a:xfrm>
                                    <a:off x="3069021" y="4632352"/>
                                    <a:ext cx="2440536" cy="228600"/>
                                    <a:chOff x="3069021" y="3545083"/>
                                    <a:chExt cx="2440536" cy="321892"/>
                                  </a:xfrm>
                                </a:grpSpPr>
                                <a:cxnSp>
                                  <a:nvCxnSpPr>
                                    <a:cNvPr id="72" name="Straight Connector 71"/>
                                    <a:cNvCxnSpPr/>
                                  </a:nvCxnSpPr>
                                  <a:spPr>
                                    <a:xfrm>
                                      <a:off x="3069021"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3" name="Straight Connector 72"/>
                                    <a:cNvCxnSpPr/>
                                  </a:nvCxnSpPr>
                                  <a:spPr>
                                    <a:xfrm>
                                      <a:off x="3223557"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4" name="Straight Connector 73"/>
                                    <a:cNvCxnSpPr/>
                                  </a:nvCxnSpPr>
                                  <a:spPr>
                                    <a:xfrm>
                                      <a:off x="33902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5" name="Straight Connector 74"/>
                                    <a:cNvCxnSpPr/>
                                  </a:nvCxnSpPr>
                                  <a:spPr>
                                    <a:xfrm>
                                      <a:off x="3542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6" name="Straight Connector 75"/>
                                    <a:cNvCxnSpPr/>
                                  </a:nvCxnSpPr>
                                  <a:spPr>
                                    <a:xfrm>
                                      <a:off x="3695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7" name="Straight Connector 76"/>
                                    <a:cNvCxnSpPr/>
                                  </a:nvCxnSpPr>
                                  <a:spPr>
                                    <a:xfrm>
                                      <a:off x="3833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8" name="Straight Connector 77"/>
                                    <a:cNvCxnSpPr/>
                                  </a:nvCxnSpPr>
                                  <a:spPr>
                                    <a:xfrm>
                                      <a:off x="3985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9" name="Straight Connector 78"/>
                                    <a:cNvCxnSpPr/>
                                  </a:nvCxnSpPr>
                                  <a:spPr>
                                    <a:xfrm>
                                      <a:off x="4150065"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0" name="Straight Connector 79"/>
                                    <a:cNvCxnSpPr/>
                                  </a:nvCxnSpPr>
                                  <a:spPr>
                                    <a:xfrm>
                                      <a:off x="4304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1" name="Straight Connector 80"/>
                                    <a:cNvCxnSpPr/>
                                  </a:nvCxnSpPr>
                                  <a:spPr>
                                    <a:xfrm>
                                      <a:off x="4457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2" name="Straight Connector 81"/>
                                    <a:cNvCxnSpPr/>
                                  </a:nvCxnSpPr>
                                  <a:spPr>
                                    <a:xfrm>
                                      <a:off x="46094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3" name="Straight Connector 82"/>
                                    <a:cNvCxnSpPr/>
                                  </a:nvCxnSpPr>
                                  <a:spPr>
                                    <a:xfrm>
                                      <a:off x="47618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4" name="Straight Connector 83"/>
                                    <a:cNvCxnSpPr/>
                                  </a:nvCxnSpPr>
                                  <a:spPr>
                                    <a:xfrm>
                                      <a:off x="49149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5" name="Straight Connector 84"/>
                                    <a:cNvCxnSpPr/>
                                  </a:nvCxnSpPr>
                                  <a:spPr>
                                    <a:xfrm>
                                      <a:off x="50673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6" name="Straight Connector 85"/>
                                    <a:cNvCxnSpPr/>
                                  </a:nvCxnSpPr>
                                  <a:spPr>
                                    <a:xfrm>
                                      <a:off x="5202621"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7" name="Straight Connector 86"/>
                                    <a:cNvCxnSpPr/>
                                  </a:nvCxnSpPr>
                                  <a:spPr>
                                    <a:xfrm>
                                      <a:off x="5357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88" name="Straight Connector 87"/>
                                    <a:cNvCxnSpPr/>
                                  </a:nvCxnSpPr>
                                  <a:spPr>
                                    <a:xfrm>
                                      <a:off x="5509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70" name="Straight Connector 69"/>
                                  <a:cNvCxnSpPr/>
                                </a:nvCxnSpPr>
                                <a:spPr>
                                  <a:xfrm>
                                    <a:off x="5661957" y="4632352"/>
                                    <a:ext cx="0" cy="2286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71" name="Straight Connector 70"/>
                                  <a:cNvCxnSpPr/>
                                </a:nvCxnSpPr>
                                <a:spPr>
                                  <a:xfrm>
                                    <a:off x="5814357" y="4632352"/>
                                    <a:ext cx="0" cy="2286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47" name="Straight Connector 46"/>
                                <a:cNvCxnSpPr/>
                              </a:nvCxnSpPr>
                              <a:spPr>
                                <a:xfrm flipH="1">
                                  <a:off x="5016624" y="5420842"/>
                                  <a:ext cx="1296146" cy="727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nvGrpSpPr>
                                <a:cNvPr id="304" name="Group 121"/>
                                <a:cNvGrpSpPr/>
                              </a:nvGrpSpPr>
                              <a:grpSpPr>
                                <a:xfrm rot="10800000">
                                  <a:off x="5048351" y="5323894"/>
                                  <a:ext cx="1220268" cy="108231"/>
                                  <a:chOff x="3069021" y="3545083"/>
                                  <a:chExt cx="2440536" cy="321892"/>
                                </a:xfrm>
                              </a:grpSpPr>
                              <a:cxnSp>
                                <a:nvCxnSpPr>
                                  <a:cNvPr id="51" name="Straight Connector 50"/>
                                  <a:cNvCxnSpPr/>
                                </a:nvCxnSpPr>
                                <a:spPr>
                                  <a:xfrm>
                                    <a:off x="3069021"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2" name="Straight Connector 51"/>
                                  <a:cNvCxnSpPr/>
                                </a:nvCxnSpPr>
                                <a:spPr>
                                  <a:xfrm>
                                    <a:off x="3223557"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3" name="Straight Connector 52"/>
                                  <a:cNvCxnSpPr/>
                                </a:nvCxnSpPr>
                                <a:spPr>
                                  <a:xfrm>
                                    <a:off x="33902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4" name="Straight Connector 53"/>
                                  <a:cNvCxnSpPr/>
                                </a:nvCxnSpPr>
                                <a:spPr>
                                  <a:xfrm>
                                    <a:off x="3542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5" name="Straight Connector 54"/>
                                  <a:cNvCxnSpPr/>
                                </a:nvCxnSpPr>
                                <a:spPr>
                                  <a:xfrm>
                                    <a:off x="3695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6" name="Straight Connector 55"/>
                                  <a:cNvCxnSpPr/>
                                </a:nvCxnSpPr>
                                <a:spPr>
                                  <a:xfrm>
                                    <a:off x="3833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7" name="Straight Connector 56"/>
                                  <a:cNvCxnSpPr/>
                                </a:nvCxnSpPr>
                                <a:spPr>
                                  <a:xfrm>
                                    <a:off x="3985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8" name="Straight Connector 57"/>
                                  <a:cNvCxnSpPr/>
                                </a:nvCxnSpPr>
                                <a:spPr>
                                  <a:xfrm>
                                    <a:off x="4150065"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9" name="Straight Connector 58"/>
                                  <a:cNvCxnSpPr/>
                                </a:nvCxnSpPr>
                                <a:spPr>
                                  <a:xfrm>
                                    <a:off x="4304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0" name="Straight Connector 59"/>
                                  <a:cNvCxnSpPr/>
                                </a:nvCxnSpPr>
                                <a:spPr>
                                  <a:xfrm>
                                    <a:off x="4457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1" name="Straight Connector 60"/>
                                  <a:cNvCxnSpPr/>
                                </a:nvCxnSpPr>
                                <a:spPr>
                                  <a:xfrm>
                                    <a:off x="46094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2" name="Straight Connector 61"/>
                                  <a:cNvCxnSpPr/>
                                </a:nvCxnSpPr>
                                <a:spPr>
                                  <a:xfrm>
                                    <a:off x="47618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3" name="Straight Connector 62"/>
                                  <a:cNvCxnSpPr/>
                                </a:nvCxnSpPr>
                                <a:spPr>
                                  <a:xfrm>
                                    <a:off x="49149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4" name="Straight Connector 63"/>
                                  <a:cNvCxnSpPr/>
                                </a:nvCxnSpPr>
                                <a:spPr>
                                  <a:xfrm>
                                    <a:off x="50673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5" name="Straight Connector 64"/>
                                  <a:cNvCxnSpPr/>
                                </a:nvCxnSpPr>
                                <a:spPr>
                                  <a:xfrm>
                                    <a:off x="5202621"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6" name="Straight Connector 65"/>
                                  <a:cNvCxnSpPr/>
                                </a:nvCxnSpPr>
                                <a:spPr>
                                  <a:xfrm>
                                    <a:off x="5357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67" name="Straight Connector 66"/>
                                  <a:cNvCxnSpPr/>
                                </a:nvCxnSpPr>
                                <a:spPr>
                                  <a:xfrm>
                                    <a:off x="5509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sp>
                              <a:nvSpPr>
                                <a:cNvPr id="14" name="TextBox 48"/>
                                <a:cNvSpPr txBox="1"/>
                              </a:nvSpPr>
                              <a:spPr>
                                <a:xfrm>
                                  <a:off x="3144416" y="5284676"/>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solidFill>
                                          <a:srgbClr val="00B050"/>
                                        </a:solidFill>
                                      </a:rPr>
                                      <a:t>3’</a:t>
                                    </a:r>
                                    <a:endParaRPr lang="en-GB" sz="800" dirty="0">
                                      <a:solidFill>
                                        <a:srgbClr val="00B050"/>
                                      </a:solidFill>
                                    </a:endParaRPr>
                                  </a:p>
                                </a:txBody>
                                <a:useSpRect/>
                              </a:txSp>
                            </a:sp>
                            <a:sp>
                              <a:nvSpPr>
                                <a:cNvPr id="50" name="TextBox 49"/>
                                <a:cNvSpPr txBox="1"/>
                              </a:nvSpPr>
                              <a:spPr>
                                <a:xfrm>
                                  <a:off x="6276764" y="5284676"/>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solidFill>
                                          <a:srgbClr val="00B050"/>
                                        </a:solidFill>
                                      </a:rPr>
                                      <a:t>5’</a:t>
                                    </a:r>
                                    <a:endParaRPr lang="en-GB" sz="800" dirty="0">
                                      <a:solidFill>
                                        <a:srgbClr val="00B050"/>
                                      </a:solidFill>
                                    </a:endParaRPr>
                                  </a:p>
                                </a:txBody>
                                <a:useSpRect/>
                              </a:txSp>
                            </a:sp>
                          </a:grpSp>
                          <a:cxnSp>
                            <a:nvCxnSpPr>
                              <a:cNvPr id="31" name="Straight Arrow Connector 30"/>
                              <a:cNvCxnSpPr/>
                            </a:nvCxnSpPr>
                            <a:spPr>
                              <a:xfrm>
                                <a:off x="4764596" y="5223803"/>
                                <a:ext cx="0" cy="6477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2" name="Straight Arrow Connector 31"/>
                              <a:cNvCxnSpPr/>
                            </a:nvCxnSpPr>
                            <a:spPr>
                              <a:xfrm>
                                <a:off x="4764596" y="6833448"/>
                                <a:ext cx="0" cy="3240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3" name="Straight Arrow Connector 32"/>
                              <a:cNvCxnSpPr/>
                            </a:nvCxnSpPr>
                            <a:spPr>
                              <a:xfrm flipV="1">
                                <a:off x="4944616" y="6616824"/>
                                <a:ext cx="0" cy="180000"/>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34" name="TextBox 33"/>
                              <a:cNvSpPr txBox="1"/>
                            </a:nvSpPr>
                            <a:spPr>
                              <a:xfrm>
                                <a:off x="4908612" y="6625788"/>
                                <a:ext cx="720080" cy="461665"/>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solidFill>
                                        <a:srgbClr val="FF0000"/>
                                      </a:solidFill>
                                    </a:rPr>
                                    <a:t>Target mRNA cut by Argonaute-2</a:t>
                                  </a:r>
                                  <a:endParaRPr lang="en-GB" sz="800" dirty="0">
                                    <a:solidFill>
                                      <a:srgbClr val="FF0000"/>
                                    </a:solidFill>
                                  </a:endParaRPr>
                                </a:p>
                              </a:txBody>
                              <a:useSpRect/>
                            </a:txSp>
                          </a:sp>
                          <a:sp>
                            <a:nvSpPr>
                              <a:cNvPr id="35" name="TextBox 34"/>
                              <a:cNvSpPr txBox="1"/>
                            </a:nvSpPr>
                            <a:spPr>
                              <a:xfrm>
                                <a:off x="6024736" y="2584376"/>
                                <a:ext cx="1728192" cy="553998"/>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Dicer-2 with binding partner</a:t>
                                  </a:r>
                                </a:p>
                                <a:p>
                                  <a:pPr algn="ctr"/>
                                  <a:r>
                                    <a:rPr lang="en-GB" sz="1000" b="1" dirty="0" smtClean="0"/>
                                    <a:t>(R2D2 if dsRNA, Loquacious if RNA </a:t>
                                  </a:r>
                                  <a:r>
                                    <a:rPr lang="en-GB" sz="1000" b="1" dirty="0" err="1" smtClean="0"/>
                                    <a:t>transposon</a:t>
                                  </a:r>
                                  <a:r>
                                    <a:rPr lang="en-GB" sz="1000" b="1" dirty="0" smtClean="0"/>
                                    <a:t>)</a:t>
                                  </a:r>
                                  <a:endParaRPr lang="en-GB" sz="1000" b="1" dirty="0"/>
                                </a:p>
                              </a:txBody>
                              <a:useSpRect/>
                            </a:txSp>
                          </a:sp>
                          <a:sp>
                            <a:nvSpPr>
                              <a:cNvPr id="36" name="TextBox 35"/>
                              <a:cNvSpPr txBox="1"/>
                            </a:nvSpPr>
                            <a:spPr>
                              <a:xfrm>
                                <a:off x="4944616" y="2656384"/>
                                <a:ext cx="136815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Dicer-2 </a:t>
                                  </a:r>
                                  <a:endParaRPr lang="en-GB" sz="1000" b="1" dirty="0"/>
                                </a:p>
                              </a:txBody>
                              <a:useSpRect/>
                            </a:txSp>
                          </a:sp>
                          <a:sp>
                            <a:nvSpPr>
                              <a:cNvPr id="37" name="TextBox 36"/>
                              <a:cNvSpPr txBox="1"/>
                            </a:nvSpPr>
                            <a:spPr>
                              <a:xfrm>
                                <a:off x="2136304" y="3166247"/>
                                <a:ext cx="129540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siRNAs</a:t>
                                  </a:r>
                                  <a:endParaRPr lang="en-GB" sz="1000" b="1" dirty="0"/>
                                </a:p>
                              </a:txBody>
                              <a:useSpRect/>
                            </a:txSp>
                          </a:sp>
                          <a:sp>
                            <a:nvSpPr>
                              <a:cNvPr id="38" name="Oval 37"/>
                              <a:cNvSpPr>
                                <a:spLocks noChangeAspect="1"/>
                              </a:cNvSpPr>
                            </a:nvSpPr>
                            <a:spPr>
                              <a:xfrm>
                                <a:off x="5412668" y="3916524"/>
                                <a:ext cx="1371598" cy="342900"/>
                              </a:xfrm>
                              <a:prstGeom prst="ellipse">
                                <a:avLst/>
                              </a:prstGeom>
                              <a:solidFill>
                                <a:srgbClr val="0070C0"/>
                              </a:solidFill>
                              <a:ln>
                                <a:solidFill>
                                  <a:srgbClr val="0070C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Oval 38"/>
                              <a:cNvSpPr>
                                <a:spLocks noChangeAspect="1"/>
                              </a:cNvSpPr>
                            </a:nvSpPr>
                            <a:spPr>
                              <a:xfrm>
                                <a:off x="5448672" y="3880520"/>
                                <a:ext cx="148839" cy="171450"/>
                              </a:xfrm>
                              <a:prstGeom prst="ellipse">
                                <a:avLst/>
                              </a:prstGeom>
                              <a:solidFill>
                                <a:srgbClr val="C00000"/>
                              </a:solidFill>
                              <a:ln>
                                <a:solidFill>
                                  <a:srgbClr val="C00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Oval 39"/>
                              <a:cNvSpPr>
                                <a:spLocks noChangeAspect="1"/>
                              </a:cNvSpPr>
                            </a:nvSpPr>
                            <a:spPr>
                              <a:xfrm>
                                <a:off x="6708812" y="3916524"/>
                                <a:ext cx="148839" cy="171450"/>
                              </a:xfrm>
                              <a:prstGeom prst="ellipse">
                                <a:avLst/>
                              </a:prstGeom>
                              <a:solidFill>
                                <a:schemeClr val="accent3"/>
                              </a:solidFill>
                              <a:ln>
                                <a:solidFill>
                                  <a:schemeClr val="accent3"/>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Oval 40"/>
                              <a:cNvSpPr>
                                <a:spLocks noChangeAspect="1"/>
                              </a:cNvSpPr>
                            </a:nvSpPr>
                            <a:spPr>
                              <a:xfrm>
                                <a:off x="5988732" y="3772508"/>
                                <a:ext cx="148839" cy="171450"/>
                              </a:xfrm>
                              <a:prstGeom prst="ellipse">
                                <a:avLst/>
                              </a:prstGeom>
                              <a:solidFill>
                                <a:srgbClr val="FFC000"/>
                              </a:solidFill>
                              <a:ln>
                                <a:solidFill>
                                  <a:srgbClr val="FFC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TextBox 41"/>
                              <a:cNvSpPr txBox="1"/>
                            </a:nvSpPr>
                            <a:spPr>
                              <a:xfrm>
                                <a:off x="6852828" y="3876454"/>
                                <a:ext cx="1476164"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Argonaute-2 and other </a:t>
                                  </a:r>
                                </a:p>
                                <a:p>
                                  <a:pPr algn="ctr"/>
                                  <a:r>
                                    <a:rPr lang="en-GB" sz="1000" b="1" dirty="0" smtClean="0"/>
                                    <a:t>(</a:t>
                                  </a:r>
                                  <a:r>
                                    <a:rPr lang="en-GB" sz="1000" b="1" dirty="0" err="1" smtClean="0"/>
                                    <a:t>si</a:t>
                                  </a:r>
                                  <a:r>
                                    <a:rPr lang="en-GB" sz="1000" b="1" dirty="0" smtClean="0"/>
                                    <a:t>)-RISC components</a:t>
                                  </a:r>
                                  <a:endParaRPr lang="en-GB" sz="1000" b="1" dirty="0"/>
                                </a:p>
                              </a:txBody>
                              <a:useSpRect/>
                            </a:txSp>
                          </a:sp>
                          <a:sp>
                            <a:nvSpPr>
                              <a:cNvPr id="43" name="TextBox 42"/>
                              <a:cNvSpPr txBox="1"/>
                            </a:nvSpPr>
                            <a:spPr>
                              <a:xfrm>
                                <a:off x="2604356" y="4930443"/>
                                <a:ext cx="118813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Pre-RISC</a:t>
                                  </a:r>
                                  <a:endParaRPr lang="en-GB" sz="1000" b="1" dirty="0"/>
                                </a:p>
                              </a:txBody>
                              <a:useSpRect/>
                            </a:txSp>
                          </a:sp>
                          <a:sp>
                            <a:nvSpPr>
                              <a:cNvPr id="8" name="TextBox 43"/>
                              <a:cNvSpPr txBox="1"/>
                            </a:nvSpPr>
                            <a:spPr>
                              <a:xfrm>
                                <a:off x="2604356" y="6112768"/>
                                <a:ext cx="1188132"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err="1" smtClean="0"/>
                                    <a:t>si</a:t>
                                  </a:r>
                                  <a:r>
                                    <a:rPr lang="en-GB" sz="1000" b="1" dirty="0" smtClean="0"/>
                                    <a:t>-RISC bound to target mRNA</a:t>
                                  </a:r>
                                  <a:endParaRPr lang="en-GB" sz="1000" b="1" dirty="0"/>
                                </a:p>
                              </a:txBody>
                              <a:useSpRect/>
                            </a:txSp>
                          </a:sp>
                          <a:sp>
                            <a:nvSpPr>
                              <a:cNvPr id="13" name="TextBox 44"/>
                              <a:cNvSpPr txBox="1"/>
                            </a:nvSpPr>
                            <a:spPr>
                              <a:xfrm>
                                <a:off x="5412668" y="3958335"/>
                                <a:ext cx="136815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Argonaute-2 </a:t>
                                  </a:r>
                                  <a:endParaRPr lang="en-GB" sz="1000" b="1" dirty="0"/>
                                </a:p>
                              </a:txBody>
                              <a:useSpRect/>
                            </a:txSp>
                          </a:sp>
                        </a:grpSp>
                        <a:sp>
                          <a:nvSpPr>
                            <a:cNvPr id="2" name="TextBox 5"/>
                            <a:cNvSpPr txBox="1"/>
                          </a:nvSpPr>
                          <a:spPr>
                            <a:xfrm>
                              <a:off x="2424336" y="6619146"/>
                              <a:ext cx="1548172" cy="86177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Human or Insect:</a:t>
                                </a:r>
                              </a:p>
                              <a:p>
                                <a:pPr algn="ctr"/>
                                <a:r>
                                  <a:rPr lang="en-GB" sz="1000" b="1" dirty="0" smtClean="0"/>
                                  <a:t>Target </a:t>
                                </a:r>
                                <a:r>
                                  <a:rPr lang="en-GB" sz="1000" b="1" dirty="0" smtClean="0"/>
                                  <a:t>mRNA </a:t>
                                </a:r>
                                <a:r>
                                  <a:rPr lang="en-GB" sz="1000" b="1" dirty="0" smtClean="0"/>
                                  <a:t>cleaved if no mismatches;</a:t>
                                </a:r>
                              </a:p>
                              <a:p>
                                <a:pPr algn="ctr"/>
                                <a:r>
                                  <a:rPr lang="en-GB" sz="1000" b="1" dirty="0" smtClean="0"/>
                                  <a:t>Translational repression if mismatches</a:t>
                                </a:r>
                                <a:endParaRPr lang="en-GB" sz="1000" b="1" dirty="0"/>
                              </a:p>
                            </a:txBody>
                            <a:useSpRect/>
                          </a:txSp>
                        </a:sp>
                      </a:grpSp>
                      <a:grpSp>
                        <a:nvGrpSpPr>
                          <a:cNvPr id="6" name="Group 296"/>
                          <a:cNvGrpSpPr/>
                        </a:nvGrpSpPr>
                        <a:grpSpPr>
                          <a:xfrm>
                            <a:off x="-563996" y="1212158"/>
                            <a:ext cx="6300700" cy="6628802"/>
                            <a:chOff x="1992288" y="1428182"/>
                            <a:chExt cx="6300700" cy="6628802"/>
                          </a:xfrm>
                        </a:grpSpPr>
                        <a:grpSp>
                          <a:nvGrpSpPr>
                            <a:cNvPr id="9" name="Group 1"/>
                            <a:cNvGrpSpPr>
                              <a:grpSpLocks noChangeAspect="1"/>
                            </a:cNvGrpSpPr>
                          </a:nvGrpSpPr>
                          <a:grpSpPr>
                            <a:xfrm>
                              <a:off x="3216424" y="1458379"/>
                              <a:ext cx="3194703" cy="169433"/>
                              <a:chOff x="1295401" y="1217062"/>
                              <a:chExt cx="6389406" cy="338865"/>
                            </a:xfrm>
                          </a:grpSpPr>
                          <a:cxnSp>
                            <a:nvCxnSpPr>
                              <a:cNvPr id="504" name="Straight Connector 2"/>
                              <a:cNvCxnSpPr/>
                            </a:nvCxnSpPr>
                            <a:spPr>
                              <a:xfrm>
                                <a:off x="1295401" y="1234867"/>
                                <a:ext cx="3200400" cy="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05" name="Straight Connector 3"/>
                              <a:cNvCxnSpPr/>
                            </a:nvCxnSpPr>
                            <a:spPr>
                              <a:xfrm flipV="1">
                                <a:off x="1295401" y="1540260"/>
                                <a:ext cx="3200400" cy="15667"/>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06" name="Straight Connector 4"/>
                              <a:cNvCxnSpPr/>
                            </a:nvCxnSpPr>
                            <a:spPr>
                              <a:xfrm>
                                <a:off x="13716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07" name="Straight Connector 5"/>
                              <a:cNvCxnSpPr/>
                            </a:nvCxnSpPr>
                            <a:spPr>
                              <a:xfrm>
                                <a:off x="15240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08" name="Straight Connector 6"/>
                              <a:cNvCxnSpPr/>
                            </a:nvCxnSpPr>
                            <a:spPr>
                              <a:xfrm>
                                <a:off x="1674265" y="125053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09" name="Straight Connector 7"/>
                              <a:cNvCxnSpPr/>
                            </a:nvCxnSpPr>
                            <a:spPr>
                              <a:xfrm>
                                <a:off x="1828801" y="125053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0" name="Straight Connector 8"/>
                              <a:cNvCxnSpPr/>
                            </a:nvCxnSpPr>
                            <a:spPr>
                              <a:xfrm>
                                <a:off x="1980489"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1" name="Straight Connector 9"/>
                              <a:cNvCxnSpPr/>
                            </a:nvCxnSpPr>
                            <a:spPr>
                              <a:xfrm>
                                <a:off x="2132889"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2" name="Straight Connector 10"/>
                              <a:cNvCxnSpPr/>
                            </a:nvCxnSpPr>
                            <a:spPr>
                              <a:xfrm>
                                <a:off x="2285289"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3" name="Straight Connector 11"/>
                              <a:cNvCxnSpPr/>
                            </a:nvCxnSpPr>
                            <a:spPr>
                              <a:xfrm>
                                <a:off x="24384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4" name="Straight Connector 12"/>
                              <a:cNvCxnSpPr/>
                            </a:nvCxnSpPr>
                            <a:spPr>
                              <a:xfrm>
                                <a:off x="25908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5" name="Straight Connector 13"/>
                              <a:cNvCxnSpPr/>
                            </a:nvCxnSpPr>
                            <a:spPr>
                              <a:xfrm>
                                <a:off x="2740353"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6" name="Straight Connector 14"/>
                              <a:cNvCxnSpPr/>
                            </a:nvCxnSpPr>
                            <a:spPr>
                              <a:xfrm>
                                <a:off x="2894889"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7" name="Straight Connector 15"/>
                              <a:cNvCxnSpPr/>
                            </a:nvCxnSpPr>
                            <a:spPr>
                              <a:xfrm>
                                <a:off x="3047289"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8" name="Straight Connector 16"/>
                              <a:cNvCxnSpPr/>
                            </a:nvCxnSpPr>
                            <a:spPr>
                              <a:xfrm>
                                <a:off x="3199689"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19" name="Straight Connector 17"/>
                              <a:cNvCxnSpPr/>
                            </a:nvCxnSpPr>
                            <a:spPr>
                              <a:xfrm>
                                <a:off x="3352089" y="1226321"/>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0" name="Straight Connector 18"/>
                              <a:cNvCxnSpPr/>
                            </a:nvCxnSpPr>
                            <a:spPr>
                              <a:xfrm>
                                <a:off x="3505201" y="1219200"/>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1" name="Straight Connector 19"/>
                              <a:cNvCxnSpPr/>
                            </a:nvCxnSpPr>
                            <a:spPr>
                              <a:xfrm>
                                <a:off x="3657601" y="1219200"/>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2" name="Straight Connector 20"/>
                              <a:cNvCxnSpPr/>
                            </a:nvCxnSpPr>
                            <a:spPr>
                              <a:xfrm>
                                <a:off x="3807865"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3" name="Straight Connector 21"/>
                              <a:cNvCxnSpPr/>
                            </a:nvCxnSpPr>
                            <a:spPr>
                              <a:xfrm>
                                <a:off x="39624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4" name="Straight Connector 22"/>
                              <a:cNvCxnSpPr/>
                            </a:nvCxnSpPr>
                            <a:spPr>
                              <a:xfrm>
                                <a:off x="41148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5" name="Straight Connector 23"/>
                              <a:cNvCxnSpPr/>
                            </a:nvCxnSpPr>
                            <a:spPr>
                              <a:xfrm>
                                <a:off x="42672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6" name="Straight Connector 24"/>
                              <a:cNvCxnSpPr/>
                            </a:nvCxnSpPr>
                            <a:spPr>
                              <a:xfrm>
                                <a:off x="4419601" y="1234867"/>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7" name="Straight Connector 25"/>
                              <a:cNvCxnSpPr/>
                            </a:nvCxnSpPr>
                            <a:spPr>
                              <a:xfrm>
                                <a:off x="4484407" y="1234867"/>
                                <a:ext cx="3200400" cy="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8" name="Straight Connector 26"/>
                              <a:cNvCxnSpPr/>
                            </a:nvCxnSpPr>
                            <a:spPr>
                              <a:xfrm flipV="1">
                                <a:off x="4484407" y="1524593"/>
                                <a:ext cx="3200400" cy="15667"/>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29" name="Straight Connector 27"/>
                              <a:cNvCxnSpPr/>
                            </a:nvCxnSpPr>
                            <a:spPr>
                              <a:xfrm>
                                <a:off x="45606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0" name="Straight Connector 28"/>
                              <a:cNvCxnSpPr/>
                            </a:nvCxnSpPr>
                            <a:spPr>
                              <a:xfrm>
                                <a:off x="47130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1" name="Straight Connector 29"/>
                              <a:cNvCxnSpPr/>
                            </a:nvCxnSpPr>
                            <a:spPr>
                              <a:xfrm>
                                <a:off x="4863271" y="1232729"/>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2" name="Straight Connector 30"/>
                              <a:cNvCxnSpPr/>
                            </a:nvCxnSpPr>
                            <a:spPr>
                              <a:xfrm>
                                <a:off x="5017807" y="1232729"/>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3" name="Straight Connector 31"/>
                              <a:cNvCxnSpPr/>
                            </a:nvCxnSpPr>
                            <a:spPr>
                              <a:xfrm>
                                <a:off x="5184451"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4" name="Straight Connector 32"/>
                              <a:cNvCxnSpPr/>
                            </a:nvCxnSpPr>
                            <a:spPr>
                              <a:xfrm>
                                <a:off x="5336851"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5" name="Straight Connector 33"/>
                              <a:cNvCxnSpPr/>
                            </a:nvCxnSpPr>
                            <a:spPr>
                              <a:xfrm>
                                <a:off x="5489251"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6" name="Straight Connector 34"/>
                              <a:cNvCxnSpPr/>
                            </a:nvCxnSpPr>
                            <a:spPr>
                              <a:xfrm>
                                <a:off x="56274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7" name="Straight Connector 35"/>
                              <a:cNvCxnSpPr/>
                            </a:nvCxnSpPr>
                            <a:spPr>
                              <a:xfrm>
                                <a:off x="57798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8" name="Straight Connector 36"/>
                              <a:cNvCxnSpPr/>
                            </a:nvCxnSpPr>
                            <a:spPr>
                              <a:xfrm>
                                <a:off x="5944315"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39" name="Straight Connector 37"/>
                              <a:cNvCxnSpPr/>
                            </a:nvCxnSpPr>
                            <a:spPr>
                              <a:xfrm>
                                <a:off x="6098851"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0" name="Straight Connector 38"/>
                              <a:cNvCxnSpPr/>
                            </a:nvCxnSpPr>
                            <a:spPr>
                              <a:xfrm>
                                <a:off x="6251251"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1" name="Straight Connector 39"/>
                              <a:cNvCxnSpPr/>
                            </a:nvCxnSpPr>
                            <a:spPr>
                              <a:xfrm>
                                <a:off x="6403651"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2" name="Straight Connector 40"/>
                              <a:cNvCxnSpPr/>
                            </a:nvCxnSpPr>
                            <a:spPr>
                              <a:xfrm>
                                <a:off x="6556051" y="1234154"/>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3" name="Straight Connector 41"/>
                              <a:cNvCxnSpPr/>
                            </a:nvCxnSpPr>
                            <a:spPr>
                              <a:xfrm>
                                <a:off x="6709163" y="1227033"/>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4" name="Straight Connector 42"/>
                              <a:cNvCxnSpPr/>
                            </a:nvCxnSpPr>
                            <a:spPr>
                              <a:xfrm>
                                <a:off x="6861563" y="1227033"/>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5" name="Straight Connector 43"/>
                              <a:cNvCxnSpPr/>
                            </a:nvCxnSpPr>
                            <a:spPr>
                              <a:xfrm>
                                <a:off x="6996871"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6" name="Straight Connector 44"/>
                              <a:cNvCxnSpPr/>
                            </a:nvCxnSpPr>
                            <a:spPr>
                              <a:xfrm>
                                <a:off x="71514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7" name="Straight Connector 45"/>
                              <a:cNvCxnSpPr/>
                            </a:nvCxnSpPr>
                            <a:spPr>
                              <a:xfrm>
                                <a:off x="73038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8" name="Straight Connector 46"/>
                              <a:cNvCxnSpPr/>
                            </a:nvCxnSpPr>
                            <a:spPr>
                              <a:xfrm>
                                <a:off x="74562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549" name="Straight Connector 47"/>
                              <a:cNvCxnSpPr/>
                            </a:nvCxnSpPr>
                            <a:spPr>
                              <a:xfrm>
                                <a:off x="7608607" y="1217062"/>
                                <a:ext cx="0" cy="304800"/>
                              </a:xfrm>
                              <a:prstGeom prst="line">
                                <a:avLst/>
                              </a:prstGeom>
                              <a:ln w="28575">
                                <a:solidFill>
                                  <a:srgbClr val="0070C0"/>
                                </a:solidFill>
                              </a:ln>
                            </a:spPr>
                            <a:style>
                              <a:lnRef idx="1">
                                <a:schemeClr val="accent1"/>
                              </a:lnRef>
                              <a:fillRef idx="0">
                                <a:schemeClr val="accent1"/>
                              </a:fillRef>
                              <a:effectRef idx="0">
                                <a:schemeClr val="accent1"/>
                              </a:effectRef>
                              <a:fontRef idx="minor">
                                <a:schemeClr val="tx1"/>
                              </a:fontRef>
                            </a:style>
                          </a:cxnSp>
                        </a:grpSp>
                        <a:grpSp>
                          <a:nvGrpSpPr>
                            <a:cNvPr id="10" name="Group 48"/>
                            <a:cNvGrpSpPr>
                              <a:grpSpLocks noChangeAspect="1"/>
                            </a:cNvGrpSpPr>
                          </a:nvGrpSpPr>
                          <a:grpSpPr>
                            <a:xfrm>
                              <a:off x="3972508" y="4924636"/>
                              <a:ext cx="1605897" cy="160946"/>
                              <a:chOff x="2949013" y="2649195"/>
                              <a:chExt cx="3211794" cy="321892"/>
                            </a:xfrm>
                          </a:grpSpPr>
                          <a:cxnSp>
                            <a:nvCxnSpPr>
                              <a:cNvPr id="481" name="Straight Connector 480"/>
                              <a:cNvCxnSpPr/>
                            </a:nvCxnSpPr>
                            <a:spPr>
                              <a:xfrm>
                                <a:off x="3327877" y="2666287"/>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2" name="Straight Connector 481"/>
                              <a:cNvCxnSpPr/>
                            </a:nvCxnSpPr>
                            <a:spPr>
                              <a:xfrm flipV="1">
                                <a:off x="2949013" y="2938328"/>
                                <a:ext cx="2819400" cy="1566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3" name="Straight Connector 482"/>
                              <a:cNvCxnSpPr/>
                            </a:nvCxnSpPr>
                            <a:spPr>
                              <a:xfrm>
                                <a:off x="30252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4" name="Straight Connector 483"/>
                              <a:cNvCxnSpPr/>
                            </a:nvCxnSpPr>
                            <a:spPr>
                              <a:xfrm>
                                <a:off x="31776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5" name="Straight Connector 484"/>
                              <a:cNvCxnSpPr/>
                            </a:nvCxnSpPr>
                            <a:spPr>
                              <a:xfrm>
                                <a:off x="3327877"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6" name="Straight Connector 485"/>
                              <a:cNvCxnSpPr/>
                            </a:nvCxnSpPr>
                            <a:spPr>
                              <a:xfrm>
                                <a:off x="3482413"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7" name="Straight Connector 486"/>
                              <a:cNvCxnSpPr/>
                            </a:nvCxnSpPr>
                            <a:spPr>
                              <a:xfrm>
                                <a:off x="36490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8" name="Straight Connector 487"/>
                              <a:cNvCxnSpPr/>
                            </a:nvCxnSpPr>
                            <a:spPr>
                              <a:xfrm>
                                <a:off x="3801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9" name="Straight Connector 488"/>
                              <a:cNvCxnSpPr/>
                            </a:nvCxnSpPr>
                            <a:spPr>
                              <a:xfrm>
                                <a:off x="3953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0" name="Straight Connector 489"/>
                              <a:cNvCxnSpPr/>
                            </a:nvCxnSpPr>
                            <a:spPr>
                              <a:xfrm>
                                <a:off x="4092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1" name="Straight Connector 490"/>
                              <a:cNvCxnSpPr/>
                            </a:nvCxnSpPr>
                            <a:spPr>
                              <a:xfrm>
                                <a:off x="4244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2" name="Straight Connector 491"/>
                              <a:cNvCxnSpPr/>
                            </a:nvCxnSpPr>
                            <a:spPr>
                              <a:xfrm>
                                <a:off x="4408921"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3" name="Straight Connector 492"/>
                              <a:cNvCxnSpPr/>
                            </a:nvCxnSpPr>
                            <a:spPr>
                              <a:xfrm>
                                <a:off x="4563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4" name="Straight Connector 493"/>
                              <a:cNvCxnSpPr/>
                            </a:nvCxnSpPr>
                            <a:spPr>
                              <a:xfrm>
                                <a:off x="4715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5" name="Straight Connector 494"/>
                              <a:cNvCxnSpPr/>
                            </a:nvCxnSpPr>
                            <a:spPr>
                              <a:xfrm>
                                <a:off x="48682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6" name="Straight Connector 495"/>
                              <a:cNvCxnSpPr/>
                            </a:nvCxnSpPr>
                            <a:spPr>
                              <a:xfrm>
                                <a:off x="50206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7" name="Straight Connector 496"/>
                              <a:cNvCxnSpPr/>
                            </a:nvCxnSpPr>
                            <a:spPr>
                              <a:xfrm>
                                <a:off x="51737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8" name="Straight Connector 497"/>
                              <a:cNvCxnSpPr/>
                            </a:nvCxnSpPr>
                            <a:spPr>
                              <a:xfrm>
                                <a:off x="53261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9" name="Straight Connector 498"/>
                              <a:cNvCxnSpPr/>
                            </a:nvCxnSpPr>
                            <a:spPr>
                              <a:xfrm>
                                <a:off x="5461477"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00" name="Straight Connector 499"/>
                              <a:cNvCxnSpPr/>
                            </a:nvCxnSpPr>
                            <a:spPr>
                              <a:xfrm>
                                <a:off x="5616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01" name="Straight Connector 500"/>
                              <a:cNvCxnSpPr/>
                            </a:nvCxnSpPr>
                            <a:spPr>
                              <a:xfrm>
                                <a:off x="5768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02" name="Straight Connector 501"/>
                              <a:cNvCxnSpPr/>
                            </a:nvCxnSpPr>
                            <a:spPr>
                              <a:xfrm>
                                <a:off x="59208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03" name="Straight Connector 502"/>
                              <a:cNvCxnSpPr/>
                            </a:nvCxnSpPr>
                            <a:spPr>
                              <a:xfrm>
                                <a:off x="60732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grpSp>
                          <a:nvGrpSpPr>
                            <a:cNvPr id="11" name="Group 72"/>
                            <a:cNvGrpSpPr>
                              <a:grpSpLocks noChangeAspect="1"/>
                            </a:cNvGrpSpPr>
                          </a:nvGrpSpPr>
                          <a:grpSpPr>
                            <a:xfrm>
                              <a:off x="5340660" y="3988532"/>
                              <a:ext cx="674762" cy="364621"/>
                              <a:chOff x="5566876" y="1709159"/>
                              <a:chExt cx="1349523" cy="729241"/>
                            </a:xfrm>
                          </a:grpSpPr>
                          <a:sp>
                            <a:nvSpPr>
                              <a:cNvPr id="479" name="Oval 478"/>
                              <a:cNvSpPr/>
                            </a:nvSpPr>
                            <a:spPr>
                              <a:xfrm>
                                <a:off x="5566876" y="1752600"/>
                                <a:ext cx="1204956" cy="685800"/>
                              </a:xfrm>
                              <a:prstGeom prst="ellipse">
                                <a:avLst/>
                              </a:prstGeom>
                              <a:solidFill>
                                <a:srgbClr val="00B050"/>
                              </a:solidFill>
                              <a:ln>
                                <a:solidFill>
                                  <a:srgbClr val="00B05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80" name="Oval 479"/>
                              <a:cNvSpPr/>
                            </a:nvSpPr>
                            <a:spPr>
                              <a:xfrm>
                                <a:off x="6618721" y="1709159"/>
                                <a:ext cx="297678" cy="342900"/>
                              </a:xfrm>
                              <a:prstGeom prst="ellipse">
                                <a:avLst/>
                              </a:prstGeom>
                              <a:solidFill>
                                <a:srgbClr val="7030A0"/>
                              </a:solidFill>
                              <a:ln>
                                <a:solidFill>
                                  <a:srgbClr val="7030A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12" name="Group 75"/>
                            <a:cNvGrpSpPr>
                              <a:grpSpLocks noChangeAspect="1"/>
                            </a:cNvGrpSpPr>
                          </a:nvGrpSpPr>
                          <a:grpSpPr>
                            <a:xfrm>
                              <a:off x="4764596" y="4071675"/>
                              <a:ext cx="953925" cy="708945"/>
                              <a:chOff x="4495801" y="1752600"/>
                              <a:chExt cx="1907850" cy="1417890"/>
                            </a:xfrm>
                          </a:grpSpPr>
                          <a:cxnSp>
                            <a:nvCxnSpPr>
                              <a:cNvPr id="477" name="Straight Arrow Connector 476"/>
                              <a:cNvCxnSpPr/>
                            </a:nvCxnSpPr>
                            <a:spPr>
                              <a:xfrm>
                                <a:off x="4495801" y="1752600"/>
                                <a:ext cx="0" cy="12954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78" name="Arc 477"/>
                              <a:cNvSpPr/>
                            </a:nvSpPr>
                            <a:spPr>
                              <a:xfrm rot="16200000">
                                <a:off x="4862469" y="1629309"/>
                                <a:ext cx="1174513" cy="1907850"/>
                              </a:xfrm>
                              <a:prstGeom prst="arc">
                                <a:avLst/>
                              </a:prstGeom>
                              <a:ln>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sp>
                          <a:nvSpPr>
                            <a:cNvPr id="302" name="Oval 301"/>
                            <a:cNvSpPr>
                              <a:spLocks noChangeAspect="1"/>
                            </a:cNvSpPr>
                          </a:nvSpPr>
                          <a:spPr>
                            <a:xfrm>
                              <a:off x="4260540" y="6148772"/>
                              <a:ext cx="1371598" cy="342900"/>
                            </a:xfrm>
                            <a:prstGeom prst="ellipse">
                              <a:avLst/>
                            </a:prstGeom>
                            <a:solidFill>
                              <a:srgbClr val="0070C0"/>
                            </a:solidFill>
                            <a:ln>
                              <a:solidFill>
                                <a:srgbClr val="0070C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03" name="TextBox 302"/>
                            <a:cNvSpPr txBox="1"/>
                          </a:nvSpPr>
                          <a:spPr>
                            <a:xfrm>
                              <a:off x="1992288" y="1428182"/>
                              <a:ext cx="129540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miRNA gene (DNA)</a:t>
                                </a:r>
                                <a:endParaRPr lang="en-GB" sz="1000" b="1" dirty="0"/>
                              </a:p>
                            </a:txBody>
                            <a:useSpRect/>
                          </a:txSp>
                        </a:sp>
                        <a:grpSp>
                          <a:nvGrpSpPr>
                            <a:cNvPr id="15" name="Group 80"/>
                            <a:cNvGrpSpPr>
                              <a:grpSpLocks noChangeAspect="1"/>
                            </a:cNvGrpSpPr>
                          </a:nvGrpSpPr>
                          <a:grpSpPr>
                            <a:xfrm>
                              <a:off x="3384766" y="7876964"/>
                              <a:ext cx="2928002" cy="112025"/>
                              <a:chOff x="1743702" y="12520421"/>
                              <a:chExt cx="5856003" cy="224050"/>
                            </a:xfrm>
                          </a:grpSpPr>
                          <a:grpSp>
                            <a:nvGrpSpPr>
                              <a:cNvPr id="144" name="Group 97"/>
                              <a:cNvGrpSpPr/>
                            </a:nvGrpSpPr>
                            <a:grpSpPr>
                              <a:xfrm rot="10800000">
                                <a:off x="1743702" y="12520421"/>
                                <a:ext cx="2832930" cy="219959"/>
                                <a:chOff x="3069021" y="4632352"/>
                                <a:chExt cx="2832930" cy="228600"/>
                              </a:xfrm>
                            </a:grpSpPr>
                            <a:cxnSp>
                              <a:nvCxnSpPr>
                                <a:cNvPr id="456" name="Straight Connector 455"/>
                                <a:cNvCxnSpPr/>
                              </a:nvCxnSpPr>
                              <a:spPr>
                                <a:xfrm>
                                  <a:off x="3069021" y="4649444"/>
                                  <a:ext cx="2832930" cy="713"/>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nvGrpSpPr>
                                <a:cNvPr id="167" name="Group 99"/>
                                <a:cNvGrpSpPr/>
                              </a:nvGrpSpPr>
                              <a:grpSpPr>
                                <a:xfrm>
                                  <a:off x="3069021" y="4632352"/>
                                  <a:ext cx="2440536" cy="228600"/>
                                  <a:chOff x="3069021" y="3545083"/>
                                  <a:chExt cx="2440536" cy="321892"/>
                                </a:xfrm>
                              </a:grpSpPr>
                              <a:cxnSp>
                                <a:nvCxnSpPr>
                                  <a:cNvPr id="460" name="Straight Connector 459"/>
                                  <a:cNvCxnSpPr/>
                                </a:nvCxnSpPr>
                                <a:spPr>
                                  <a:xfrm>
                                    <a:off x="3069021"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1" name="Straight Connector 460"/>
                                  <a:cNvCxnSpPr/>
                                </a:nvCxnSpPr>
                                <a:spPr>
                                  <a:xfrm>
                                    <a:off x="3223557"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2" name="Straight Connector 461"/>
                                  <a:cNvCxnSpPr/>
                                </a:nvCxnSpPr>
                                <a:spPr>
                                  <a:xfrm>
                                    <a:off x="33902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3" name="Straight Connector 462"/>
                                  <a:cNvCxnSpPr/>
                                </a:nvCxnSpPr>
                                <a:spPr>
                                  <a:xfrm>
                                    <a:off x="3542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4" name="Straight Connector 463"/>
                                  <a:cNvCxnSpPr/>
                                </a:nvCxnSpPr>
                                <a:spPr>
                                  <a:xfrm>
                                    <a:off x="3695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5" name="Straight Connector 464"/>
                                  <a:cNvCxnSpPr/>
                                </a:nvCxnSpPr>
                                <a:spPr>
                                  <a:xfrm>
                                    <a:off x="3833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6" name="Straight Connector 465"/>
                                  <a:cNvCxnSpPr/>
                                </a:nvCxnSpPr>
                                <a:spPr>
                                  <a:xfrm>
                                    <a:off x="3985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7" name="Straight Connector 466"/>
                                  <a:cNvCxnSpPr/>
                                </a:nvCxnSpPr>
                                <a:spPr>
                                  <a:xfrm>
                                    <a:off x="4150065"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8" name="Straight Connector 467"/>
                                  <a:cNvCxnSpPr/>
                                </a:nvCxnSpPr>
                                <a:spPr>
                                  <a:xfrm>
                                    <a:off x="4304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9" name="Straight Connector 468"/>
                                  <a:cNvCxnSpPr/>
                                </a:nvCxnSpPr>
                                <a:spPr>
                                  <a:xfrm>
                                    <a:off x="4457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0" name="Straight Connector 469"/>
                                  <a:cNvCxnSpPr/>
                                </a:nvCxnSpPr>
                                <a:spPr>
                                  <a:xfrm>
                                    <a:off x="46094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1" name="Straight Connector 470"/>
                                  <a:cNvCxnSpPr/>
                                </a:nvCxnSpPr>
                                <a:spPr>
                                  <a:xfrm>
                                    <a:off x="47618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2" name="Straight Connector 471"/>
                                  <a:cNvCxnSpPr/>
                                </a:nvCxnSpPr>
                                <a:spPr>
                                  <a:xfrm>
                                    <a:off x="49149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3" name="Straight Connector 472"/>
                                  <a:cNvCxnSpPr/>
                                </a:nvCxnSpPr>
                                <a:spPr>
                                  <a:xfrm>
                                    <a:off x="50673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4" name="Straight Connector 473"/>
                                  <a:cNvCxnSpPr/>
                                </a:nvCxnSpPr>
                                <a:spPr>
                                  <a:xfrm>
                                    <a:off x="5202621"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5" name="Straight Connector 474"/>
                                  <a:cNvCxnSpPr/>
                                </a:nvCxnSpPr>
                                <a:spPr>
                                  <a:xfrm>
                                    <a:off x="5357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6" name="Straight Connector 475"/>
                                  <a:cNvCxnSpPr/>
                                </a:nvCxnSpPr>
                                <a:spPr>
                                  <a:xfrm>
                                    <a:off x="5509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458" name="Straight Connector 457"/>
                                <a:cNvCxnSpPr/>
                              </a:nvCxnSpPr>
                              <a:spPr>
                                <a:xfrm>
                                  <a:off x="5661957" y="4632352"/>
                                  <a:ext cx="0" cy="2286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9" name="Straight Connector 458"/>
                                <a:cNvCxnSpPr/>
                              </a:nvCxnSpPr>
                              <a:spPr>
                                <a:xfrm>
                                  <a:off x="5814357" y="4632352"/>
                                  <a:ext cx="0" cy="2286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435" name="Straight Connector 434"/>
                              <a:cNvCxnSpPr/>
                            </a:nvCxnSpPr>
                            <a:spPr>
                              <a:xfrm flipH="1">
                                <a:off x="4576631" y="12721904"/>
                                <a:ext cx="3023074" cy="2031"/>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nvGrpSpPr>
                              <a:cNvPr id="146" name="Group 121"/>
                              <a:cNvGrpSpPr/>
                            </a:nvGrpSpPr>
                            <a:grpSpPr>
                              <a:xfrm rot="10800000">
                                <a:off x="5070871" y="12528009"/>
                                <a:ext cx="2440536" cy="216462"/>
                                <a:chOff x="3069021" y="3545083"/>
                                <a:chExt cx="2440536" cy="321892"/>
                              </a:xfrm>
                            </a:grpSpPr>
                            <a:cxnSp>
                              <a:nvCxnSpPr>
                                <a:cNvPr id="439" name="Straight Connector 438"/>
                                <a:cNvCxnSpPr/>
                              </a:nvCxnSpPr>
                              <a:spPr>
                                <a:xfrm>
                                  <a:off x="3069021"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0" name="Straight Connector 439"/>
                                <a:cNvCxnSpPr/>
                              </a:nvCxnSpPr>
                              <a:spPr>
                                <a:xfrm>
                                  <a:off x="3223557" y="3560750"/>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1" name="Straight Connector 440"/>
                                <a:cNvCxnSpPr/>
                              </a:nvCxnSpPr>
                              <a:spPr>
                                <a:xfrm>
                                  <a:off x="33902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2" name="Straight Connector 441"/>
                                <a:cNvCxnSpPr/>
                              </a:nvCxnSpPr>
                              <a:spPr>
                                <a:xfrm>
                                  <a:off x="3542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3" name="Straight Connector 442"/>
                                <a:cNvCxnSpPr/>
                              </a:nvCxnSpPr>
                              <a:spPr>
                                <a:xfrm>
                                  <a:off x="3695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4" name="Straight Connector 443"/>
                                <a:cNvCxnSpPr/>
                              </a:nvCxnSpPr>
                              <a:spPr>
                                <a:xfrm>
                                  <a:off x="3833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5" name="Straight Connector 444"/>
                                <a:cNvCxnSpPr/>
                              </a:nvCxnSpPr>
                              <a:spPr>
                                <a:xfrm>
                                  <a:off x="3985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6" name="Straight Connector 93"/>
                                <a:cNvCxnSpPr/>
                              </a:nvCxnSpPr>
                              <a:spPr>
                                <a:xfrm>
                                  <a:off x="4150065"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7" name="Straight Connector 446"/>
                                <a:cNvCxnSpPr/>
                              </a:nvCxnSpPr>
                              <a:spPr>
                                <a:xfrm>
                                  <a:off x="43046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8" name="Straight Connector 447"/>
                                <a:cNvCxnSpPr/>
                              </a:nvCxnSpPr>
                              <a:spPr>
                                <a:xfrm>
                                  <a:off x="44570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9" name="Straight Connector 448"/>
                                <a:cNvCxnSpPr/>
                              </a:nvCxnSpPr>
                              <a:spPr>
                                <a:xfrm>
                                  <a:off x="46094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0" name="Straight Connector 449"/>
                                <a:cNvCxnSpPr/>
                              </a:nvCxnSpPr>
                              <a:spPr>
                                <a:xfrm>
                                  <a:off x="4761801" y="3562175"/>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1" name="Straight Connector 450"/>
                                <a:cNvCxnSpPr/>
                              </a:nvCxnSpPr>
                              <a:spPr>
                                <a:xfrm>
                                  <a:off x="49149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2" name="Straight Connector 451"/>
                                <a:cNvCxnSpPr/>
                              </a:nvCxnSpPr>
                              <a:spPr>
                                <a:xfrm>
                                  <a:off x="5067313" y="3555054"/>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3" name="Straight Connector 452"/>
                                <a:cNvCxnSpPr/>
                              </a:nvCxnSpPr>
                              <a:spPr>
                                <a:xfrm>
                                  <a:off x="5202621"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4" name="Straight Connector 453"/>
                                <a:cNvCxnSpPr/>
                              </a:nvCxnSpPr>
                              <a:spPr>
                                <a:xfrm>
                                  <a:off x="53571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5" name="Straight Connector 454"/>
                                <a:cNvCxnSpPr/>
                              </a:nvCxnSpPr>
                              <a:spPr>
                                <a:xfrm>
                                  <a:off x="5509557" y="3545083"/>
                                  <a:ext cx="0" cy="304800"/>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cxnSp>
                            <a:nvCxnSpPr>
                              <a:cNvPr id="437" name="Straight Connector 436"/>
                              <a:cNvCxnSpPr/>
                            </a:nvCxnSpPr>
                            <a:spPr>
                              <a:xfrm flipV="1">
                                <a:off x="4908834" y="12523792"/>
                                <a:ext cx="0" cy="216462"/>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38" name="Straight Connector 437"/>
                              <a:cNvCxnSpPr/>
                            </a:nvCxnSpPr>
                            <a:spPr>
                              <a:xfrm flipV="1">
                                <a:off x="4756434" y="12523792"/>
                                <a:ext cx="0" cy="216462"/>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grpSp>
                        <a:sp>
                          <a:nvSpPr>
                            <a:cNvPr id="305" name="Oval 304"/>
                            <a:cNvSpPr>
                              <a:spLocks noChangeAspect="1"/>
                            </a:cNvSpPr>
                          </a:nvSpPr>
                          <a:spPr>
                            <a:xfrm>
                              <a:off x="4296544" y="6112768"/>
                              <a:ext cx="148839" cy="171450"/>
                            </a:xfrm>
                            <a:prstGeom prst="ellipse">
                              <a:avLst/>
                            </a:prstGeom>
                            <a:solidFill>
                              <a:srgbClr val="C00000"/>
                            </a:solidFill>
                            <a:ln>
                              <a:solidFill>
                                <a:srgbClr val="C00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06" name="Oval 305"/>
                            <a:cNvSpPr>
                              <a:spLocks noChangeAspect="1"/>
                            </a:cNvSpPr>
                          </a:nvSpPr>
                          <a:spPr>
                            <a:xfrm>
                              <a:off x="5556684" y="6148772"/>
                              <a:ext cx="148839" cy="171450"/>
                            </a:xfrm>
                            <a:prstGeom prst="ellipse">
                              <a:avLst/>
                            </a:prstGeom>
                            <a:solidFill>
                              <a:schemeClr val="accent3"/>
                            </a:solidFill>
                            <a:ln>
                              <a:solidFill>
                                <a:schemeClr val="accent3"/>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07" name="Oval 306"/>
                            <a:cNvSpPr>
                              <a:spLocks noChangeAspect="1"/>
                            </a:cNvSpPr>
                          </a:nvSpPr>
                          <a:spPr>
                            <a:xfrm>
                              <a:off x="4836604" y="6004756"/>
                              <a:ext cx="148839" cy="171450"/>
                            </a:xfrm>
                            <a:prstGeom prst="ellipse">
                              <a:avLst/>
                            </a:prstGeom>
                            <a:solidFill>
                              <a:srgbClr val="FFC000"/>
                            </a:solidFill>
                            <a:ln>
                              <a:solidFill>
                                <a:srgbClr val="FFC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9" name="Group 175"/>
                            <a:cNvGrpSpPr>
                              <a:grpSpLocks noChangeAspect="1"/>
                            </a:cNvGrpSpPr>
                          </a:nvGrpSpPr>
                          <a:grpSpPr>
                            <a:xfrm>
                              <a:off x="4764596" y="5295811"/>
                              <a:ext cx="953925" cy="708945"/>
                              <a:chOff x="4495801" y="1752600"/>
                              <a:chExt cx="1907850" cy="1417890"/>
                            </a:xfrm>
                          </a:grpSpPr>
                          <a:cxnSp>
                            <a:nvCxnSpPr>
                              <a:cNvPr id="432" name="Straight Arrow Connector 431"/>
                              <a:cNvCxnSpPr/>
                            </a:nvCxnSpPr>
                            <a:spPr>
                              <a:xfrm>
                                <a:off x="4495801" y="1752600"/>
                                <a:ext cx="0" cy="12954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33" name="Arc 432"/>
                              <a:cNvSpPr/>
                            </a:nvSpPr>
                            <a:spPr>
                              <a:xfrm rot="16200000">
                                <a:off x="4862469" y="1629309"/>
                                <a:ext cx="1174513" cy="1907850"/>
                              </a:xfrm>
                              <a:prstGeom prst="arc">
                                <a:avLst/>
                              </a:prstGeom>
                              <a:ln>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0" name="Group 178"/>
                            <a:cNvGrpSpPr>
                              <a:grpSpLocks noChangeAspect="1"/>
                            </a:cNvGrpSpPr>
                          </a:nvGrpSpPr>
                          <a:grpSpPr>
                            <a:xfrm>
                              <a:off x="3972508" y="6347866"/>
                              <a:ext cx="1605897" cy="160946"/>
                              <a:chOff x="2949013" y="2649195"/>
                              <a:chExt cx="3211794" cy="321892"/>
                            </a:xfrm>
                          </a:grpSpPr>
                          <a:cxnSp>
                            <a:nvCxnSpPr>
                              <a:cNvPr id="409" name="Straight Connector 408"/>
                              <a:cNvCxnSpPr/>
                            </a:nvCxnSpPr>
                            <a:spPr>
                              <a:xfrm>
                                <a:off x="3327877" y="2666287"/>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0" name="Straight Connector 409"/>
                              <a:cNvCxnSpPr/>
                            </a:nvCxnSpPr>
                            <a:spPr>
                              <a:xfrm flipV="1">
                                <a:off x="2949013" y="2938328"/>
                                <a:ext cx="2819400" cy="1566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1" name="Straight Connector 410"/>
                              <a:cNvCxnSpPr/>
                            </a:nvCxnSpPr>
                            <a:spPr>
                              <a:xfrm>
                                <a:off x="30252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2" name="Straight Connector 411"/>
                              <a:cNvCxnSpPr/>
                            </a:nvCxnSpPr>
                            <a:spPr>
                              <a:xfrm>
                                <a:off x="3177613" y="2801595"/>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3" name="Straight Connector 412"/>
                              <a:cNvCxnSpPr/>
                            </a:nvCxnSpPr>
                            <a:spPr>
                              <a:xfrm>
                                <a:off x="3327877"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4" name="Straight Connector 413"/>
                              <a:cNvCxnSpPr/>
                            </a:nvCxnSpPr>
                            <a:spPr>
                              <a:xfrm>
                                <a:off x="3482413" y="2664862"/>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5" name="Straight Connector 414"/>
                              <a:cNvCxnSpPr/>
                            </a:nvCxnSpPr>
                            <a:spPr>
                              <a:xfrm>
                                <a:off x="36490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6" name="Straight Connector 415"/>
                              <a:cNvCxnSpPr/>
                            </a:nvCxnSpPr>
                            <a:spPr>
                              <a:xfrm>
                                <a:off x="3801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7" name="Straight Connector 416"/>
                              <a:cNvCxnSpPr/>
                            </a:nvCxnSpPr>
                            <a:spPr>
                              <a:xfrm>
                                <a:off x="3953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8" name="Straight Connector 417"/>
                              <a:cNvCxnSpPr/>
                            </a:nvCxnSpPr>
                            <a:spPr>
                              <a:xfrm>
                                <a:off x="4092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9" name="Straight Connector 418"/>
                              <a:cNvCxnSpPr/>
                            </a:nvCxnSpPr>
                            <a:spPr>
                              <a:xfrm>
                                <a:off x="4244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0" name="Straight Connector 419"/>
                              <a:cNvCxnSpPr/>
                            </a:nvCxnSpPr>
                            <a:spPr>
                              <a:xfrm>
                                <a:off x="4408921"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1" name="Straight Connector 420"/>
                              <a:cNvCxnSpPr/>
                            </a:nvCxnSpPr>
                            <a:spPr>
                              <a:xfrm>
                                <a:off x="45634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2" name="Straight Connector 421"/>
                              <a:cNvCxnSpPr/>
                            </a:nvCxnSpPr>
                            <a:spPr>
                              <a:xfrm>
                                <a:off x="47158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3" name="Straight Connector 422"/>
                              <a:cNvCxnSpPr/>
                            </a:nvCxnSpPr>
                            <a:spPr>
                              <a:xfrm>
                                <a:off x="48682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4" name="Straight Connector 423"/>
                              <a:cNvCxnSpPr/>
                            </a:nvCxnSpPr>
                            <a:spPr>
                              <a:xfrm>
                                <a:off x="5020657" y="2666287"/>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5" name="Straight Connector 424"/>
                              <a:cNvCxnSpPr/>
                            </a:nvCxnSpPr>
                            <a:spPr>
                              <a:xfrm>
                                <a:off x="51737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6" name="Straight Connector 425"/>
                              <a:cNvCxnSpPr/>
                            </a:nvCxnSpPr>
                            <a:spPr>
                              <a:xfrm>
                                <a:off x="5326169" y="2659166"/>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7" name="Straight Connector 426"/>
                              <a:cNvCxnSpPr/>
                            </a:nvCxnSpPr>
                            <a:spPr>
                              <a:xfrm>
                                <a:off x="5461477"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8" name="Straight Connector 427"/>
                              <a:cNvCxnSpPr/>
                            </a:nvCxnSpPr>
                            <a:spPr>
                              <a:xfrm>
                                <a:off x="56160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9" name="Straight Connector 428"/>
                              <a:cNvCxnSpPr/>
                            </a:nvCxnSpPr>
                            <a:spPr>
                              <a:xfrm>
                                <a:off x="5768413" y="264919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0" name="Straight Connector 429"/>
                              <a:cNvCxnSpPr/>
                            </a:nvCxnSpPr>
                            <a:spPr>
                              <a:xfrm>
                                <a:off x="59208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1" name="Straight Connector 430"/>
                              <a:cNvCxnSpPr/>
                            </a:nvCxnSpPr>
                            <a:spPr>
                              <a:xfrm>
                                <a:off x="6073213" y="2649195"/>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sp>
                          <a:nvSpPr>
                            <a:cNvPr id="310" name="Oval 309"/>
                            <a:cNvSpPr>
                              <a:spLocks noChangeAspect="1"/>
                            </a:cNvSpPr>
                          </a:nvSpPr>
                          <a:spPr>
                            <a:xfrm>
                              <a:off x="4260540" y="7552928"/>
                              <a:ext cx="1371598" cy="342900"/>
                            </a:xfrm>
                            <a:prstGeom prst="ellipse">
                              <a:avLst/>
                            </a:prstGeom>
                            <a:solidFill>
                              <a:srgbClr val="0070C0"/>
                            </a:solidFill>
                            <a:ln>
                              <a:solidFill>
                                <a:srgbClr val="0070C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11" name="Oval 310"/>
                            <a:cNvSpPr>
                              <a:spLocks noChangeAspect="1"/>
                            </a:cNvSpPr>
                          </a:nvSpPr>
                          <a:spPr>
                            <a:xfrm>
                              <a:off x="4296544" y="7516924"/>
                              <a:ext cx="148839" cy="171450"/>
                            </a:xfrm>
                            <a:prstGeom prst="ellipse">
                              <a:avLst/>
                            </a:prstGeom>
                            <a:solidFill>
                              <a:srgbClr val="C00000"/>
                            </a:solidFill>
                            <a:ln>
                              <a:solidFill>
                                <a:srgbClr val="C00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12" name="Oval 311"/>
                            <a:cNvSpPr>
                              <a:spLocks noChangeAspect="1"/>
                            </a:cNvSpPr>
                          </a:nvSpPr>
                          <a:spPr>
                            <a:xfrm>
                              <a:off x="5556684" y="7552928"/>
                              <a:ext cx="148839" cy="171450"/>
                            </a:xfrm>
                            <a:prstGeom prst="ellipse">
                              <a:avLst/>
                            </a:prstGeom>
                            <a:solidFill>
                              <a:schemeClr val="accent3"/>
                            </a:solidFill>
                            <a:ln>
                              <a:solidFill>
                                <a:schemeClr val="accent3"/>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13" name="Oval 312"/>
                            <a:cNvSpPr>
                              <a:spLocks noChangeAspect="1"/>
                            </a:cNvSpPr>
                          </a:nvSpPr>
                          <a:spPr>
                            <a:xfrm>
                              <a:off x="4836604" y="7408912"/>
                              <a:ext cx="148839" cy="171450"/>
                            </a:xfrm>
                            <a:prstGeom prst="ellipse">
                              <a:avLst/>
                            </a:prstGeom>
                            <a:solidFill>
                              <a:srgbClr val="FFC000"/>
                            </a:solidFill>
                            <a:ln>
                              <a:solidFill>
                                <a:srgbClr val="FFC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25" name="Group 206"/>
                            <a:cNvGrpSpPr>
                              <a:grpSpLocks noChangeAspect="1"/>
                            </a:cNvGrpSpPr>
                          </a:nvGrpSpPr>
                          <a:grpSpPr>
                            <a:xfrm>
                              <a:off x="4176223" y="7732948"/>
                              <a:ext cx="1416465" cy="114300"/>
                              <a:chOff x="3508762" y="10496324"/>
                              <a:chExt cx="2832930" cy="228600"/>
                            </a:xfrm>
                          </a:grpSpPr>
                          <a:cxnSp>
                            <a:nvCxnSpPr>
                              <a:cNvPr id="388" name="Straight Connector 387"/>
                              <a:cNvCxnSpPr/>
                            </a:nvCxnSpPr>
                            <a:spPr>
                              <a:xfrm>
                                <a:off x="3508762" y="10513416"/>
                                <a:ext cx="2832930" cy="713"/>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nvGrpSpPr>
                              <a:cNvPr id="99" name="Group 64"/>
                              <a:cNvGrpSpPr/>
                            </a:nvGrpSpPr>
                            <a:grpSpPr>
                              <a:xfrm>
                                <a:off x="3508762" y="10496324"/>
                                <a:ext cx="2440536" cy="228600"/>
                                <a:chOff x="3069021" y="3545083"/>
                                <a:chExt cx="2440536" cy="321892"/>
                              </a:xfrm>
                            </a:grpSpPr>
                            <a:cxnSp>
                              <a:nvCxnSpPr>
                                <a:cNvPr id="392" name="Straight Connector 391"/>
                                <a:cNvCxnSpPr/>
                              </a:nvCxnSpPr>
                              <a:spPr>
                                <a:xfrm>
                                  <a:off x="3069021" y="3560750"/>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3" name="Straight Connector 392"/>
                                <a:cNvCxnSpPr/>
                              </a:nvCxnSpPr>
                              <a:spPr>
                                <a:xfrm>
                                  <a:off x="3223557" y="3560750"/>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4" name="Straight Connector 393"/>
                                <a:cNvCxnSpPr/>
                              </a:nvCxnSpPr>
                              <a:spPr>
                                <a:xfrm>
                                  <a:off x="33902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5" name="Straight Connector 394"/>
                                <a:cNvCxnSpPr/>
                              </a:nvCxnSpPr>
                              <a:spPr>
                                <a:xfrm>
                                  <a:off x="35426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6" name="Straight Connector 395"/>
                                <a:cNvCxnSpPr/>
                              </a:nvCxnSpPr>
                              <a:spPr>
                                <a:xfrm>
                                  <a:off x="36950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7" name="Straight Connector 396"/>
                                <a:cNvCxnSpPr/>
                              </a:nvCxnSpPr>
                              <a:spPr>
                                <a:xfrm>
                                  <a:off x="38331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8" name="Straight Connector 397"/>
                                <a:cNvCxnSpPr/>
                              </a:nvCxnSpPr>
                              <a:spPr>
                                <a:xfrm>
                                  <a:off x="39855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9" name="Straight Connector 398"/>
                                <a:cNvCxnSpPr/>
                              </a:nvCxnSpPr>
                              <a:spPr>
                                <a:xfrm>
                                  <a:off x="4150065"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0" name="Straight Connector 399"/>
                                <a:cNvCxnSpPr/>
                              </a:nvCxnSpPr>
                              <a:spPr>
                                <a:xfrm>
                                  <a:off x="43046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1" name="Straight Connector 400"/>
                                <a:cNvCxnSpPr/>
                              </a:nvCxnSpPr>
                              <a:spPr>
                                <a:xfrm>
                                  <a:off x="44570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2" name="Straight Connector 401"/>
                                <a:cNvCxnSpPr/>
                              </a:nvCxnSpPr>
                              <a:spPr>
                                <a:xfrm>
                                  <a:off x="46094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3" name="Straight Connector 402"/>
                                <a:cNvCxnSpPr/>
                              </a:nvCxnSpPr>
                              <a:spPr>
                                <a:xfrm>
                                  <a:off x="4761801" y="3562175"/>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4" name="Straight Connector 403"/>
                                <a:cNvCxnSpPr/>
                              </a:nvCxnSpPr>
                              <a:spPr>
                                <a:xfrm>
                                  <a:off x="4914913" y="35550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5" name="Straight Connector 404"/>
                                <a:cNvCxnSpPr/>
                              </a:nvCxnSpPr>
                              <a:spPr>
                                <a:xfrm>
                                  <a:off x="5067313" y="3555054"/>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6" name="Straight Connector 405"/>
                                <a:cNvCxnSpPr/>
                              </a:nvCxnSpPr>
                              <a:spPr>
                                <a:xfrm>
                                  <a:off x="5202621"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7" name="Straight Connector 406"/>
                                <a:cNvCxnSpPr/>
                              </a:nvCxnSpPr>
                              <a:spPr>
                                <a:xfrm>
                                  <a:off x="53571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8" name="Straight Connector 407"/>
                                <a:cNvCxnSpPr/>
                              </a:nvCxnSpPr>
                              <a:spPr>
                                <a:xfrm>
                                  <a:off x="5509557" y="3545083"/>
                                  <a:ext cx="0" cy="304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cxnSp>
                            <a:nvCxnSpPr>
                              <a:cNvPr id="390" name="Straight Connector 389"/>
                              <a:cNvCxnSpPr/>
                            </a:nvCxnSpPr>
                            <a:spPr>
                              <a:xfrm>
                                <a:off x="6101698" y="10496324"/>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1" name="Straight Connector 390"/>
                              <a:cNvCxnSpPr/>
                            </a:nvCxnSpPr>
                            <a:spPr>
                              <a:xfrm>
                                <a:off x="6254098" y="10496324"/>
                                <a:ext cx="0" cy="2286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a:sp>
                          <a:nvSpPr>
                            <a:cNvPr id="315" name="TextBox 314"/>
                            <a:cNvSpPr txBox="1"/>
                          </a:nvSpPr>
                          <a:spPr>
                            <a:xfrm>
                              <a:off x="5592688" y="7660940"/>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t>3’</a:t>
                                </a:r>
                                <a:endParaRPr lang="en-GB" sz="800" dirty="0"/>
                              </a:p>
                            </a:txBody>
                            <a:useSpRect/>
                          </a:txSp>
                        </a:sp>
                        <a:sp>
                          <a:nvSpPr>
                            <a:cNvPr id="316" name="TextBox 315"/>
                            <a:cNvSpPr txBox="1"/>
                          </a:nvSpPr>
                          <a:spPr>
                            <a:xfrm>
                              <a:off x="3936504" y="7660940"/>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t>5’</a:t>
                                </a:r>
                                <a:endParaRPr lang="en-GB" sz="800" dirty="0"/>
                              </a:p>
                            </a:txBody>
                            <a:useSpRect/>
                          </a:txSp>
                        </a:sp>
                        <a:sp>
                          <a:nvSpPr>
                            <a:cNvPr id="317" name="TextBox 316"/>
                            <a:cNvSpPr txBox="1"/>
                          </a:nvSpPr>
                          <a:spPr>
                            <a:xfrm>
                              <a:off x="3144416" y="7841540"/>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solidFill>
                                      <a:srgbClr val="00B050"/>
                                    </a:solidFill>
                                  </a:rPr>
                                  <a:t>3’</a:t>
                                </a:r>
                                <a:endParaRPr lang="en-GB" sz="800" dirty="0">
                                  <a:solidFill>
                                    <a:srgbClr val="00B050"/>
                                  </a:solidFill>
                                </a:endParaRPr>
                              </a:p>
                            </a:txBody>
                            <a:useSpRect/>
                          </a:txSp>
                        </a:sp>
                        <a:sp>
                          <a:nvSpPr>
                            <a:cNvPr id="318" name="TextBox 317"/>
                            <a:cNvSpPr txBox="1"/>
                          </a:nvSpPr>
                          <a:spPr>
                            <a:xfrm>
                              <a:off x="6276764" y="7841540"/>
                              <a:ext cx="288032" cy="21544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800" dirty="0" smtClean="0">
                                    <a:solidFill>
                                      <a:srgbClr val="00B050"/>
                                    </a:solidFill>
                                  </a:rPr>
                                  <a:t>5’</a:t>
                                </a:r>
                                <a:endParaRPr lang="en-GB" sz="800" dirty="0">
                                  <a:solidFill>
                                    <a:srgbClr val="00B050"/>
                                  </a:solidFill>
                                </a:endParaRPr>
                              </a:p>
                            </a:txBody>
                            <a:useSpRect/>
                          </a:txSp>
                        </a:sp>
                        <a:cxnSp>
                          <a:nvCxnSpPr>
                            <a:cNvPr id="319" name="Straight Arrow Connector 318"/>
                            <a:cNvCxnSpPr/>
                          </a:nvCxnSpPr>
                          <a:spPr>
                            <a:xfrm>
                              <a:off x="4764596" y="6591955"/>
                              <a:ext cx="0" cy="6477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20" name="TextBox 319"/>
                            <a:cNvSpPr txBox="1"/>
                          </a:nvSpPr>
                          <a:spPr>
                            <a:xfrm>
                              <a:off x="5952728" y="3984466"/>
                              <a:ext cx="1260140"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Dicer-1 with Loquacious </a:t>
                                </a:r>
                                <a:endParaRPr lang="en-GB" sz="1000" b="1" dirty="0"/>
                              </a:p>
                            </a:txBody>
                            <a:useSpRect/>
                          </a:txSp>
                        </a:sp>
                        <a:sp>
                          <a:nvSpPr>
                            <a:cNvPr id="321" name="TextBox 320"/>
                            <a:cNvSpPr txBox="1"/>
                          </a:nvSpPr>
                          <a:spPr>
                            <a:xfrm>
                              <a:off x="4944616" y="4024536"/>
                              <a:ext cx="136815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Dicer-1 </a:t>
                                </a:r>
                                <a:endParaRPr lang="en-GB" sz="1000" b="1" dirty="0"/>
                              </a:p>
                            </a:txBody>
                            <a:useSpRect/>
                          </a:txSp>
                        </a:sp>
                        <a:sp>
                          <a:nvSpPr>
                            <a:cNvPr id="322" name="TextBox 321"/>
                            <a:cNvSpPr txBox="1"/>
                          </a:nvSpPr>
                          <a:spPr>
                            <a:xfrm>
                              <a:off x="2964396" y="4890373"/>
                              <a:ext cx="129540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siRNAs</a:t>
                                </a:r>
                                <a:endParaRPr lang="en-GB" sz="1000" b="1" dirty="0"/>
                              </a:p>
                            </a:txBody>
                            <a:useSpRect/>
                          </a:txSp>
                        </a:sp>
                        <a:sp>
                          <a:nvSpPr>
                            <a:cNvPr id="323" name="Oval 322"/>
                            <a:cNvSpPr>
                              <a:spLocks noChangeAspect="1"/>
                            </a:cNvSpPr>
                          </a:nvSpPr>
                          <a:spPr>
                            <a:xfrm>
                              <a:off x="5412668" y="5284676"/>
                              <a:ext cx="1371598" cy="342900"/>
                            </a:xfrm>
                            <a:prstGeom prst="ellipse">
                              <a:avLst/>
                            </a:prstGeom>
                            <a:solidFill>
                              <a:srgbClr val="0070C0"/>
                            </a:solidFill>
                            <a:ln>
                              <a:solidFill>
                                <a:srgbClr val="0070C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24" name="Oval 323"/>
                            <a:cNvSpPr>
                              <a:spLocks noChangeAspect="1"/>
                            </a:cNvSpPr>
                          </a:nvSpPr>
                          <a:spPr>
                            <a:xfrm>
                              <a:off x="5448672" y="5248672"/>
                              <a:ext cx="148839" cy="171450"/>
                            </a:xfrm>
                            <a:prstGeom prst="ellipse">
                              <a:avLst/>
                            </a:prstGeom>
                            <a:solidFill>
                              <a:srgbClr val="C00000"/>
                            </a:solidFill>
                            <a:ln>
                              <a:solidFill>
                                <a:srgbClr val="C00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25" name="Oval 324"/>
                            <a:cNvSpPr>
                              <a:spLocks noChangeAspect="1"/>
                            </a:cNvSpPr>
                          </a:nvSpPr>
                          <a:spPr>
                            <a:xfrm>
                              <a:off x="6708812" y="5284676"/>
                              <a:ext cx="148839" cy="171450"/>
                            </a:xfrm>
                            <a:prstGeom prst="ellipse">
                              <a:avLst/>
                            </a:prstGeom>
                            <a:solidFill>
                              <a:schemeClr val="accent3"/>
                            </a:solidFill>
                            <a:ln>
                              <a:solidFill>
                                <a:schemeClr val="accent3"/>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26" name="Oval 325"/>
                            <a:cNvSpPr>
                              <a:spLocks noChangeAspect="1"/>
                            </a:cNvSpPr>
                          </a:nvSpPr>
                          <a:spPr>
                            <a:xfrm>
                              <a:off x="5988732" y="5140660"/>
                              <a:ext cx="148839" cy="171450"/>
                            </a:xfrm>
                            <a:prstGeom prst="ellipse">
                              <a:avLst/>
                            </a:prstGeom>
                            <a:solidFill>
                              <a:srgbClr val="FFC000"/>
                            </a:solidFill>
                            <a:ln>
                              <a:solidFill>
                                <a:srgbClr val="FFC000"/>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27" name="TextBox 326"/>
                            <a:cNvSpPr txBox="1"/>
                          </a:nvSpPr>
                          <a:spPr>
                            <a:xfrm>
                              <a:off x="6888832" y="5244606"/>
                              <a:ext cx="1404156"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Argonaute-1 and other </a:t>
                                </a:r>
                              </a:p>
                              <a:p>
                                <a:pPr algn="ctr"/>
                                <a:r>
                                  <a:rPr lang="en-GB" sz="1000" b="1" dirty="0" smtClean="0"/>
                                  <a:t>(mi)-RISC components</a:t>
                                </a:r>
                                <a:endParaRPr lang="en-GB" sz="1000" b="1" dirty="0"/>
                              </a:p>
                            </a:txBody>
                            <a:useSpRect/>
                          </a:txSp>
                        </a:sp>
                        <a:sp>
                          <a:nvSpPr>
                            <a:cNvPr id="328" name="TextBox 327"/>
                            <a:cNvSpPr txBox="1"/>
                          </a:nvSpPr>
                          <a:spPr>
                            <a:xfrm>
                              <a:off x="3000400" y="6298595"/>
                              <a:ext cx="118813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Pre-RISC</a:t>
                                </a:r>
                                <a:endParaRPr lang="en-GB" sz="1000" b="1" dirty="0"/>
                              </a:p>
                            </a:txBody>
                            <a:useSpRect/>
                          </a:txSp>
                        </a:sp>
                        <a:sp>
                          <a:nvSpPr>
                            <a:cNvPr id="329" name="TextBox 328"/>
                            <a:cNvSpPr txBox="1"/>
                          </a:nvSpPr>
                          <a:spPr>
                            <a:xfrm>
                              <a:off x="2604356" y="7480920"/>
                              <a:ext cx="1188132"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mi-RISC bound to target mRNA</a:t>
                                </a:r>
                                <a:endParaRPr lang="en-GB" sz="1000" b="1" dirty="0"/>
                              </a:p>
                            </a:txBody>
                            <a:useSpRect/>
                          </a:txSp>
                        </a:sp>
                        <a:sp>
                          <a:nvSpPr>
                            <a:cNvPr id="330" name="TextBox 329"/>
                            <a:cNvSpPr txBox="1"/>
                          </a:nvSpPr>
                          <a:spPr>
                            <a:xfrm>
                              <a:off x="5412668" y="5326487"/>
                              <a:ext cx="136815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Argonaute-1 </a:t>
                                </a:r>
                                <a:endParaRPr lang="en-GB" sz="1000" b="1" dirty="0"/>
                              </a:p>
                            </a:txBody>
                            <a:useSpRect/>
                          </a:txSp>
                        </a:sp>
                        <a:cxnSp>
                          <a:nvCxnSpPr>
                            <a:cNvPr id="331" name="Straight Arrow Connector 330"/>
                            <a:cNvCxnSpPr/>
                          </a:nvCxnSpPr>
                          <a:spPr>
                            <a:xfrm>
                              <a:off x="4764596" y="1788282"/>
                              <a:ext cx="0" cy="5400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32" name="TextBox 331"/>
                            <a:cNvSpPr txBox="1"/>
                          </a:nvSpPr>
                          <a:spPr>
                            <a:xfrm>
                              <a:off x="3684476" y="1716214"/>
                              <a:ext cx="129540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solidFill>
                                      <a:srgbClr val="0070C0"/>
                                    </a:solidFill>
                                  </a:rPr>
                                  <a:t>Transcription</a:t>
                                </a:r>
                                <a:endParaRPr lang="en-GB" sz="1000" b="1" dirty="0">
                                  <a:solidFill>
                                    <a:srgbClr val="0070C0"/>
                                  </a:solidFill>
                                </a:endParaRPr>
                              </a:p>
                            </a:txBody>
                            <a:useSpRect/>
                          </a:txSp>
                        </a:sp>
                        <a:grpSp>
                          <a:nvGrpSpPr>
                            <a:cNvPr id="44" name="Group 320"/>
                            <a:cNvGrpSpPr/>
                          </a:nvGrpSpPr>
                          <a:grpSpPr>
                            <a:xfrm>
                              <a:off x="3972508" y="1536194"/>
                              <a:ext cx="1800200" cy="2124236"/>
                              <a:chOff x="4908612" y="208112"/>
                              <a:chExt cx="1800200" cy="2124236"/>
                            </a:xfrm>
                          </a:grpSpPr>
                          <a:cxnSp>
                            <a:nvCxnSpPr>
                              <a:cNvPr id="366" name="Straight Connector 365"/>
                              <a:cNvCxnSpPr/>
                            </a:nvCxnSpPr>
                            <a:spPr>
                              <a:xfrm>
                                <a:off x="5026036" y="1152762"/>
                                <a:ext cx="1416465" cy="357"/>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7" name="Straight Connector 366"/>
                              <a:cNvCxnSpPr/>
                            </a:nvCxnSpPr>
                            <a:spPr>
                              <a:xfrm flipV="1">
                                <a:off x="5047084" y="1288783"/>
                                <a:ext cx="1409700" cy="783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8" name="Straight Connector 367"/>
                              <a:cNvCxnSpPr/>
                            </a:nvCxnSpPr>
                            <a:spPr>
                              <a:xfrm>
                                <a:off x="51866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9" name="Straight Connector 368"/>
                              <a:cNvCxnSpPr/>
                            </a:nvCxnSpPr>
                            <a:spPr>
                              <a:xfrm>
                                <a:off x="52628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0" name="Straight Connector 369"/>
                              <a:cNvCxnSpPr/>
                            </a:nvCxnSpPr>
                            <a:spPr>
                              <a:xfrm>
                                <a:off x="53390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1" name="Straight Connector 370"/>
                              <a:cNvCxnSpPr/>
                            </a:nvCxnSpPr>
                            <a:spPr>
                              <a:xfrm>
                                <a:off x="54081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2" name="Straight Connector 371"/>
                              <a:cNvCxnSpPr/>
                            </a:nvCxnSpPr>
                            <a:spPr>
                              <a:xfrm>
                                <a:off x="54843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3" name="Straight Connector 372"/>
                              <a:cNvCxnSpPr/>
                            </a:nvCxnSpPr>
                            <a:spPr>
                              <a:xfrm>
                                <a:off x="5566558"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4" name="Straight Connector 373"/>
                              <a:cNvCxnSpPr/>
                            </a:nvCxnSpPr>
                            <a:spPr>
                              <a:xfrm>
                                <a:off x="56438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5" name="Straight Connector 374"/>
                              <a:cNvCxnSpPr/>
                            </a:nvCxnSpPr>
                            <a:spPr>
                              <a:xfrm>
                                <a:off x="57200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6" name="Straight Connector 375"/>
                              <a:cNvCxnSpPr/>
                            </a:nvCxnSpPr>
                            <a:spPr>
                              <a:xfrm>
                                <a:off x="57962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7" name="Straight Connector 376"/>
                              <a:cNvCxnSpPr/>
                            </a:nvCxnSpPr>
                            <a:spPr>
                              <a:xfrm>
                                <a:off x="58724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8" name="Straight Connector 377"/>
                              <a:cNvCxnSpPr/>
                            </a:nvCxnSpPr>
                            <a:spPr>
                              <a:xfrm>
                                <a:off x="5948982" y="114920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9" name="Straight Connector 378"/>
                              <a:cNvCxnSpPr/>
                            </a:nvCxnSpPr>
                            <a:spPr>
                              <a:xfrm>
                                <a:off x="6025182" y="114920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0" name="Straight Connector 379"/>
                              <a:cNvCxnSpPr/>
                            </a:nvCxnSpPr>
                            <a:spPr>
                              <a:xfrm>
                                <a:off x="6092836"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1" name="Straight Connector 380"/>
                              <a:cNvCxnSpPr/>
                            </a:nvCxnSpPr>
                            <a:spPr>
                              <a:xfrm>
                                <a:off x="61701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2" name="Straight Connector 381"/>
                              <a:cNvCxnSpPr/>
                            </a:nvCxnSpPr>
                            <a:spPr>
                              <a:xfrm>
                                <a:off x="62463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3" name="Straight Connector 382"/>
                              <a:cNvCxnSpPr/>
                            </a:nvCxnSpPr>
                            <a:spPr>
                              <a:xfrm>
                                <a:off x="6322504" y="1173932"/>
                                <a:ext cx="0" cy="1143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4" name="Straight Connector 383"/>
                              <a:cNvCxnSpPr/>
                            </a:nvCxnSpPr>
                            <a:spPr>
                              <a:xfrm>
                                <a:off x="6398704" y="1173932"/>
                                <a:ext cx="0" cy="1143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385" name="Arc 384"/>
                              <a:cNvSpPr/>
                            </a:nvSpPr>
                            <a:spPr>
                              <a:xfrm>
                                <a:off x="6420780" y="1036204"/>
                                <a:ext cx="288032" cy="324036"/>
                              </a:xfrm>
                              <a:prstGeom prst="arc">
                                <a:avLst>
                                  <a:gd name="adj1" fmla="val 11682835"/>
                                  <a:gd name="adj2" fmla="val 9680173"/>
                                </a:avLst>
                              </a:prstGeom>
                              <a:noFill/>
                              <a:ln w="28575">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386" name="Arc 385"/>
                              <a:cNvSpPr/>
                            </a:nvSpPr>
                            <a:spPr>
                              <a:xfrm flipH="1" flipV="1">
                                <a:off x="4908612" y="208112"/>
                                <a:ext cx="288032" cy="936104"/>
                              </a:xfrm>
                              <a:prstGeom prst="arc">
                                <a:avLst/>
                              </a:prstGeom>
                              <a:ln w="28575">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387" name="Arc 386"/>
                              <a:cNvSpPr/>
                            </a:nvSpPr>
                            <a:spPr>
                              <a:xfrm flipH="1">
                                <a:off x="4908612" y="1288232"/>
                                <a:ext cx="288032" cy="1044116"/>
                              </a:xfrm>
                              <a:prstGeom prst="arc">
                                <a:avLst/>
                              </a:prstGeom>
                              <a:ln w="28575">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45" name="Group 321"/>
                            <a:cNvGrpSpPr/>
                          </a:nvGrpSpPr>
                          <a:grpSpPr>
                            <a:xfrm>
                              <a:off x="4089932" y="3552418"/>
                              <a:ext cx="1682776" cy="324036"/>
                              <a:chOff x="5026036" y="1036204"/>
                              <a:chExt cx="1682776" cy="324036"/>
                            </a:xfrm>
                          </a:grpSpPr>
                          <a:cxnSp>
                            <a:nvCxnSpPr>
                              <a:cNvPr id="346" name="Straight Connector 345"/>
                              <a:cNvCxnSpPr/>
                            </a:nvCxnSpPr>
                            <a:spPr>
                              <a:xfrm>
                                <a:off x="5026036" y="1152762"/>
                                <a:ext cx="1416465" cy="357"/>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7" name="Straight Connector 346"/>
                              <a:cNvCxnSpPr/>
                            </a:nvCxnSpPr>
                            <a:spPr>
                              <a:xfrm flipV="1">
                                <a:off x="5047084" y="1288783"/>
                                <a:ext cx="1409700" cy="783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8" name="Straight Connector 347"/>
                              <a:cNvCxnSpPr/>
                            </a:nvCxnSpPr>
                            <a:spPr>
                              <a:xfrm>
                                <a:off x="51866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9" name="Straight Connector 348"/>
                              <a:cNvCxnSpPr/>
                            </a:nvCxnSpPr>
                            <a:spPr>
                              <a:xfrm>
                                <a:off x="52628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0" name="Straight Connector 349"/>
                              <a:cNvCxnSpPr/>
                            </a:nvCxnSpPr>
                            <a:spPr>
                              <a:xfrm>
                                <a:off x="53390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1" name="Straight Connector 350"/>
                              <a:cNvCxnSpPr/>
                            </a:nvCxnSpPr>
                            <a:spPr>
                              <a:xfrm>
                                <a:off x="54081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2" name="Straight Connector 351"/>
                              <a:cNvCxnSpPr/>
                            </a:nvCxnSpPr>
                            <a:spPr>
                              <a:xfrm>
                                <a:off x="54843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3" name="Straight Connector 352"/>
                              <a:cNvCxnSpPr/>
                            </a:nvCxnSpPr>
                            <a:spPr>
                              <a:xfrm>
                                <a:off x="5566558"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4" name="Straight Connector 353"/>
                              <a:cNvCxnSpPr/>
                            </a:nvCxnSpPr>
                            <a:spPr>
                              <a:xfrm>
                                <a:off x="56438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5" name="Straight Connector 354"/>
                              <a:cNvCxnSpPr/>
                            </a:nvCxnSpPr>
                            <a:spPr>
                              <a:xfrm>
                                <a:off x="57200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6" name="Straight Connector 355"/>
                              <a:cNvCxnSpPr/>
                            </a:nvCxnSpPr>
                            <a:spPr>
                              <a:xfrm>
                                <a:off x="57962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7" name="Straight Connector 356"/>
                              <a:cNvCxnSpPr/>
                            </a:nvCxnSpPr>
                            <a:spPr>
                              <a:xfrm>
                                <a:off x="5872426" y="115276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8" name="Straight Connector 357"/>
                              <a:cNvCxnSpPr/>
                            </a:nvCxnSpPr>
                            <a:spPr>
                              <a:xfrm>
                                <a:off x="5948982" y="114920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9" name="Straight Connector 358"/>
                              <a:cNvCxnSpPr/>
                            </a:nvCxnSpPr>
                            <a:spPr>
                              <a:xfrm>
                                <a:off x="6025182" y="1149202"/>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0" name="Straight Connector 359"/>
                              <a:cNvCxnSpPr/>
                            </a:nvCxnSpPr>
                            <a:spPr>
                              <a:xfrm>
                                <a:off x="6092836"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1" name="Straight Connector 360"/>
                              <a:cNvCxnSpPr/>
                            </a:nvCxnSpPr>
                            <a:spPr>
                              <a:xfrm>
                                <a:off x="61701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2" name="Straight Connector 361"/>
                              <a:cNvCxnSpPr/>
                            </a:nvCxnSpPr>
                            <a:spPr>
                              <a:xfrm>
                                <a:off x="6246304" y="1144216"/>
                                <a:ext cx="0" cy="1524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3" name="Straight Connector 362"/>
                              <a:cNvCxnSpPr/>
                            </a:nvCxnSpPr>
                            <a:spPr>
                              <a:xfrm>
                                <a:off x="6322504" y="1173932"/>
                                <a:ext cx="0" cy="1143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4" name="Straight Connector 363"/>
                              <a:cNvCxnSpPr/>
                            </a:nvCxnSpPr>
                            <a:spPr>
                              <a:xfrm>
                                <a:off x="6398704" y="1173932"/>
                                <a:ext cx="0" cy="1143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365" name="Arc 364"/>
                              <a:cNvSpPr/>
                            </a:nvSpPr>
                            <a:spPr>
                              <a:xfrm>
                                <a:off x="6420780" y="1036204"/>
                                <a:ext cx="288032" cy="324036"/>
                              </a:xfrm>
                              <a:prstGeom prst="arc">
                                <a:avLst>
                                  <a:gd name="adj1" fmla="val 11682835"/>
                                  <a:gd name="adj2" fmla="val 9680173"/>
                                </a:avLst>
                              </a:prstGeom>
                              <a:noFill/>
                              <a:ln w="28575">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sp>
                          <a:nvSpPr>
                            <a:cNvPr id="335" name="TextBox 334"/>
                            <a:cNvSpPr txBox="1"/>
                          </a:nvSpPr>
                          <a:spPr>
                            <a:xfrm>
                              <a:off x="2965140" y="2442101"/>
                              <a:ext cx="129540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err="1" smtClean="0"/>
                                  <a:t>Pri</a:t>
                                </a:r>
                                <a:r>
                                  <a:rPr lang="en-GB" sz="1000" b="1" dirty="0" smtClean="0"/>
                                  <a:t>-miRNA</a:t>
                                </a:r>
                                <a:endParaRPr lang="en-GB" sz="1000" b="1" dirty="0"/>
                              </a:p>
                            </a:txBody>
                            <a:useSpRect/>
                          </a:txSp>
                        </a:sp>
                        <a:sp>
                          <a:nvSpPr>
                            <a:cNvPr id="336" name="TextBox 335"/>
                            <a:cNvSpPr txBox="1"/>
                          </a:nvSpPr>
                          <a:spPr>
                            <a:xfrm>
                              <a:off x="2964396" y="3630233"/>
                              <a:ext cx="129540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Pre-miRNA</a:t>
                                </a:r>
                                <a:endParaRPr lang="en-GB" sz="1000" b="1" dirty="0"/>
                              </a:p>
                            </a:txBody>
                            <a:useSpRect/>
                          </a:txSp>
                        </a:sp>
                        <a:grpSp>
                          <a:nvGrpSpPr>
                            <a:cNvPr id="48" name="Group 347"/>
                            <a:cNvGrpSpPr>
                              <a:grpSpLocks noChangeAspect="1"/>
                            </a:cNvGrpSpPr>
                          </a:nvGrpSpPr>
                          <a:grpSpPr>
                            <a:xfrm>
                              <a:off x="5340660" y="2688322"/>
                              <a:ext cx="1116125" cy="436629"/>
                              <a:chOff x="5566876" y="1565143"/>
                              <a:chExt cx="2232248" cy="873257"/>
                            </a:xfrm>
                          </a:grpSpPr>
                          <a:sp>
                            <a:nvSpPr>
                              <a:cNvPr id="344" name="Oval 343"/>
                              <a:cNvSpPr/>
                            </a:nvSpPr>
                            <a:spPr>
                              <a:xfrm>
                                <a:off x="5566876" y="1752600"/>
                                <a:ext cx="1204956" cy="685800"/>
                              </a:xfrm>
                              <a:prstGeom prst="ellipse">
                                <a:avLst/>
                              </a:prstGeom>
                              <a:solidFill>
                                <a:schemeClr val="accent5"/>
                              </a:solidFill>
                              <a:ln>
                                <a:solidFill>
                                  <a:schemeClr val="accent5"/>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45" name="Oval 344"/>
                              <a:cNvSpPr/>
                            </a:nvSpPr>
                            <a:spPr>
                              <a:xfrm>
                                <a:off x="6502981" y="1565143"/>
                                <a:ext cx="1296143" cy="576063"/>
                              </a:xfrm>
                              <a:prstGeom prst="ellipse">
                                <a:avLst/>
                              </a:prstGeom>
                              <a:solidFill>
                                <a:schemeClr val="accent6"/>
                              </a:solidFill>
                              <a:ln>
                                <a:solidFill>
                                  <a:schemeClr val="accent6"/>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49" name="Group 350"/>
                            <a:cNvGrpSpPr>
                              <a:grpSpLocks noChangeAspect="1"/>
                            </a:cNvGrpSpPr>
                          </a:nvGrpSpPr>
                          <a:grpSpPr>
                            <a:xfrm>
                              <a:off x="4764596" y="2843473"/>
                              <a:ext cx="953925" cy="708945"/>
                              <a:chOff x="4495801" y="1752600"/>
                              <a:chExt cx="1907850" cy="1417890"/>
                            </a:xfrm>
                          </a:grpSpPr>
                          <a:cxnSp>
                            <a:nvCxnSpPr>
                              <a:cNvPr id="342" name="Straight Arrow Connector 341"/>
                              <a:cNvCxnSpPr/>
                            </a:nvCxnSpPr>
                            <a:spPr>
                              <a:xfrm>
                                <a:off x="4495801" y="1752600"/>
                                <a:ext cx="0" cy="12954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43" name="Arc 342"/>
                              <a:cNvSpPr/>
                            </a:nvSpPr>
                            <a:spPr>
                              <a:xfrm rot="16200000">
                                <a:off x="4862469" y="1629309"/>
                                <a:ext cx="1174513" cy="1907850"/>
                              </a:xfrm>
                              <a:prstGeom prst="arc">
                                <a:avLst/>
                              </a:prstGeom>
                              <a:ln>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sp>
                          <a:nvSpPr>
                            <a:cNvPr id="339" name="TextBox 338"/>
                            <a:cNvSpPr txBox="1"/>
                          </a:nvSpPr>
                          <a:spPr>
                            <a:xfrm>
                              <a:off x="4944616" y="2796334"/>
                              <a:ext cx="136815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Drosha</a:t>
                                </a:r>
                                <a:endParaRPr lang="en-GB" sz="1000" b="1" dirty="0"/>
                              </a:p>
                            </a:txBody>
                            <a:useSpRect/>
                          </a:txSp>
                        </a:sp>
                        <a:sp>
                          <a:nvSpPr>
                            <a:cNvPr id="340" name="TextBox 339"/>
                            <a:cNvSpPr txBox="1"/>
                          </a:nvSpPr>
                          <a:spPr>
                            <a:xfrm>
                              <a:off x="5448672" y="2688322"/>
                              <a:ext cx="136815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Pasha</a:t>
                                </a:r>
                                <a:endParaRPr lang="en-GB" sz="1000" b="1" dirty="0"/>
                              </a:p>
                            </a:txBody>
                            <a:useSpRect/>
                          </a:txSp>
                        </a:sp>
                      </a:grpSp>
                      <a:sp>
                        <a:nvSpPr>
                          <a:cNvPr id="552" name="TextBox 551"/>
                          <a:cNvSpPr txBox="1"/>
                        </a:nvSpPr>
                        <a:spPr>
                          <a:xfrm>
                            <a:off x="588132" y="604156"/>
                            <a:ext cx="3528392" cy="892552"/>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     </a:t>
                              </a:r>
                              <a:r>
                                <a:rPr lang="en-GB" sz="2600" dirty="0" smtClean="0"/>
                                <a:t>miRNA pathway</a:t>
                              </a:r>
                              <a:r>
                                <a:rPr lang="en-GB" sz="2600" b="1" dirty="0" smtClean="0"/>
                                <a:t>		</a:t>
                              </a:r>
                              <a:endParaRPr lang="en-GB" sz="2600" b="1" dirty="0"/>
                            </a:p>
                          </a:txBody>
                          <a:useSpRect/>
                        </a:txSp>
                      </a:sp>
                      <a:sp>
                        <a:nvSpPr>
                          <a:cNvPr id="553" name="TextBox 552"/>
                          <a:cNvSpPr txBox="1"/>
                        </a:nvSpPr>
                        <a:spPr>
                          <a:xfrm>
                            <a:off x="6528792" y="611704"/>
                            <a:ext cx="3528392" cy="892552"/>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     </a:t>
                              </a:r>
                              <a:r>
                                <a:rPr lang="en-GB" sz="2600" dirty="0" smtClean="0"/>
                                <a:t>siRNA pathway</a:t>
                              </a:r>
                              <a:r>
                                <a:rPr lang="en-GB" sz="2600" b="1" dirty="0" smtClean="0"/>
                                <a:t>		</a:t>
                              </a:r>
                              <a:endParaRPr lang="en-GB" sz="2600" b="1" dirty="0"/>
                            </a:p>
                          </a:txBody>
                          <a:useSpRect/>
                        </a:txSp>
                      </a:sp>
                    </a:grpSp>
                    <a:sp>
                      <a:nvSpPr>
                        <a:cNvPr id="551" name="Rectangle 550"/>
                        <a:cNvSpPr/>
                      </a:nvSpPr>
                      <a:spPr>
                        <a:xfrm>
                          <a:off x="1488232" y="3412468"/>
                          <a:ext cx="288032" cy="108012"/>
                        </a:xfrm>
                        <a:prstGeom prst="rect">
                          <a:avLst/>
                        </a:prstGeom>
                        <a:solidFill>
                          <a:schemeClr val="bg1"/>
                        </a:solidFill>
                        <a:ln>
                          <a:solidFill>
                            <a:schemeClr val="bg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556" name="TextBox 555"/>
                      <a:cNvSpPr txBox="1"/>
                    </a:nvSpPr>
                    <a:spPr>
                      <a:xfrm>
                        <a:off x="768152" y="7997170"/>
                        <a:ext cx="1548172"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Human:</a:t>
                          </a:r>
                        </a:p>
                        <a:p>
                          <a:pPr algn="ctr"/>
                          <a:r>
                            <a:rPr lang="en-GB" sz="1000" b="1" dirty="0" smtClean="0"/>
                            <a:t>Translational repression</a:t>
                          </a:r>
                          <a:endParaRPr lang="en-GB" sz="1000" b="1" dirty="0"/>
                        </a:p>
                      </a:txBody>
                      <a:useSpRect/>
                    </a:txSp>
                  </a:sp>
                  <a:sp>
                    <a:nvSpPr>
                      <a:cNvPr id="557" name="TextBox 556"/>
                      <a:cNvSpPr txBox="1"/>
                    </a:nvSpPr>
                    <a:spPr>
                      <a:xfrm>
                        <a:off x="2208312" y="7984976"/>
                        <a:ext cx="1548172" cy="861774"/>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b="1" dirty="0" smtClean="0"/>
                            <a:t>Insect:</a:t>
                          </a:r>
                        </a:p>
                        <a:p>
                          <a:pPr algn="ctr"/>
                          <a:r>
                            <a:rPr lang="en-GB" sz="1000" b="1" dirty="0" smtClean="0"/>
                            <a:t>Target </a:t>
                          </a:r>
                          <a:r>
                            <a:rPr lang="en-GB" sz="1000" b="1" dirty="0" smtClean="0"/>
                            <a:t>mRNA </a:t>
                          </a:r>
                          <a:r>
                            <a:rPr lang="en-GB" sz="1000" b="1" dirty="0" smtClean="0"/>
                            <a:t>cleaved if no mismatches;</a:t>
                          </a:r>
                        </a:p>
                        <a:p>
                          <a:pPr algn="ctr"/>
                          <a:r>
                            <a:rPr lang="en-GB" sz="1000" b="1" dirty="0" smtClean="0"/>
                            <a:t>Translational repression if mismatches</a:t>
                          </a:r>
                          <a:endParaRPr lang="en-GB" sz="1000" b="1" dirty="0"/>
                        </a:p>
                      </a:txBody>
                      <a:useSpRect/>
                    </a:txSp>
                  </a:sp>
                </lc:lockedCanvas>
              </a:graphicData>
            </a:graphic>
          </wp:inline>
        </w:drawing>
      </w:r>
    </w:p>
    <w:p w:rsidR="00717CC7" w:rsidRDefault="000C5621" w:rsidP="00717CC7">
      <w:pPr>
        <w:pStyle w:val="Caption"/>
        <w:spacing w:after="120"/>
        <w:rPr>
          <w:color w:val="auto"/>
        </w:rPr>
      </w:pPr>
      <w:bookmarkStart w:id="12" w:name="_Toc20411627"/>
      <w:r w:rsidRPr="000C5621">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1</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2</w:t>
      </w:r>
      <w:r w:rsidR="005C0E76">
        <w:rPr>
          <w:color w:val="auto"/>
        </w:rPr>
        <w:fldChar w:fldCharType="end"/>
      </w:r>
      <w:r w:rsidRPr="000C5621">
        <w:rPr>
          <w:color w:val="auto"/>
        </w:rPr>
        <w:t xml:space="preserve"> Schematic of the miRNA and siRNA RNAi pathways in insects.</w:t>
      </w:r>
      <w:bookmarkEnd w:id="12"/>
      <w:r w:rsidRPr="000C5621">
        <w:rPr>
          <w:color w:val="auto"/>
        </w:rPr>
        <w:t xml:space="preserve"> </w:t>
      </w:r>
    </w:p>
    <w:p w:rsidR="000C5621" w:rsidRPr="000C5621" w:rsidRDefault="000C5621" w:rsidP="00717CC7">
      <w:pPr>
        <w:pStyle w:val="Caption"/>
        <w:spacing w:after="120"/>
        <w:rPr>
          <w:b w:val="0"/>
          <w:color w:val="auto"/>
        </w:rPr>
      </w:pPr>
      <w:r w:rsidRPr="000C5621">
        <w:rPr>
          <w:b w:val="0"/>
          <w:color w:val="auto"/>
        </w:rPr>
        <w:t>(a) Schematic demonstrating the insect miRNA pathway. Pri-miRNA is transcribed from the genome, cleaved to form a hairpin pre-miRNA by Drosha and Pasha, and the hairpin loop removed by Dicer-1. The mature miRNA complexes with Argonaute-1 and other RNA-induced silencing complex (RISC) components to form a pre-RISC. The passenger strand of the miRNA is then unwound and discarded, leaving the active mi-RISC. The mi-RISC targets and binds complimentary mRNA and prevents translation of the protein product either by translational repression or target mRNA cleavage. (b) Schematic demonstrating the insect siRNA pathway. Long dsRNA is cleaved to form siRNAs by Dicer-2. The mature siRNA complexes with Argonaute-2 and other RNA-induced silencing complex (RISC) components to form a pre-RISC. The passenger strand of the siRNA is then unwound and discarded, leaving the active si-RISC. The si-RISC targets and binds complimentary mRNA and prevents translation of the protein product by target mRNA cleavage</w:t>
      </w:r>
      <w:r w:rsidR="00E42CDC">
        <w:rPr>
          <w:b w:val="0"/>
          <w:color w:val="auto"/>
        </w:rPr>
        <w:t xml:space="preserve"> or translational repression</w:t>
      </w:r>
      <w:r w:rsidRPr="000C5621">
        <w:rPr>
          <w:b w:val="0"/>
          <w:color w:val="auto"/>
        </w:rPr>
        <w:t>.</w:t>
      </w:r>
    </w:p>
    <w:p w:rsidR="0014686D" w:rsidRDefault="0014686D" w:rsidP="000441D9">
      <w:pPr>
        <w:spacing w:line="360" w:lineRule="auto"/>
        <w:ind w:firstLine="284"/>
      </w:pPr>
      <w:r>
        <w:t xml:space="preserve">Though there are several variations on the RNAi pathway, both within and </w:t>
      </w:r>
      <w:r w:rsidRPr="00871DEC">
        <w:t>between species, the</w:t>
      </w:r>
      <w:r>
        <w:t xml:space="preserve"> general mechanism involves a longer double stranded RNA precursor being trimmed to a functional siRNA or miRNA with two nucleotide 3’ overhangs and 5’ phosphate groups </w:t>
      </w:r>
      <w:r w:rsidR="005C0E76">
        <w:fldChar w:fldCharType="begin" w:fldLock="1"/>
      </w:r>
      <w:r>
        <w:instrText>ADDIN CSL_CITATION {"citationItems":[{"id":"ITEM-1","itemData":{"DOI":"10.1101/gad.862301","ISSN":"08909369","PMID":"11157775","abstract":"Double-stranded RNA (dsRNA) induces sequence-specific posttranscriptional gene silencing in many organisms by a process known as RNA interference (RNAi). Using a Drosophila in vitro system, we demonstrate that 21- and 22-nt RNA fragments are the sequence-specific mediators of RNAi. The short interfering RNAs (siRNAs) are generated by an RNase III-like processing reaction from long dsRNA. Chemically synthesized siRNA duplexes with overhanging 3' ends mediate efficient target RNA cleavage in the lysate, and the cleavage site is located near the center of the region spanned by the guiding siRNA. Furthermore, we provide evidence that the direction of dsRNA processing determines whether sense or antisense target RNA can be cleaved by the siRNA-protein complex.","author":[{"dropping-particle":"","family":"Elbashir","given":"S. M.","non-dropping-particle":"","parse-names":false,"suffix":""},{"dropping-particle":"","family":"Lendeckel","given":"W","non-dropping-particle":"","parse-names":false,"suffix":""},{"dropping-particle":"","family":"Tuschl","given":"T","non-dropping-particle":"","parse-names":false,"suffix":""}],"container-title":"Genes &amp; Development","id":"ITEM-1","issue":"2","issued":{"date-parts":[["2001","1","15"]]},"page":"188-200","publisher":"Cold Spring Harbor Laboratory Press","title":"RNA interference is mediated by 21- and 22-nucleotide RNAs","type":"article-journal","volume":"15"},"uris":["http://www.mendeley.com/documents/?uuid=f65c3140-2d95-3e3b-b26e-b9adc98fd9b5"]},{"id":"ITEM-2","itemData":{"DOI":"10.1093/emboj/20.23.6877","ISBN":"doi:10.1093/emboj/20.23.6877","ISSN":"02614189","PMID":"11726523","abstract":"Duplexes of 21-23 nucleotide (nt) RNAs are the sequence-specific mediators of RNA interference (RNAi) and post-transcriptional gene silencing (PTGS). Synthetic, short interfering RNAs (siRNAs) were examined in Drosophila melanogaster embryo lysate for their requirements regarding length, structure, chemical composition and sequence in order to mediate efficient RNAi. Duplexes of 21 nt siRNAs with 2 nt 3' overhangs were the most efficient triggers of sequence-specific mRNA degradation. Substitution of one or both siRNA strands by 2'-deoxy or 2'-O-methyl oligonucleotides abolished RNAi, although multiple 2'-deoxynucleotide substitutions at the 3' end of siRNAs were tolerated. The target recognition process is highly sequence specific, but not all positions of a siRNA contribute equally to target recognition; mismatches in the centre of the siRNA duplex prevent target RNA cleavage. The position of the cleavage site in the target RNA is defined by the 5' end of the guide siRNA rather than its 3' end. These results provide a rational basis for the design of siRNAs in future gene targeting experiments.","author":[{"dropping-particle":"","family":"Elbashir","given":"S. M.","non-dropping-particle":"","parse-names":false,"suffix":""},{"dropping-particle":"","family":"Martinez","given":"J.","non-dropping-particle":"","parse-names":false,"suffix":""},{"dropping-particle":"","family":"Patkaniowska","given":"a.","non-dropping-particle":"","parse-names":false,"suffix":""},{"dropping-particle":"","family":"Lendeckel","given":"W.","non-dropping-particle":"","parse-names":false,"suffix":""},{"dropping-particle":"","family":"Tuschl","given":"T.","non-dropping-particle":"","parse-names":false,"suffix":""}],"container-title":"EMBO Journal","id":"ITEM-2","issue":"23","issued":{"date-parts":[["2001"]]},"page":"6877-6888","title":"Functional anatomy of siRNAs for mediating efficient RNAi in Drosophila melanogaster embryo lysate","type":"article-journal","volume":"20"},"uris":["http://www.mendeley.com/documents/?uuid=896d0f93-c136-46be-8edb-4c7fa48a23dd"]}],"mendeley":{"formattedCitation":"(Elbashir &lt;i&gt;et al.&lt;/i&gt;, 2001; Elbashir, Lendeckel and Tuschl, 2001)","plainTextFormattedCitation":"(Elbashir et al., 2001; Elbashir, Lendeckel and Tuschl, 2001)","previouslyFormattedCitation":"(Elbashir &lt;i&gt;et al.&lt;/i&gt;, 2001; Elbashir, Lendeckel and Tuschl, 2001)"},"properties":{"noteIndex":0},"schema":"https://github.com/citation-style-language/schema/raw/master/csl-citation.json"}</w:instrText>
      </w:r>
      <w:r w:rsidR="005C0E76">
        <w:fldChar w:fldCharType="separate"/>
      </w:r>
      <w:r w:rsidRPr="000C1650">
        <w:rPr>
          <w:noProof/>
        </w:rPr>
        <w:t xml:space="preserve">(Elbashir </w:t>
      </w:r>
      <w:r w:rsidRPr="000C1650">
        <w:rPr>
          <w:i/>
          <w:noProof/>
        </w:rPr>
        <w:t>et al.</w:t>
      </w:r>
      <w:r w:rsidRPr="000C1650">
        <w:rPr>
          <w:noProof/>
        </w:rPr>
        <w:t>, 2001; Elbashir, Lendeckel and Tuschl, 2001)</w:t>
      </w:r>
      <w:r w:rsidR="005C0E76">
        <w:fldChar w:fldCharType="end"/>
      </w:r>
      <w:r>
        <w:t xml:space="preserve"> by one of a class of RNase III enzymes collectively called Dicer </w:t>
      </w:r>
      <w:r w:rsidR="005C0E76">
        <w:fldChar w:fldCharType="begin" w:fldLock="1"/>
      </w:r>
      <w:r>
        <w:instrText>ADDIN CSL_CITATION {"citationItems":[{"id":"ITEM-1","itemData":{"DOI":"10.1038/35053110","ISSN":"0028-0836","PMID":"11201747","abstract":"RNA interference (RNAi) is the mechanism through which double-stranded RNAs silence cognate genes. In plants, this can occur at both the transcriptional and the post-transcriptional levels; however, in animals, only post-transcriptional RNAi has been reported to date. In both plants and animals, RNAi is characterized by the presence of RNAs of about 22 nucleotides in length that are homologous to the gene that is being suppressed. These 22-nucleotide sequences serve as guide sequences that instruct a multicomponent nuclease, RISC, to destroy specific messenger RNAs. Here we identify an enzyme, Dicer, which can produce putative guide RNAs. Dicer is a member of the RNase III family of nucleases that specifically cleave double-stranded RNAs, and is evolutionarily conserved in worms, flies, plants, fungi and mammals. The enzyme has a distinctive structure, which includes a helicase domain and dual RNase III motifs. Dicer also contains a region of homology to the RDE1/QDE2/ARGONAUTE family that has been genetically linked to RNAi.","author":[{"dropping-particle":"","family":"Bernstein","given":"Emily","non-dropping-particle":"","parse-names":false,"suffix":""},{"dropping-particle":"","family":"Caudy","given":"Amy A.","non-dropping-particle":"","parse-names":false,"suffix":""},{"dropping-particle":"","family":"Hammond","given":"Scott M.","non-dropping-particle":"","parse-names":false,"suffix":""},{"dropping-particle":"","family":"Hannon","given":"Gregory J.","non-dropping-particle":"","parse-names":false,"suffix":""}],"container-title":"Nature","id":"ITEM-1","issue":"6818","issued":{"date-parts":[["2001","1","18"]]},"page":"363-366","title":"Role for a bidentate ribonuclease in the initiation step of RNA interference","type":"article-journal","volume":"409"},"uris":["http://www.mendeley.com/documents/?uuid=51a166dc-b5a4-36d5-8497-8bd7f404c6d1"]}],"mendeley":{"formattedCitation":"(Bernstein &lt;i&gt;et al.&lt;/i&gt;, 2001)","plainTextFormattedCitation":"(Bernstein et al., 2001)","previouslyFormattedCitation":"(Bernstein &lt;i&gt;et al.&lt;/i&gt;, 2001)"},"properties":{"noteIndex":0},"schema":"https://github.com/citation-style-language/schema/raw/master/csl-citation.json"}</w:instrText>
      </w:r>
      <w:r w:rsidR="005C0E76">
        <w:fldChar w:fldCharType="separate"/>
      </w:r>
      <w:r w:rsidRPr="00871DEC">
        <w:rPr>
          <w:noProof/>
        </w:rPr>
        <w:t xml:space="preserve">(Bernstein </w:t>
      </w:r>
      <w:r w:rsidRPr="00871DEC">
        <w:rPr>
          <w:i/>
          <w:noProof/>
        </w:rPr>
        <w:t>et al.</w:t>
      </w:r>
      <w:r w:rsidRPr="00871DEC">
        <w:rPr>
          <w:noProof/>
        </w:rPr>
        <w:t>, 2001)</w:t>
      </w:r>
      <w:r w:rsidR="005C0E76">
        <w:fldChar w:fldCharType="end"/>
      </w:r>
      <w:r>
        <w:t xml:space="preserve">. The trimming process is therefore known as ‘Dicing’. </w:t>
      </w:r>
    </w:p>
    <w:p w:rsidR="0014686D" w:rsidRDefault="0014686D" w:rsidP="000441D9">
      <w:pPr>
        <w:spacing w:line="360" w:lineRule="auto"/>
        <w:ind w:firstLine="284"/>
      </w:pPr>
      <w:r>
        <w:t xml:space="preserve">Interestingly </w:t>
      </w:r>
      <w:r w:rsidRPr="007678F0">
        <w:rPr>
          <w:i/>
        </w:rPr>
        <w:t>Drosophila</w:t>
      </w:r>
      <w:r>
        <w:t xml:space="preserve"> </w:t>
      </w:r>
      <w:r w:rsidR="005C0E76">
        <w:fldChar w:fldCharType="begin" w:fldLock="1"/>
      </w:r>
      <w:r w:rsidR="00C57A7E">
        <w:instrText>ADDIN CSL_CITATION {"citationItems":[{"id":"ITEM-1","itemData":{"DOI":"10.1016/S0092-8674(04)00261-2","ISBN":"0092-8674","ISSN":"00928674","PMID":"15066283","abstract":"The RNase III enzyme Dicer processes RNA into siRNAs and miRNAs, which direct a RNA-induced silencing complex (RISC) to cleave mRNA or block its translation (RNAi). We have characterized mutations in the Drosophila dicer-1 and dicer-2 genes. Mutation in dicer-1 blocks processing of miRNA precursors, whereas dicer-2 mutants are defective for processing siRNA precursors. It has been recently found that Drosophila Dicer-1 and Dicer-2 are also components of siRNA-dependent RISC (siRISC). We find that Dicer-1 and Dicer-2 are required for siRNA-directed mRNA cleavage, though the RNase III activity of Dicer-2 is not required. Dicer-1 and Dicer-2 facilitate distinct steps in the assembly of siRISC. However, Dicer-1 but not Dicer-2 is essential for miRISC-directed translation repression. Thus, siRISCs and miRISCs are different with respect to Dicers in Drosophila.","author":[{"dropping-particle":"","family":"Lee","given":"Young Sik","non-dropping-particle":"","parse-names":false,"suffix":""},{"dropping-particle":"","family":"Nakahara","given":"Kenji","non-dropping-particle":"","parse-names":false,"suffix":""},{"dropping-particle":"","family":"Pham","given":"John W.","non-dropping-particle":"","parse-names":false,"suffix":""},{"dropping-particle":"","family":"Kim","given":"Kevin","non-dropping-particle":"","parse-names":false,"suffix":""},{"dropping-particle":"","family":"He","given":"Zhengying","non-dropping-particle":"","parse-names":false,"suffix":""},{"dropping-particle":"","family":"Sontheimer","given":"Erik J.","non-dropping-particle":"","parse-names":false,"suffix":""},{"dropping-particle":"","family":"Carthew","given":"Richard W.","non-dropping-particle":"","parse-names":false,"suffix":""}],"container-title":"Cell","id":"ITEM-1","issue":"1","issued":{"date-parts":[["2004"]]},"page":"69-81","title":"Distinct roles for Drosophila Dicer-1 and Dicer-2 in the siRNA/miRNA silencing pathways","type":"article-journal","volume":"117"},"uris":["http://www.mendeley.com/documents/?uuid=3d5d99e0-690d-4d71-b932-135e3931f190"]}],"mendeley":{"formattedCitation":"(Lee, Nakahara, John W. Pham, &lt;i&gt;et al.&lt;/i&gt;, 2004)","plainTextFormattedCitation":"(Lee, Nakahara, John W. Pham, et al., 2004)","previouslyFormattedCitation":"(Lee &lt;i&gt;et al.&lt;/i&gt;, 2004)"},"properties":{"noteIndex":0},"schema":"https://github.com/citation-style-language/schema/raw/master/csl-citation.json"}</w:instrText>
      </w:r>
      <w:r w:rsidR="005C0E76">
        <w:fldChar w:fldCharType="separate"/>
      </w:r>
      <w:r w:rsidR="00C57A7E" w:rsidRPr="00C57A7E">
        <w:rPr>
          <w:noProof/>
        </w:rPr>
        <w:t xml:space="preserve">(Lee, Nakahara, John W. Pham, </w:t>
      </w:r>
      <w:r w:rsidR="00C57A7E" w:rsidRPr="00C57A7E">
        <w:rPr>
          <w:i/>
          <w:noProof/>
        </w:rPr>
        <w:t>et al.</w:t>
      </w:r>
      <w:r w:rsidR="00C57A7E" w:rsidRPr="00C57A7E">
        <w:rPr>
          <w:noProof/>
        </w:rPr>
        <w:t>, 2004)</w:t>
      </w:r>
      <w:r w:rsidR="005C0E76">
        <w:fldChar w:fldCharType="end"/>
      </w:r>
      <w:r>
        <w:t xml:space="preserve"> and </w:t>
      </w:r>
      <w:r w:rsidR="00612476">
        <w:t xml:space="preserve">other arthropods </w:t>
      </w:r>
      <w:r w:rsidR="005C0E76">
        <w:fldChar w:fldCharType="begin" w:fldLock="1"/>
      </w:r>
      <w:r>
        <w:instrText>ADDIN CSL_CITATION {"citationItems":[{"id":"ITEM-1","itemData":{"DOI":"10.1371/journal.pone.0111646","ISSN":"1932-6203","abstract":"Halyomorpha halys (Stål) (Heteroptera: Pentatomidae), the brown marmorated stink bug, is an invasive agricultural and nuisance pest rapidly expanding its incidence in North America. This voracious pest poses a significant threat to rural and urban agriculture, especially to specialty crops such as apples, grapes and ornamentals, as well as staple crops including soybean and corn. The object of this study was to generate transcript sequence resources for H. halys. RNA-seq libraries derived from distinct developmental stages and sexes were sequenced and assembled into 248,569 putatively unique transcripts (PUTs). PUTs were segmented into three disjoint tiers of varying reliability, with 4,794 classified as gold tier (highest quality), 16,878 as silver, and 14,357 as bronze. The gold-tier PUTs associated with 2,580 distinct non-redundant protein sequences from the NCBI NR database—1,785 of these (69%) mapped to annotated UniProtKB database proteins, from which 1,273 unique Pfam families and 459 unique Molecular Function GO terms were encountered. Of the silver tier's 6,527 PUTs associated with unique proteins, 4,193 mapped to UniProtKB (64%), from which 1,941 and 640 unique Pfam and Molecular Function GO terms were extracted. H. halys PUTs related to important life processes like immunity, endocrinology, reproduction, development, behavior, neurotransmission, neurotoxicity, olfaction, and small RNA pathways were validated through quantitative Real-Time PCR (qRT-PCR) for differential expression during distinct life stages (eggs, 2nd instar nymphs, 4th instar nymphs, female adults, male adults). PUTs similar to hypothetical proteins identified in symbiont microbes, including Pantoea and Nosema species, were more abundantly expressed in adults versus nymphs. These comprehensive H. halys transcriptomic resources can be utilized to aid development of novel control methodologies to disrupt life processes; to conduct reverse genetic screens to determine host gene function; and to design environmentally unobtrusive means to control host populations or target specific H. halys life stages, such as molecular biopesticides.","author":[{"dropping-particle":"","family":"Sparks","given":"Michael E.","non-dropping-particle":"","parse-names":false,"suffix":""},{"dropping-particle":"","family":"Shelby","given":"Kent S.","non-dropping-particle":"","parse-names":false,"suffix":""},{"dropping-particle":"","family":"Kuhar","given":"Daniel","non-dropping-particle":"","parse-names":false,"suffix":""},{"dropping-particle":"","family":"Gundersen-Rindal","given":"Dawn E.","non-dropping-particle":"","parse-names":false,"suffix":""}],"container-title":"PLoS ONE","editor":[{"dropping-particle":"","family":"Mittapalli","given":"Omprakash","non-dropping-particle":"","parse-names":false,"suffix":""}],"id":"ITEM-1","issue":"11","issued":{"date-parts":[["2014","11","11"]]},"page":"e111646","publisher":"Public Library of Science","title":"Transcriptome of the Invasive Brown Marmorated Stink Bug, Halyomorpha halys (Stål) (Heteroptera: Pentatomidae)","type":"article-journal","volume":"9"},"uris":["http://www.mendeley.com/documents/?uuid=17d1455e-07c9-3008-80b4-eedf9e722496"]}],"mendeley":{"formattedCitation":"(Sparks &lt;i&gt;et al.&lt;/i&gt;, 2014)","plainTextFormattedCitation":"(Sparks et al., 2014)","previouslyFormattedCitation":"(Sparks &lt;i&gt;et al.&lt;/i&gt;, 2014)"},"properties":{"noteIndex":0},"schema":"https://github.com/citation-style-language/schema/raw/master/csl-citation.json"}</w:instrText>
      </w:r>
      <w:r w:rsidR="005C0E76">
        <w:fldChar w:fldCharType="separate"/>
      </w:r>
      <w:r w:rsidRPr="007678F0">
        <w:rPr>
          <w:noProof/>
        </w:rPr>
        <w:t xml:space="preserve">(Sparks </w:t>
      </w:r>
      <w:r w:rsidRPr="007678F0">
        <w:rPr>
          <w:i/>
          <w:noProof/>
        </w:rPr>
        <w:t>et al.</w:t>
      </w:r>
      <w:r w:rsidRPr="007678F0">
        <w:rPr>
          <w:noProof/>
        </w:rPr>
        <w:t>, 2014)</w:t>
      </w:r>
      <w:r w:rsidR="005C0E76">
        <w:fldChar w:fldCharType="end"/>
      </w:r>
      <w:r>
        <w:t xml:space="preserve">, have two Dicer paralogs, Dicer-1 and Dicer-2 whereas there is only one mammalian Dicer </w:t>
      </w:r>
      <w:r w:rsidR="005C0E76">
        <w:fldChar w:fldCharType="begin" w:fldLock="1"/>
      </w:r>
      <w:r>
        <w:instrText xml:space="preserve">ADDIN CSL_CITATION {"citationItems":[{"id":"ITEM-1","itemData":{"DOI":"10.1016/j.febslet.2005.08.079","ISSN":"00145793","author":[{"dropping-particle":"","family":"Hammond","given":"Scott M.","non-dropping-particle":"","parse-names":false,"suffix":""}],"container-title":"FEBS Letters","id":"ITEM-1","issue":"26","issued":{"date-parts":[["2005","10","31"]]},"page":"5822-5829","publisher":"John Wiley &amp; Sons, Ltd","title":"Dicing and slicing","type":"article-journal","volume":"579"},"uris":["http://www.mendeley.com/documents/?uuid=0b882f76-dc49-3636-a88c-daef61c15988"]},{"id":"ITEM-2","itemData":{"DOI":"10.1073/pnas.1612393113","ISSN":"1091-6490","PMID":"27872309","abstract":"The enzyme Dicer produces small silencing RNAs such as micro-RNAs (miRNAs) and small interfering RNAs (siRNAs). In Drosophila, Dicer-1 produces </w:instrText>
      </w:r>
      <w:r>
        <w:rPr>
          <w:rFonts w:ascii="Cambria Math" w:hAnsi="Cambria Math" w:cs="Cambria Math"/>
        </w:rPr>
        <w:instrText>∼</w:instrText>
      </w:r>
      <w:r>
        <w:rPr>
          <w:rFonts w:ascii="Calibri" w:hAnsi="Calibri" w:cs="Calibri"/>
        </w:rPr>
        <w:instrText>22-24-nt miRNAs from pre-miRNAs, whereas Dicer-2 makes 21-nt siRNAs from long double-stranded RNAs (dsRNAs). How Dicer-2 precisely makes 21-nt siRNAs with a remarkably high fidelity is unknown. Here we report that recognition of the 5'-monophosphate</w:instrText>
      </w:r>
      <w:r>
        <w:instrText xml:space="preserve"> of a long dsRNA substrate by a phosphate-binding pocket in the Dicer-2 PAZ (Piwi, Argonaute, and Zwille/Pinhead) domain is crucial for the length fidelity, but not the efficiency, in 21-nt siRNA production. Loss of the length fidelity, meaning increased length heterogeneity of siRNAs, caused by point mutations in the phosphate-binding pocket of the Dicer-2 PAZ domain decreased RNA silencing activity in vivo, showing the importance of the high fidelity to make 21-nt siRNAs. We propose that the 5'-monophosphate of a long dsRNA substrate is anchored by the phosphate-binding pocket in the Dicer-2 PAZ domain and the distance between the pocket and the RNA cleavage active site in the RNaseIII domain corresponds to the 21-nt pitch in the A-form duplex of a long dsRNA substrate, resulting in high-fidelity 21-nt siRNA production. This study sheds light on the molecular mechanism by which Dicer-2 produces 21-nt siRNAs with a remarkably high fidelity for efficient RNA silencing.","author":[{"dropping-particle":"","family":"Kandasamy","given":"Suresh K","non-dropping-particle":"","parse-names":false,"suffix":""},{"dropping-particle":"","family":"Fukunaga","given":"Ryuya","non-dropping-particle":"","parse-names":false,"suffix":""}],"container-title":"Proceedings of the National Academy of Sciences of the United States of America","id":"ITEM-2","issue":"49","issued":{"date-parts":[["2016","12","6"]]},"page":"14031-14036","publisher":"National Academy of Sciences","title":"Phosphate-binding pocket in Dicer-2 PAZ domain for high-fidelity siRNA production.","type":"article-journal","volume":"113"},"uris":["http://www.mendeley.com/documents/?uuid=90bef9ed-5b73-3b06-9f4a-a167e60a5f1d"]}],"mendeley":{"formattedCitation":"(Hammond, 2005; Kandasamy and Fukunaga, 2016)","plainTextFormattedCitation":"(Hammond, 2005; Kandasamy and Fukunaga, 2016)","previouslyFormattedCitation":"(Hammond, 2005; Kandasamy and Fukunaga, 2016)"},"properties":{"noteIndex":0},"schema":"https://github.com/citation-style-language/schema/raw/master/csl-citation.json"}</w:instrText>
      </w:r>
      <w:r w:rsidR="005C0E76">
        <w:fldChar w:fldCharType="separate"/>
      </w:r>
      <w:r w:rsidRPr="00013899">
        <w:rPr>
          <w:noProof/>
        </w:rPr>
        <w:t>(Hammond, 2005; Kandasamy and Fukunaga, 2016)</w:t>
      </w:r>
      <w:r w:rsidR="005C0E76">
        <w:fldChar w:fldCharType="end"/>
      </w:r>
      <w:r>
        <w:t xml:space="preserve">. Dicer-1 processes pre-miRNAs to miRNAs, whereas Dicer-2 processes long dsRNA to siRNAs. Both Dicers lack the ability to process the substrate of the other, however they appear to have somewhat distinct but also </w:t>
      </w:r>
      <w:r w:rsidRPr="00D6722B">
        <w:t xml:space="preserve">partly </w:t>
      </w:r>
      <w:r w:rsidRPr="00D6722B">
        <w:lastRenderedPageBreak/>
        <w:t>duplicated roles</w:t>
      </w:r>
      <w:r>
        <w:t xml:space="preserve"> in formation of si-RISCs </w:t>
      </w:r>
      <w:r w:rsidR="005C0E76">
        <w:fldChar w:fldCharType="begin" w:fldLock="1"/>
      </w:r>
      <w:r w:rsidR="00C57A7E">
        <w:instrText>ADDIN CSL_CITATION {"citationItems":[{"id":"ITEM-1","itemData":{"DOI":"10.1016/S0092-8674(04)00261-2","ISBN":"0092-8674","ISSN":"00928674","PMID":"15066283","abstract":"The RNase III enzyme Dicer processes RNA into siRNAs and miRNAs, which direct a RNA-induced silencing complex (RISC) to cleave mRNA or block its translation (RNAi). We have characterized mutations in the Drosophila dicer-1 and dicer-2 genes. Mutation in dicer-1 blocks processing of miRNA precursors, whereas dicer-2 mutants are defective for processing siRNA precursors. It has been recently found that Drosophila Dicer-1 and Dicer-2 are also components of siRNA-dependent RISC (siRISC). We find that Dicer-1 and Dicer-2 are required for siRNA-directed mRNA cleavage, though the RNase III activity of Dicer-2 is not required. Dicer-1 and Dicer-2 facilitate distinct steps in the assembly of siRISC. However, Dicer-1 but not Dicer-2 is essential for miRISC-directed translation repression. Thus, siRISCs and miRISCs are different with respect to Dicers in Drosophila.","author":[{"dropping-particle":"","family":"Lee","given":"Young Sik","non-dropping-particle":"","parse-names":false,"suffix":""},{"dropping-particle":"","family":"Nakahara","given":"Kenji","non-dropping-particle":"","parse-names":false,"suffix":""},{"dropping-particle":"","family":"Pham","given":"John W.","non-dropping-particle":"","parse-names":false,"suffix":""},{"dropping-particle":"","family":"Kim","given":"Kevin","non-dropping-particle":"","parse-names":false,"suffix":""},{"dropping-particle":"","family":"He","given":"Zhengying","non-dropping-particle":"","parse-names":false,"suffix":""},{"dropping-particle":"","family":"Sontheimer","given":"Erik J.","non-dropping-particle":"","parse-names":false,"suffix":""},{"dropping-particle":"","family":"Carthew","given":"Richard W.","non-dropping-particle":"","parse-names":false,"suffix":""}],"container-title":"Cell","id":"ITEM-1","issue":"1","issued":{"date-parts":[["2004"]]},"page":"69-81","title":"Distinct roles for Drosophila Dicer-1 and Dicer-2 in the siRNA/miRNA silencing pathways","type":"article-journal","volume":"117"},"uris":["http://www.mendeley.com/documents/?uuid=3d5d99e0-690d-4d71-b932-135e3931f190"]}],"mendeley":{"formattedCitation":"(Lee, Nakahara, John W. Pham, &lt;i&gt;et al.&lt;/i&gt;, 2004)","plainTextFormattedCitation":"(Lee, Nakahara, John W. Pham, et al., 2004)","previouslyFormattedCitation":"(Lee &lt;i&gt;et al.&lt;/i&gt;, 2004)"},"properties":{"noteIndex":0},"schema":"https://github.com/citation-style-language/schema/raw/master/csl-citation.json"}</w:instrText>
      </w:r>
      <w:r w:rsidR="005C0E76">
        <w:fldChar w:fldCharType="separate"/>
      </w:r>
      <w:r w:rsidR="00C57A7E" w:rsidRPr="00C57A7E">
        <w:rPr>
          <w:noProof/>
        </w:rPr>
        <w:t xml:space="preserve">(Lee, Nakahara, John W. Pham, </w:t>
      </w:r>
      <w:r w:rsidR="00C57A7E" w:rsidRPr="00C57A7E">
        <w:rPr>
          <w:i/>
          <w:noProof/>
        </w:rPr>
        <w:t>et al.</w:t>
      </w:r>
      <w:r w:rsidR="00C57A7E" w:rsidRPr="00C57A7E">
        <w:rPr>
          <w:noProof/>
        </w:rPr>
        <w:t>, 2004)</w:t>
      </w:r>
      <w:r w:rsidR="005C0E76">
        <w:fldChar w:fldCharType="end"/>
      </w:r>
      <w:r>
        <w:t xml:space="preserve">. While Dicers in insects have two roles, one in processing of miRNA/siRNA precursors, and one in RISC assembly and loading </w:t>
      </w:r>
      <w:r w:rsidR="005C0E76">
        <w:fldChar w:fldCharType="begin" w:fldLock="1"/>
      </w:r>
      <w:r w:rsidR="00C57A7E">
        <w:instrText>ADDIN CSL_CITATION {"citationItems":[{"id":"ITEM-1","itemData":{"DOI":"10.1016/S0092-8674(04)00261-2","ISBN":"0092-8674","ISSN":"00928674","PMID":"15066283","abstract":"The RNase III enzyme Dicer processes RNA into siRNAs and miRNAs, which direct a RNA-induced silencing complex (RISC) to cleave mRNA or block its translation (RNAi). We have characterized mutations in the Drosophila dicer-1 and dicer-2 genes. Mutation in dicer-1 blocks processing of miRNA precursors, whereas dicer-2 mutants are defective for processing siRNA precursors. It has been recently found that Drosophila Dicer-1 and Dicer-2 are also components of siRNA-dependent RISC (siRISC). We find that Dicer-1 and Dicer-2 are required for siRNA-directed mRNA cleavage, though the RNase III activity of Dicer-2 is not required. Dicer-1 and Dicer-2 facilitate distinct steps in the assembly of siRISC. However, Dicer-1 but not Dicer-2 is essential for miRISC-directed translation repression. Thus, siRISCs and miRISCs are different with respect to Dicers in Drosophila.","author":[{"dropping-particle":"","family":"Lee","given":"Young Sik","non-dropping-particle":"","parse-names":false,"suffix":""},{"dropping-particle":"","family":"Nakahara","given":"Kenji","non-dropping-particle":"","parse-names":false,"suffix":""},{"dropping-particle":"","family":"Pham","given":"John W.","non-dropping-particle":"","parse-names":false,"suffix":""},{"dropping-particle":"","family":"Kim","given":"Kevin","non-dropping-particle":"","parse-names":false,"suffix":""},{"dropping-particle":"","family":"He","given":"Zhengying","non-dropping-particle":"","parse-names":false,"suffix":""},{"dropping-particle":"","family":"Sontheimer","given":"Erik J.","non-dropping-particle":"","parse-names":false,"suffix":""},{"dropping-particle":"","family":"Carthew","given":"Richard W.","non-dropping-particle":"","parse-names":false,"suffix":""}],"container-title":"Cell","id":"ITEM-1","issue":"1","issued":{"date-parts":[["2004"]]},"page":"69-81","title":"Distinct roles for Drosophila Dicer-1 and Dicer-2 in the siRNA/miRNA silencing pathways","type":"article-journal","volume":"117"},"uris":["http://www.mendeley.com/documents/?uuid=3d5d99e0-690d-4d71-b932-135e3931f190"]}],"mendeley":{"formattedCitation":"(Lee, Nakahara, John W. Pham, &lt;i&gt;et al.&lt;/i&gt;, 2004)","plainTextFormattedCitation":"(Lee, Nakahara, John W. Pham, et al., 2004)","previouslyFormattedCitation":"(Lee &lt;i&gt;et al.&lt;/i&gt;, 2004)"},"properties":{"noteIndex":0},"schema":"https://github.com/citation-style-language/schema/raw/master/csl-citation.json"}</w:instrText>
      </w:r>
      <w:r w:rsidR="005C0E76">
        <w:fldChar w:fldCharType="separate"/>
      </w:r>
      <w:r w:rsidR="00C57A7E" w:rsidRPr="00C57A7E">
        <w:rPr>
          <w:noProof/>
        </w:rPr>
        <w:t xml:space="preserve">(Lee, Nakahara, John W. Pham, </w:t>
      </w:r>
      <w:r w:rsidR="00C57A7E" w:rsidRPr="00C57A7E">
        <w:rPr>
          <w:i/>
          <w:noProof/>
        </w:rPr>
        <w:t>et al.</w:t>
      </w:r>
      <w:r w:rsidR="00C57A7E" w:rsidRPr="00C57A7E">
        <w:rPr>
          <w:noProof/>
        </w:rPr>
        <w:t>, 2004)</w:t>
      </w:r>
      <w:r w:rsidR="005C0E76">
        <w:fldChar w:fldCharType="end"/>
      </w:r>
      <w:r>
        <w:t xml:space="preserve">, current evidence suggests Dicer is dispensable for RISC loading both </w:t>
      </w:r>
      <w:r w:rsidRPr="002509ED">
        <w:rPr>
          <w:i/>
        </w:rPr>
        <w:t>in vivo</w:t>
      </w:r>
      <w:r>
        <w:t xml:space="preserve"> and </w:t>
      </w:r>
      <w:r w:rsidRPr="002509ED">
        <w:rPr>
          <w:i/>
        </w:rPr>
        <w:t>in vitro</w:t>
      </w:r>
      <w:r>
        <w:t xml:space="preserve"> in mammalian systems </w:t>
      </w:r>
      <w:r w:rsidR="005C0E76">
        <w:fldChar w:fldCharType="begin" w:fldLock="1"/>
      </w:r>
      <w:r>
        <w:instrText>ADDIN CSL_CITATION {"citationItems":[{"id":"ITEM-1","itemData":{"DOI":"10.1261/rna.029785.111","ISSN":"1469-9001","PMID":"22106413","abstract":"In flies, asymmetric loading of small RNA duplexes into Argonaute2-containing RNA-induced silencing complex (Ago2-RISC) requires Dicer-2/R2D2 heterodimer, which acts as a protein sensor for the thermodynamic stabilities of the ends of small RNA duplexes. However, the mechanism of small RNA asymmetry sensing in mammalian RISC assembly remains obscure. Here, we quantitatively examined RISC assembly and target silencing activity in the presence or absence of Dicer in mammals. Our data show that, unlike the well-characterized fly Ago2-RISC assembly pathway, mammalian Dicer is dispensable for asymmetric RISC loading in vivo and in vitro.","author":[{"dropping-particle":"","family":"Betancur","given":"Juan G","non-dropping-particle":"","parse-names":false,"suffix":""},{"dropping-particle":"","family":"Tomari","given":"Yukihide","non-dropping-particle":"","parse-names":false,"suffix":""}],"container-title":"RNA (New York, N.Y.)","id":"ITEM-1","issue":"1","issued":{"date-parts":[["2012","1"]]},"page":"24-30","publisher":"Cold Spring Harbor Laboratory Press","title":"Dicer is dispensable for asymmetric RISC loading in mammals.","type":"article-journal","volume":"18"},"uris":["http://www.mendeley.com/documents/?uuid=c1f1a51d-3f23-35cf-bcd0-f654b86ab855"]}],"mendeley":{"formattedCitation":"(Betancur and Tomari, 2012)","plainTextFormattedCitation":"(Betancur and Tomari, 2012)","previouslyFormattedCitation":"(Betancur and Tomari, 2012)"},"properties":{"noteIndex":0},"schema":"https://github.com/citation-style-language/schema/raw/master/csl-citation.json"}</w:instrText>
      </w:r>
      <w:r w:rsidR="005C0E76">
        <w:fldChar w:fldCharType="separate"/>
      </w:r>
      <w:r w:rsidRPr="002509ED">
        <w:rPr>
          <w:noProof/>
        </w:rPr>
        <w:t>(Betancur and Tomari, 2012)</w:t>
      </w:r>
      <w:r w:rsidR="005C0E76">
        <w:fldChar w:fldCharType="end"/>
      </w:r>
      <w:r>
        <w:t xml:space="preserve">, though this has been debated in the past </w:t>
      </w:r>
      <w:r w:rsidR="005C0E76">
        <w:fldChar w:fldCharType="begin" w:fldLock="1"/>
      </w:r>
      <w:r>
        <w:instrText>ADDIN CSL_CITATION {"citationItems":[{"id":"ITEM-1","itemData":{"DOI":"10.1016/S0960-9822(02)01394-5","ISSN":"0960-9822","abstract":"RNA interference (RNAi) is the process of long, double-stranded (ds), RNA-dependent posttranscriptional gene silencing (PTGS) [1]. In lower eukaryotes, dsRNA introduced into the cytoplasm is cleaved by the RNaseIII-like enzyme, Dicer, to 21–23 nt RNA (short interfering [si] RNA), which may serve as guide for target mRNA degradation [2]. In mammals, long-dsRNA-dependent PTGS is applicable only to a limited number of cell types [3–7], whereas siRNA synthesized in vitro is capable of effectively inducing gene silencing in a wide variety of cells [8]. Although biochemical and genetic analyses in lower eukaryotes showed that Dicer and some PIWI family member proteins are essential for long-dsRNA-dependent PTGS [9–11], little is known about the molecular mechanisms underlying siRNA-based PTGS. Here, we show that Dicer and eIF2C translation initiation factors belonging to the PIWI family (eIF2C1–4) play an essential role in mammalian siRNA-mediated PTGS, most probably through synergistic interactions. Immunoprecipitation experiments suggest that, in human and mouse cells, complex formation occurs between Dicer and eIF2C1 or 2 and that the PIWI domain of eIF2C is essential for the formation of this complex.","author":[{"dropping-particle":"","family":"Doi","given":"Noboru","non-dropping-particle":"","parse-names":false,"suffix":""},{"dropping-particle":"","family":"Zenno","given":"Shuhei","non-dropping-particle":"","parse-names":false,"suffix":""},{"dropping-particle":"","family":"Ueda","given":"Ryu","non-dropping-particle":"","parse-names":false,"suffix":""},{"dropping-particle":"","family":"Ohki-Hamazaki","given":"Hiroko","non-dropping-particle":"","parse-names":false,"suffix":""},{"dropping-particle":"","family":"Ui-Tei","given":"Kumiko","non-dropping-particle":"","parse-names":false,"suffix":""},{"dropping-particle":"","family":"Saigo","given":"Kaoru","non-dropping-particle":"","parse-names":false,"suffix":""}],"container-title":"Current Biology","id":"ITEM-1","issue":"1","issued":{"date-parts":[["2003","1","8"]]},"page":"41-46","publisher":"Cell Press","title":"Short-Interfering-RNA-Mediated Gene Silencing in Mammalian Cells Requires Dicer and eIF2C Translation Initiation Factors","type":"article-journal","volume":"13"},"uris":["http://www.mendeley.com/documents/?uuid=d899fb12-3826-3895-8e08-ebc9a484b51b"]}],"mendeley":{"formattedCitation":"(Doi &lt;i&gt;et al.&lt;/i&gt;, 2003)","plainTextFormattedCitation":"(Doi et al., 2003)","previouslyFormattedCitation":"(Doi &lt;i&gt;et al.&lt;/i&gt;, 2003)"},"properties":{"noteIndex":0},"schema":"https://github.com/citation-style-language/schema/raw/master/csl-citation.json"}</w:instrText>
      </w:r>
      <w:r w:rsidR="005C0E76">
        <w:fldChar w:fldCharType="separate"/>
      </w:r>
      <w:r w:rsidRPr="0022735A">
        <w:rPr>
          <w:noProof/>
        </w:rPr>
        <w:t xml:space="preserve">(Doi </w:t>
      </w:r>
      <w:r w:rsidRPr="0022735A">
        <w:rPr>
          <w:i/>
          <w:noProof/>
        </w:rPr>
        <w:t>et al.</w:t>
      </w:r>
      <w:r w:rsidRPr="0022735A">
        <w:rPr>
          <w:noProof/>
        </w:rPr>
        <w:t>, 2003)</w:t>
      </w:r>
      <w:r w:rsidR="005C0E76">
        <w:fldChar w:fldCharType="end"/>
      </w:r>
      <w:r>
        <w:t>.</w:t>
      </w:r>
    </w:p>
    <w:p w:rsidR="0014686D" w:rsidRDefault="0014686D" w:rsidP="000441D9">
      <w:pPr>
        <w:spacing w:line="360" w:lineRule="auto"/>
        <w:ind w:firstLine="284"/>
      </w:pPr>
      <w:r>
        <w:t xml:space="preserve">Dicer-1 produces miRNAs between around 22 and 24 nucleotides (nt) in length, whereas siRNAs produced by Dicer-2 are almost entirely 21 nt in length </w:t>
      </w:r>
      <w:r w:rsidR="005C0E76">
        <w:fldChar w:fldCharType="begin" w:fldLock="1"/>
      </w:r>
      <w:r w:rsidR="00C57A7E">
        <w:instrText>ADDIN CSL_CITATION {"citationItems":[{"id":"ITEM-1","itemData":{"DOI":"10.1016/S0092-8674(04)00261-2","ISBN":"0092-8674","ISSN":"00928674","PMID":"15066283","abstract":"The RNase III enzyme Dicer processes RNA into siRNAs and miRNAs, which direct a RNA-induced silencing complex (RISC) to cleave mRNA or block its translation (RNAi). We have characterized mutations in the Drosophila dicer-1 and dicer-2 genes. Mutation in dicer-1 blocks processing of miRNA precursors, whereas dicer-2 mutants are defective for processing siRNA precursors. It has been recently found that Drosophila Dicer-1 and Dicer-2 are also components of siRNA-dependent RISC (siRISC). We find that Dicer-1 and Dicer-2 are required for siRNA-directed mRNA cleavage, though the RNase III activity of Dicer-2 is not required. Dicer-1 and Dicer-2 facilitate distinct steps in the assembly of siRISC. However, Dicer-1 but not Dicer-2 is essential for miRISC-directed translation repression. Thus, siRISCs and miRISCs are different with respect to Dicers in Drosophila.","author":[{"dropping-particle":"","family":"Lee","given":"Young Sik","non-dropping-particle":"","parse-names":false,"suffix":""},{"dropping-particle":"","family":"Nakahara","given":"Kenji","non-dropping-particle":"","parse-names":false,"suffix":""},{"dropping-particle":"","family":"Pham","given":"John W.","non-dropping-particle":"","parse-names":false,"suffix":""},{"dropping-particle":"","family":"Kim","given":"Kevin","non-dropping-particle":"","parse-names":false,"suffix":""},{"dropping-particle":"","family":"He","given":"Zhengying","non-dropping-particle":"","parse-names":false,"suffix":""},{"dropping-particle":"","family":"Sontheimer","given":"Erik J.","non-dropping-particle":"","parse-names":false,"suffix":""},{"dropping-particle":"","family":"Carthew","given":"Richard W.","non-dropping-particle":"","parse-names":false,"suffix":""}],"container-title":"Cell","id":"ITEM-1","issue":"1","issued":{"date-parts":[["2004"]]},"page":"69-81","title":"Distinct roles for Drosophila Dicer-1 and Dicer-2 in the siRNA/miRNA silencing pathways","type":"article-journal","volume":"117"},"uris":["http://www.mendeley.com/documents/?uuid=3d5d99e0-690d-4d71-b932-135e3931f190"]}],"mendeley":{"formattedCitation":"(Lee, Nakahara, John W. Pham, &lt;i&gt;et al.&lt;/i&gt;, 2004)","plainTextFormattedCitation":"(Lee, Nakahara, John W. Pham, et al., 2004)","previouslyFormattedCitation":"(Lee &lt;i&gt;et al.&lt;/i&gt;, 2004)"},"properties":{"noteIndex":0},"schema":"https://github.com/citation-style-language/schema/raw/master/csl-citation.json"}</w:instrText>
      </w:r>
      <w:r w:rsidR="005C0E76">
        <w:fldChar w:fldCharType="separate"/>
      </w:r>
      <w:r w:rsidR="00C57A7E" w:rsidRPr="00C57A7E">
        <w:rPr>
          <w:noProof/>
        </w:rPr>
        <w:t xml:space="preserve">(Lee, Nakahara, John W. Pham, </w:t>
      </w:r>
      <w:r w:rsidR="00C57A7E" w:rsidRPr="00C57A7E">
        <w:rPr>
          <w:i/>
          <w:noProof/>
        </w:rPr>
        <w:t>et al.</w:t>
      </w:r>
      <w:r w:rsidR="00C57A7E" w:rsidRPr="00C57A7E">
        <w:rPr>
          <w:noProof/>
        </w:rPr>
        <w:t>, 2004)</w:t>
      </w:r>
      <w:r w:rsidR="005C0E76">
        <w:fldChar w:fldCharType="end"/>
      </w:r>
      <w:r>
        <w:t xml:space="preserve"> and are produced with high fidelity at this length. This specific length is thought arise from the 5’ phosphate of the dsRNA anchoring in a binding pocket in the PAZ domain of Dicer-2, which results in the RNase III domains’ active sites – where  the dsRNA is cut – being exactly 21 nt along the length of the duplex assuming the duplex is in A-form </w:t>
      </w:r>
      <w:r w:rsidR="005C0E76">
        <w:fldChar w:fldCharType="begin" w:fldLock="1"/>
      </w:r>
      <w:r>
        <w:instrText xml:space="preserve">ADDIN CSL_CITATION {"citationItems":[{"id":"ITEM-1","itemData":{"DOI":"10.1073/pnas.1612393113","ISSN":"1091-6490","PMID":"27872309","abstract":"The enzyme Dicer produces small silencing RNAs such as micro-RNAs (miRNAs) and small interfering RNAs (siRNAs). In Drosophila, Dicer-1 produces </w:instrText>
      </w:r>
      <w:r>
        <w:rPr>
          <w:rFonts w:ascii="Cambria Math" w:hAnsi="Cambria Math" w:cs="Cambria Math"/>
        </w:rPr>
        <w:instrText>∼</w:instrText>
      </w:r>
      <w:r>
        <w:rPr>
          <w:rFonts w:ascii="Calibri" w:hAnsi="Calibri" w:cs="Calibri"/>
        </w:rPr>
        <w:instrText>22-2</w:instrText>
      </w:r>
      <w:r>
        <w:instrText>4-nt miRNAs from pre-miRNAs, whereas Dicer-2 makes 21-nt siRNAs from long double-stranded RNAs (dsRNAs). How Dicer-2 precisely makes 21-nt siRNAs with a remarkably high fidelity is unknown. Here we report that recognition of the 5'-monophosphate of a long dsRNA substrate by a phosphate-binding pocket in the Dicer-2 PAZ (Piwi, Argonaute, and Zwille/Pinhead) domain is crucial for the length fidelity, but not the efficiency, in 21-nt siRNA production. Loss of the length fidelity, meaning increased length heterogeneity of siRNAs, caused by point mutations in the phosphate-binding pocket of the Dicer-2 PAZ domain decreased RNA silencing activity in vivo, showing the importance of the high fidelity to make 21-nt siRNAs. We propose that the 5'-monophosphate of a long dsRNA substrate is anchored by the phosphate-binding pocket in the Dicer-2 PAZ domain and the distance between the pocket and the RNA cleavage active site in the RNaseIII domain corresponds to the 21-nt pitch in the A-form duplex of a long dsRNA substrate, resulting in high-fidelity 21-nt siRNA production. This study sheds light on the molecular mechanism by which Dicer-2 produces 21-nt siRNAs with a remarkably high fidelity for efficient RNA silencing.","author":[{"dropping-particle":"","family":"Kandasamy","given":"Suresh K","non-dropping-particle":"","parse-names":false,"suffix":""},{"dropping-particle":"","family":"Fukunaga","given":"Ryuya","non-dropping-particle":"","parse-names":false,"suffix":""}],"container-title":"Proceedings of the National Academy of Sciences of the United States of America","id":"ITEM-1","issue":"49","issued":{"date-parts":[["2016","12","6"]]},"page":"14031-14036","publisher":"National Academy of Sciences","title":"Phosphate-binding pocket in Dicer-2 PAZ domain for high-fidelity siRNA production.","type":"article-journal","volume":"113"},"uris":["http://www.mendeley.com/documents/?uuid=90bef9ed-5b73-3b06-9f4a-a167e60a5f1d"]}],"mendeley":{"formattedCitation":"(Kandasamy and Fukunaga, 2016)","plainTextFormattedCitation":"(Kandasamy and Fukunaga, 2016)","previouslyFormattedCitation":"(Kandasamy and Fukunaga, 2016)"},"properties":{"noteIndex":0},"schema":"https://github.com/citation-style-language/schema/raw/master/csl-citation.json"}</w:instrText>
      </w:r>
      <w:r w:rsidR="005C0E76">
        <w:fldChar w:fldCharType="separate"/>
      </w:r>
      <w:r w:rsidRPr="004073E7">
        <w:rPr>
          <w:noProof/>
        </w:rPr>
        <w:t>(Kandasamy and Fukunaga, 2016)</w:t>
      </w:r>
      <w:r w:rsidR="005C0E76">
        <w:fldChar w:fldCharType="end"/>
      </w:r>
      <w:r>
        <w:t>.</w:t>
      </w:r>
    </w:p>
    <w:p w:rsidR="00871DEC" w:rsidRPr="00D6722B" w:rsidRDefault="0014686D" w:rsidP="000441D9">
      <w:pPr>
        <w:spacing w:line="360" w:lineRule="auto"/>
        <w:ind w:firstLine="284"/>
      </w:pPr>
      <w:r w:rsidRPr="00D6722B">
        <w:t>Following processing of the long dsRNA precursor to a short RNA (sRNA), t</w:t>
      </w:r>
      <w:r w:rsidR="00E46AF1" w:rsidRPr="00D6722B">
        <w:t xml:space="preserve">he remainder of the RNAi mechanism is </w:t>
      </w:r>
      <w:r w:rsidRPr="00D6722B">
        <w:t>similar</w:t>
      </w:r>
      <w:r w:rsidR="00E46AF1" w:rsidRPr="00D6722B">
        <w:t xml:space="preserve">, regardless of whether the </w:t>
      </w:r>
      <w:r w:rsidR="00754126" w:rsidRPr="00D6722B">
        <w:t xml:space="preserve">RNAi </w:t>
      </w:r>
      <w:r w:rsidR="00E46AF1" w:rsidRPr="00D6722B">
        <w:t xml:space="preserve">machinery is </w:t>
      </w:r>
      <w:r w:rsidR="00754126" w:rsidRPr="00D6722B">
        <w:t>presented</w:t>
      </w:r>
      <w:r w:rsidR="00E46AF1" w:rsidRPr="00D6722B">
        <w:t xml:space="preserve"> with an miRNA or siRNA</w:t>
      </w:r>
      <w:r w:rsidR="00BD78E9" w:rsidRPr="00D6722B">
        <w:t xml:space="preserve"> (collectively “short RNA” or sRNA)</w:t>
      </w:r>
      <w:r w:rsidR="00E46AF1" w:rsidRPr="00D6722B">
        <w:t xml:space="preserve">, </w:t>
      </w:r>
      <w:r w:rsidRPr="00D6722B">
        <w:t xml:space="preserve">though </w:t>
      </w:r>
      <w:r w:rsidR="00E46AF1" w:rsidRPr="00D6722B">
        <w:t xml:space="preserve">with a few differences. Firstly, miRNAs can induce silencing by either perfect or imperfect pairing with their target mRNAs resulting in blocking of translation as well as target mRNA degradation, whereas siRNAs usually achieve silencing through perfect pairing, though off-target effects due to imperfect pairing can occur </w:t>
      </w:r>
      <w:r w:rsidR="005C0E76" w:rsidRPr="00D6722B">
        <w:fldChar w:fldCharType="begin" w:fldLock="1"/>
      </w:r>
      <w:r w:rsidR="005774EA" w:rsidRPr="00D6722B">
        <w:instrText>ADDIN CSL_CITATION {"citationItems":[{"id":"ITEM-1","itemData":{"DOI":"10.1038/mtna.2013.36","ISBN":"2162-2531 (Electronic)","ISSN":"21622531","PMID":"23820891","abstract":"Optimization of small interfering RNAs (siRNAs) is important in RNA interference (RNAi)-based therapeutic development. Some specific chemical modifications can control which siRNA strand is selected by the RNA-induced silencing complex (RISC) for gene silencing. Intended strand selection will increase potency and reduce off-target effects from the unintended strand. Sometimes, blocking RISC loading of the unintended strand leads to improved intended strand-silencing potency, but the generality of this phenomenon is unclear. Specifically, unlocked nucleic acid (UNA) modification of the 5' end of canonical (i.e., 19+2) siRNAs abrogates gene silencing of the modified strand, but the fate and potency of the unmodified strand has not been investigated. Here, we show that 5' UNA-modified siRNAs show improved silencing potency of the unmodified strand. We harness this advantageous property in a therapeutic context, where a limited target region in a conserved HIV 5' long terminal repeat U5 region would otherwise yield siRNAs with undesired strand selection properties and poor silencing. Applying 5' UNA modification to the unintended sense (S) strand of these otherwise poorly targeted siRNAs dramatically improves on-target silencing by the intended antisense (AS) strand in pNL4-3.luciferase studies. This study highlights the utility of 5' UNA siRNA modification in therapeutic contexts where siRNA sequence selection is constrained.Molecular Therapy-Nucleic Acids (2013) 2, e103; doi:10.1038/mtna.2013.36; published online 2 July 2013.","author":[{"dropping-particle":"","family":"Snead","given":"Nicholas M.","non-dropping-particle":"","parse-names":false,"suffix":""},{"dropping-particle":"","family":"Escamilla-Powers","given":"Julie R.","non-dropping-particle":"","parse-names":false,"suffix":""},{"dropping-particle":"","family":"Rossi","given":"John J.","non-dropping-particle":"","parse-names":false,"suffix":""},{"dropping-particle":"","family":"McCaffrey","given":"Anton P.","non-dropping-particle":"","parse-names":false,"suffix":""}],"container-title":"Molecular Therapy - Nucleic Acids","id":"ITEM-1","issue":"May","issued":{"date-parts":[["2013"]]},"title":"5′ unlocked nucleic acid modification improves siRNA targeting","type":"article-journal","volume":"2"},"uris":["http://www.mendeley.com/documents/?uuid=e7a9a076-1055-41e9-88ab-a70345d589be"]}],"mendeley":{"formattedCitation":"(Nicholas M. Snead &lt;i&gt;et al.&lt;/i&gt;, 2013)","manualFormatting":"(Snead et al., 2013)","plainTextFormattedCitation":"(Nicholas M. Snead et al., 2013)","previouslyFormattedCitation":"(Nicholas M. Snead &lt;i&gt;et al.&lt;/i&gt;, 2013)"},"properties":{"noteIndex":0},"schema":"https://github.com/citation-style-language/schema/raw/master/csl-citation.json"}</w:instrText>
      </w:r>
      <w:r w:rsidR="005C0E76" w:rsidRPr="00D6722B">
        <w:fldChar w:fldCharType="separate"/>
      </w:r>
      <w:r w:rsidR="008612BD" w:rsidRPr="00D6722B">
        <w:rPr>
          <w:noProof/>
        </w:rPr>
        <w:t xml:space="preserve">(Snead </w:t>
      </w:r>
      <w:r w:rsidR="008612BD" w:rsidRPr="00D6722B">
        <w:rPr>
          <w:i/>
          <w:noProof/>
        </w:rPr>
        <w:t>et al.</w:t>
      </w:r>
      <w:r w:rsidR="008612BD" w:rsidRPr="00D6722B">
        <w:rPr>
          <w:noProof/>
        </w:rPr>
        <w:t>, 2013)</w:t>
      </w:r>
      <w:r w:rsidR="005C0E76" w:rsidRPr="00D6722B">
        <w:fldChar w:fldCharType="end"/>
      </w:r>
      <w:r w:rsidR="00E46AF1" w:rsidRPr="00D6722B">
        <w:t xml:space="preserve">. The final proteins to join the complex are also slightly different depending on whether the miRNA or siRNA pathway is being considered. </w:t>
      </w:r>
    </w:p>
    <w:p w:rsidR="003A2091" w:rsidRPr="00D6722B" w:rsidRDefault="00E46AF1" w:rsidP="000441D9">
      <w:pPr>
        <w:spacing w:line="360" w:lineRule="auto"/>
        <w:ind w:firstLine="284"/>
      </w:pPr>
      <w:r w:rsidRPr="00D6722B">
        <w:t xml:space="preserve">The next step involves the complexation of the </w:t>
      </w:r>
      <w:r w:rsidR="00612476" w:rsidRPr="00D6722B">
        <w:t>sRNA or s</w:t>
      </w:r>
      <w:r w:rsidRPr="00D6722B">
        <w:t>RNA-Dicer-accessory protein construct with a</w:t>
      </w:r>
      <w:r w:rsidR="0014686D" w:rsidRPr="00D6722B">
        <w:t xml:space="preserve"> protein from the Argonaute family of proteins</w:t>
      </w:r>
      <w:r w:rsidRPr="00D6722B">
        <w:t xml:space="preserve"> </w:t>
      </w:r>
      <w:r w:rsidR="00612476" w:rsidRPr="00D6722B">
        <w:t>(</w:t>
      </w:r>
      <w:r w:rsidRPr="00D6722B">
        <w:t>Ago</w:t>
      </w:r>
      <w:r w:rsidR="00612476" w:rsidRPr="00D6722B">
        <w:t>-</w:t>
      </w:r>
      <w:r w:rsidRPr="00D6722B">
        <w:t>1/Ago</w:t>
      </w:r>
      <w:r w:rsidR="00612476" w:rsidRPr="00D6722B">
        <w:t>-</w:t>
      </w:r>
      <w:r w:rsidRPr="00D6722B">
        <w:t>2</w:t>
      </w:r>
      <w:r w:rsidR="00612476" w:rsidRPr="00D6722B">
        <w:t xml:space="preserve">) </w:t>
      </w:r>
      <w:r w:rsidR="005C0E76" w:rsidRPr="00D6722B">
        <w:fldChar w:fldCharType="begin" w:fldLock="1"/>
      </w:r>
      <w:r w:rsidRPr="00D6722B">
        <w:instrText>ADDIN CSL_CITATION {"citationItems":[{"id":"ITEM-1","itemData":{"DOI":"10.1016/j.febslet.2005.08.079","ISSN":"00145793","author":[{"dropping-particle":"","family":"Hammond","given":"Scott M.","non-dropping-particle":"","parse-names":false,"suffix":""}],"container-title":"FEBS Letters","id":"ITEM-1","issue":"26","issued":{"date-parts":[["2005","10","31"]]},"page":"5822-5829","publisher":"John Wiley &amp; Sons, Ltd","title":"Dicing and slicing","type":"article-journal","volume":"579"},"uris":["http://www.mendeley.com/documents/?uuid=0b882f76-dc49-3636-a88c-daef61c15988"]}],"mendeley":{"formattedCitation":"(Hammond, 2005)","plainTextFormattedCitation":"(Hammond, 2005)","previouslyFormattedCitation":"(Hammond, 2005)"},"properties":{"noteIndex":0},"schema":"https://github.com/citation-style-language/schema/raw/master/csl-citation.json"}</w:instrText>
      </w:r>
      <w:r w:rsidR="005C0E76" w:rsidRPr="00D6722B">
        <w:fldChar w:fldCharType="separate"/>
      </w:r>
      <w:r w:rsidRPr="00D6722B">
        <w:rPr>
          <w:noProof/>
        </w:rPr>
        <w:t>(Hammond, 2005)</w:t>
      </w:r>
      <w:r w:rsidR="005C0E76" w:rsidRPr="00D6722B">
        <w:fldChar w:fldCharType="end"/>
      </w:r>
      <w:r w:rsidRPr="00D6722B">
        <w:t xml:space="preserve"> and its accessory proteins to form the pre-RISC</w:t>
      </w:r>
      <w:r w:rsidR="00612476" w:rsidRPr="00D6722B">
        <w:t xml:space="preserve">, in a mechanism which may or may not involve Dicer depending on the species </w:t>
      </w:r>
      <w:r w:rsidR="005C0E76" w:rsidRPr="00D6722B">
        <w:fldChar w:fldCharType="begin" w:fldLock="1"/>
      </w:r>
      <w:r w:rsidR="00612476" w:rsidRPr="00D6722B">
        <w:instrText>ADDIN CSL_CITATION {"citationItems":[{"id":"ITEM-1","itemData":{"DOI":"10.1261/rna.029785.111","ISSN":"1469-9001","PMID":"22106413","abstract":"In flies, asymmetric loading of small RNA duplexes into Argonaute2-containing RNA-induced silencing complex (Ago2-RISC) requires Dicer-2/R2D2 heterodimer, which acts as a protein sensor for the thermodynamic stabilities of the ends of small RNA duplexes. However, the mechanism of small RNA asymmetry sensing in mammalian RISC assembly remains obscure. Here, we quantitatively examined RISC assembly and target silencing activity in the presence or absence of Dicer in mammals. Our data show that, unlike the well-characterized fly Ago2-RISC assembly pathway, mammalian Dicer is dispensable for asymmetric RISC loading in vivo and in vitro.","author":[{"dropping-particle":"","family":"Betancur","given":"Juan G","non-dropping-particle":"","parse-names":false,"suffix":""},{"dropping-particle":"","family":"Tomari","given":"Yukihide","non-dropping-particle":"","parse-names":false,"suffix":""}],"container-title":"RNA (New York, N.Y.)","id":"ITEM-1","issue":"1","issued":{"date-parts":[["2012","1"]]},"page":"24-30","publisher":"Cold Spring Harbor Laboratory Press","title":"Dicer is dispensable for asymmetric RISC loading in mammals.","type":"article-journal","volume":"18"},"uris":["http://www.mendeley.com/documents/?uuid=c1f1a51d-3f23-35cf-bcd0-f654b86ab855"]}],"mendeley":{"formattedCitation":"(Betancur and Tomari, 2012)","plainTextFormattedCitation":"(Betancur and Tomari, 2012)","previouslyFormattedCitation":"(Betancur and Tomari, 2012)"},"properties":{"noteIndex":0},"schema":"https://github.com/citation-style-language/schema/raw/master/csl-citation.json"}</w:instrText>
      </w:r>
      <w:r w:rsidR="005C0E76" w:rsidRPr="00D6722B">
        <w:fldChar w:fldCharType="separate"/>
      </w:r>
      <w:r w:rsidR="00612476" w:rsidRPr="00D6722B">
        <w:rPr>
          <w:noProof/>
        </w:rPr>
        <w:t>(Betancur and Tomari, 2012)</w:t>
      </w:r>
      <w:r w:rsidR="005C0E76" w:rsidRPr="00D6722B">
        <w:fldChar w:fldCharType="end"/>
      </w:r>
      <w:r w:rsidRPr="00D6722B">
        <w:t xml:space="preserve">. </w:t>
      </w:r>
      <w:r w:rsidR="00E42CDC">
        <w:t xml:space="preserve">In insects, </w:t>
      </w:r>
      <w:r w:rsidRPr="00D6722B">
        <w:t>Ago</w:t>
      </w:r>
      <w:r w:rsidR="00612476" w:rsidRPr="00D6722B">
        <w:t>-</w:t>
      </w:r>
      <w:r w:rsidRPr="00D6722B">
        <w:t>1 acts on the miRNA pathway, whereas Ago</w:t>
      </w:r>
      <w:r w:rsidR="004D4132" w:rsidRPr="00D6722B">
        <w:t>-</w:t>
      </w:r>
      <w:r w:rsidRPr="00D6722B">
        <w:t>2 acts on the siRNA pathway</w:t>
      </w:r>
      <w:r w:rsidR="004D4132" w:rsidRPr="00D6722B">
        <w:t>. Both Ago-1 and Ago-2 in insects</w:t>
      </w:r>
      <w:r w:rsidR="00612476" w:rsidRPr="00D6722B">
        <w:t xml:space="preserve"> ha</w:t>
      </w:r>
      <w:r w:rsidR="004D4132" w:rsidRPr="00D6722B">
        <w:t>ve</w:t>
      </w:r>
      <w:r w:rsidR="00612476" w:rsidRPr="00D6722B">
        <w:t xml:space="preserve"> additional RNase H activity and </w:t>
      </w:r>
      <w:r w:rsidR="004D4132" w:rsidRPr="00D6722B">
        <w:t>are</w:t>
      </w:r>
      <w:r w:rsidR="00612476" w:rsidRPr="00D6722B">
        <w:t xml:space="preserve"> termed ‘Slicer’</w:t>
      </w:r>
      <w:r w:rsidR="00775C7E" w:rsidRPr="00D6722B">
        <w:t xml:space="preserve"> </w:t>
      </w:r>
      <w:r w:rsidR="005C0E76" w:rsidRPr="00D6722B">
        <w:fldChar w:fldCharType="begin" w:fldLock="1"/>
      </w:r>
      <w:r w:rsidR="003A2091" w:rsidRPr="00D6722B">
        <w:instrText>ADDIN CSL_CITATION {"citationItems":[{"id":"ITEM-1","itemData":{"DOI":"10.1126/science.1102513","ISSN":"0036-8075","PMID":"15284456","abstract":"Gene silencing through RNA interference (RNAi) is carried out by RISC, the RNA-induced silencing complex. RISC contains two signature components, small interfering RNAs (siRNAs) and Argonaute family proteins. Here, we show that the multiple Argonaute proteins present in mammals are both biologically and biochemically distinct, with a single mammalian family member, Argonaute2, being responsible for messenger RNA cleavage activity. This protein is essential for mouse development, and cells lacking Argonaute2 are unable to mount an experimental response to siRNAs. Mutations within a cryptic ribonuclease H domain within Argonaute2, as identified by comparison with the structure of an archeal Argonaute protein, inactivate RISC. Thus, our evidence supports a model in which Argonaute contributes \"Slicer\" activity to RISC, providing the catalytic engine for RNAi.","author":[{"dropping-particle":"","family":"Liu","given":"J.","non-dropping-particle":"","parse-names":false,"suffix":""},{"dropping-particle":"","family":"Carmell","given":"Michelle A","non-dropping-particle":"","parse-names":false,"suffix":""},{"dropping-particle":"V","family":"Rivas","given":"Fabiola","non-dropping-particle":"","parse-names":false,"suffix":""},{"dropping-particle":"","family":"Marsden","given":"Carolyn G","non-dropping-particle":"","parse-names":false,"suffix":""},{"dropping-particle":"","family":"Thomson","given":"J Michael","non-dropping-particle":"","parse-names":false,"suffix":""},{"dropping-particle":"","family":"Song","given":"Ji-Joon","non-dropping-particle":"","parse-names":false,"suffix":""},{"dropping-particle":"","family":"Hammond","given":"Scott M","non-dropping-particle":"","parse-names":false,"suffix":""},{"dropping-particle":"","family":"Joshua-Tor","given":"Leemor","non-dropping-particle":"","parse-names":false,"suffix":""},{"dropping-particle":"","family":"Hannon","given":"Gregory J","non-dropping-particle":"","parse-names":false,"suffix":""}],"container-title":"Science","id":"ITEM-1","issue":"5689","issued":{"date-parts":[["2004","9","3"]]},"page":"1437-1441","title":"Argonaute2 Is the Catalytic Engine of Mammalian RNAi","type":"article-journal","volume":"305"},"uris":["http://www.mendeley.com/documents/?uuid=8e853448-b77e-3a05-89c4-1a7e02b659d7"]},{"id":"ITEM-2","itemData":{"DOI":"10.1126/science.1102514","ISSN":"0036-8075","PMID":"15284453","abstract":"Argonaute proteins and small interfering RNAs (siRNAs) are the known signature components of the RNA interference effector complex RNA-induced silencing complex (RISC). However, the identity of \"Slicer,\" the enzyme that cleaves the messenger RNA (mRNA) as directed by the siRNA, has not been resolved. Here, we report the crystal structure of the Argonaute protein from Pyrococcus furiosus at 2.25 angstrom resolution. The structure reveals a crescent-shaped base made up of the amino-terminal, middle, and PIWI domains. The Piwi Argonaute Zwille (PAZ) domain is held above the base by a \"stalk\"-like region. The PIWI domain (named for the protein piwi) is similar to ribonuclease H, with a conserved active site aspartate-aspartate-glutamate motif, strongly implicating Argonaute as \"Slicer.\" The architecture of the molecule and the placement of the PAZ and PIWI domains define a groove for substrate binding and suggest a mechanism for siRNA-guided mRNA cleavage.","author":[{"dropping-particle":"","family":"Song","given":"J.-J.","non-dropping-particle":"","parse-names":false,"suffix":""},{"dropping-particle":"","family":"Smith","given":"Stephanie K","non-dropping-particle":"","parse-names":false,"suffix":""},{"dropping-particle":"","family":"Hannon","given":"Gregory J","non-dropping-particle":"","parse-names":false,"suffix":""},{"dropping-particle":"","family":"Joshua-Tor","given":"Leemor","non-dropping-particle":"","parse-names":false,"suffix":""}],"container-title":"Science","id":"ITEM-2","issue":"5689","issued":{"date-parts":[["2004","9","3"]]},"page":"1434-1437","title":"Crystal Structure of Argonaute and Its Implications for RISC Slicer Activity","type":"article-journal","volume":"305"},"uris":["http://www.mendeley.com/documents/?uuid=5436e9bd-e6fe-3d00-b202-b51f0d732018"]}],"mendeley":{"formattedCitation":"(Liu &lt;i&gt;et al.&lt;/i&gt;, 2004; Song &lt;i&gt;et al.&lt;/i&gt;, 2004)","plainTextFormattedCitation":"(Liu et al., 2004; Song et al., 2004)","previouslyFormattedCitation":"(Liu &lt;i&gt;et al.&lt;/i&gt;, 2004; Song &lt;i&gt;et al.&lt;/i&gt;, 2004)"},"properties":{"noteIndex":0},"schema":"https://github.com/citation-style-language/schema/raw/master/csl-citation.json"}</w:instrText>
      </w:r>
      <w:r w:rsidR="005C0E76" w:rsidRPr="00D6722B">
        <w:fldChar w:fldCharType="separate"/>
      </w:r>
      <w:r w:rsidR="00775C7E" w:rsidRPr="00D6722B">
        <w:rPr>
          <w:noProof/>
        </w:rPr>
        <w:t xml:space="preserve">(Liu </w:t>
      </w:r>
      <w:r w:rsidR="00775C7E" w:rsidRPr="00D6722B">
        <w:rPr>
          <w:i/>
          <w:noProof/>
        </w:rPr>
        <w:t>et al.</w:t>
      </w:r>
      <w:r w:rsidR="00775C7E" w:rsidRPr="00D6722B">
        <w:rPr>
          <w:noProof/>
        </w:rPr>
        <w:t xml:space="preserve">, 2004; Song </w:t>
      </w:r>
      <w:r w:rsidR="00775C7E" w:rsidRPr="00D6722B">
        <w:rPr>
          <w:i/>
          <w:noProof/>
        </w:rPr>
        <w:t>et al.</w:t>
      </w:r>
      <w:r w:rsidR="00775C7E" w:rsidRPr="00D6722B">
        <w:rPr>
          <w:noProof/>
        </w:rPr>
        <w:t>, 2004)</w:t>
      </w:r>
      <w:r w:rsidR="005C0E76" w:rsidRPr="00D6722B">
        <w:fldChar w:fldCharType="end"/>
      </w:r>
      <w:r w:rsidRPr="00D6722B">
        <w:t xml:space="preserve">. </w:t>
      </w:r>
      <w:r w:rsidR="00612476" w:rsidRPr="00D6722B">
        <w:t>The Argonaute protein</w:t>
      </w:r>
      <w:r w:rsidRPr="00D6722B">
        <w:t xml:space="preserve"> discards one of the siRNA/miRNA strands – the passenger strand – </w:t>
      </w:r>
      <w:r w:rsidR="00612476" w:rsidRPr="00D6722B">
        <w:t>and remains bound to</w:t>
      </w:r>
      <w:r w:rsidRPr="00D6722B">
        <w:t xml:space="preserve"> the guide strand. </w:t>
      </w:r>
      <w:r w:rsidR="00612476" w:rsidRPr="00D6722B">
        <w:t xml:space="preserve">Depending on the particular Argonaute protein involved and the species, a selection of further proteins may also be bound to the ssRNA-Argonaute ribonucleoprotein complex. This final ribonucleoprotein complex is known as the RNA-induced silencing complex or RISC </w:t>
      </w:r>
      <w:r w:rsidR="005C0E76" w:rsidRPr="00D6722B">
        <w:fldChar w:fldCharType="begin" w:fldLock="1"/>
      </w:r>
      <w:r w:rsidR="00775C7E" w:rsidRPr="00D6722B">
        <w:instrText>ADDIN CSL_CITATION {"citationItems":[{"id":"ITEM-1","itemData":{"DOI":"10.1073/pnas.1301620110","ISSN":"1091-6490","PMID":"23550157","abstract":"The cytoplasmic RNA-induced silencing complex (RISC) contains dsRNA binding proteins, including protein kinase RNA activator (PACT), transactivation response RNA binding protein (TRBP), and Dicer, that process pre-microRNAs into mature microRNAs (miRNAs) that target specific mRNA species for regulation. There is increasing evidence for important functional interactions between the miRNA and nuclear receptor (NR) signaling networks, with recent data showing that estrogen, acting through the estrogen receptor, can modulate initial aspects of nuclear miRNA processing. Here, we show that the cytoplasmic RISC proteins PACT, TRBP, and Dicer are steroid receptor RNA activator (SRA) binding NR coregulators that target steroid-responsive promoters and regulate NR activity and downstream gene expression. Furthermore, each of the RISC proteins, together with Argonaute 2, associates with SRA and specific pre-microRNAs in both the nucleus and cytoplasm, providing evidence for links between NR-mediated transcription and some of the factors involved in miRNA processing.","author":[{"dropping-particle":"","family":"Redfern","given":"Andrew D","non-dropping-particle":"","parse-names":false,"suffix":""},{"dropping-particle":"","family":"Colley","given":"Shane M","non-dropping-particle":"","parse-names":false,"suffix":""},{"dropping-particle":"","family":"Beveridge","given":"Dianne J","non-dropping-particle":"","parse-names":false,"suffix":""},{"dropping-particle":"","family":"Ikeda","given":"Naoya","non-dropping-particle":"","parse-names":false,"suffix":""},{"dropping-particle":"","family":"Epis","given":"Michael R","non-dropping-particle":"","parse-names":false,"suffix":""},{"dropping-particle":"","family":"Li","given":"Xia","non-dropping-particle":"","parse-names":false,"suffix":""},{"dropping-particle":"","family":"Foulds","given":"Charles E","non-dropping-particle":"","parse-names":false,"suffix":""},{"dropping-particle":"","family":"Stuart","given":"Lisa M","non-dropping-particle":"","parse-names":false,"suffix":""},{"dropping-particle":"","family":"Barker","given":"Andrew","non-dropping-particle":"","parse-names":false,"suffix":""},{"dropping-particle":"","family":"Russell","given":"Victoria J","non-dropping-particle":"","parse-names":false,"suffix":""},{"dropping-particle":"","family":"Ramsay","given":"Kerry","non-dropping-particle":"","parse-names":false,"suffix":""},{"dropping-particle":"","family":"Kobelke","given":"Simon J","non-dropping-particle":"","parse-names":false,"suffix":""},{"dropping-particle":"","family":"Li","given":"Xiaotao","non-dropping-particle":"","parse-names":false,"suffix":""},{"dropping-particle":"","family":"Hatchell","given":"Esme C","non-dropping-particle":"","parse-names":false,"suffix":""},{"dropping-particle":"","family":"Payne","given":"Christine","non-dropping-particle":"","parse-names":false,"suffix":""},{"dropping-particle":"","family":"Giles","given":"Keith M","non-dropping-particle":"","parse-names":false,"suffix":""},{"dropping-particle":"","family":"Messineo","given":"Adriana","non-dropping-particle":"","parse-names":false,"suffix":""},{"dropping-particle":"","family":"Gatignol","given":"Anne","non-dropping-particle":"","parse-names":false,"suffix":""},{"dropping-particle":"","family":"Lanz","given":"Rainer B","non-dropping-particle":"","parse-names":false,"suffix":""},{"dropping-particle":"","family":"O'Malley","given":"Bert W","non-dropping-particle":"","parse-names":false,"suffix":""},{"dropping-particle":"","family":"Leedman","given":"Peter J","non-dropping-particle":"","parse-names":false,"suffix":""}],"container-title":"Proceedings of the National Academy of Sciences of the United States of America","id":"ITEM-1","issue":"16","issued":{"date-parts":[["2013","4","16"]]},"page":"6536-41","publisher":"National Academy of Sciences","title":"RNA-induced silencing complex (RISC) Proteins PACT, TRBP, and Dicer are SRA binding nuclear receptor coregulators.","type":"article-journal","volume":"110"},"uris":["http://www.mendeley.com/documents/?uuid=4e55177c-a7d8-3e20-a32a-4f024e327711"]}],"mendeley":{"formattedCitation":"(Redfern &lt;i&gt;et al.&lt;/i&gt;, 2013)","plainTextFormattedCitation":"(Redfern et al., 2013)","previouslyFormattedCitation":"(Redfern &lt;i&gt;et al.&lt;/i&gt;, 2013)"},"properties":{"noteIndex":0},"schema":"https://github.com/citation-style-language/schema/raw/master/csl-citation.json"}</w:instrText>
      </w:r>
      <w:r w:rsidR="005C0E76" w:rsidRPr="00D6722B">
        <w:fldChar w:fldCharType="separate"/>
      </w:r>
      <w:r w:rsidR="00775C7E" w:rsidRPr="00D6722B">
        <w:rPr>
          <w:noProof/>
        </w:rPr>
        <w:t xml:space="preserve">(Redfern </w:t>
      </w:r>
      <w:r w:rsidR="00775C7E" w:rsidRPr="00D6722B">
        <w:rPr>
          <w:i/>
          <w:noProof/>
        </w:rPr>
        <w:t>et al.</w:t>
      </w:r>
      <w:r w:rsidR="00775C7E" w:rsidRPr="00D6722B">
        <w:rPr>
          <w:noProof/>
        </w:rPr>
        <w:t>, 2013)</w:t>
      </w:r>
      <w:r w:rsidR="005C0E76" w:rsidRPr="00D6722B">
        <w:fldChar w:fldCharType="end"/>
      </w:r>
      <w:r w:rsidR="00612476" w:rsidRPr="00D6722B">
        <w:t>. Individual RISC complexes may be sub-classified as si-RISCs or mi-RISCs depending on whether the initial Dicer product incorporated was an siRNA or miRNA respectively. The RISC then uses the ssRNA as a guide to bind partially complementary (miRNAs) or fully complementary (siRNAs) mRNAs</w:t>
      </w:r>
      <w:r w:rsidR="003A2091" w:rsidRPr="00D6722B">
        <w:t xml:space="preserve"> by Watson-Crick base pairing to prevent translation. This may be simply by translational repression of the target mRNA caused by the RISC physically inhibiting movement of the Ribosome along the </w:t>
      </w:r>
      <w:r w:rsidR="003A2091" w:rsidRPr="00D6722B">
        <w:lastRenderedPageBreak/>
        <w:t xml:space="preserve">mRNA, and translocation of the complex to a P-body for degradation </w:t>
      </w:r>
      <w:r w:rsidR="005C0E76" w:rsidRPr="00D6722B">
        <w:fldChar w:fldCharType="begin" w:fldLock="1"/>
      </w:r>
      <w:r w:rsidR="003A2091" w:rsidRPr="00D6722B">
        <w:instrText>ADDIN CSL_CITATION {"citationItems":[{"id":"ITEM-1","itemData":{"DOI":"10.1128/MCB.00128-07","ISSN":"0270-7306","PMID":"17403906","abstract":"P bodies are cytoplasmic domains that contain proteins involved in diverse posttranscriptional processes, such as mRNA degradation, nonsense-mediated mRNA decay (NMD), translational repression, and RNA-mediated gene silencing. The localization of these proteins and their targets in P bodies raises the question of whether their spatial concentration in discrete cytoplasmic domains is required for posttranscriptional gene regulation. We show that processes such as mRNA decay, NMD, and RNA-mediated gene silencing are functional in cells lacking detectable microscopic P bodies. Although P bodies are not required for silencing, blocking small interfering RNA or microRNA silencing pathways at any step prevents P-body formation, indicating that P bodies arise as a consequence of silencing. Consistently, we show that releasing mRNAs from polysomes is insufficient to trigger P-body assembly: polysome-free mRNAs must enter silencing and/or decapping pathways to nucleate P bodies. Thus, even though P-body components play crucial roles in mRNA silencing and decay, aggregation into P bodies is not required for function but is instead a consequence of their activity.","author":[{"dropping-particle":"","family":"Eulalio","given":"Ana","non-dropping-particle":"","parse-names":false,"suffix":""},{"dropping-particle":"","family":"Behm-Ansmant","given":"Isabelle","non-dropping-particle":"","parse-names":false,"suffix":""},{"dropping-particle":"","family":"Schweizer","given":"Daniel","non-dropping-particle":"","parse-names":false,"suffix":""},{"dropping-particle":"","family":"Izaurralde","given":"Elisa","non-dropping-particle":"","parse-names":false,"suffix":""}],"container-title":"Molecular and cellular biology","id":"ITEM-1","issue":"11","issued":{"date-parts":[["2007","6","1"]]},"page":"3970-81","publisher":"American Society for Microbiology Journals","title":"P-body formation is a consequence, not the cause, of RNA-mediated gene silencing.","type":"article-journal","volume":"27"},"uris":["http://www.mendeley.com/documents/?uuid=cff68ee7-fb37-37cd-a661-973522298530"]}],"mendeley":{"formattedCitation":"(Eulalio &lt;i&gt;et al.&lt;/i&gt;, 2007)","plainTextFormattedCitation":"(Eulalio et al., 2007)","previouslyFormattedCitation":"(Eulalio &lt;i&gt;et al.&lt;/i&gt;, 2007)"},"properties":{"noteIndex":0},"schema":"https://github.com/citation-style-language/schema/raw/master/csl-citation.json"}</w:instrText>
      </w:r>
      <w:r w:rsidR="005C0E76" w:rsidRPr="00D6722B">
        <w:fldChar w:fldCharType="separate"/>
      </w:r>
      <w:r w:rsidR="003A2091" w:rsidRPr="00D6722B">
        <w:rPr>
          <w:noProof/>
        </w:rPr>
        <w:t xml:space="preserve">(Eulalio </w:t>
      </w:r>
      <w:r w:rsidR="003A2091" w:rsidRPr="00D6722B">
        <w:rPr>
          <w:i/>
          <w:noProof/>
        </w:rPr>
        <w:t>et al.</w:t>
      </w:r>
      <w:r w:rsidR="003A2091" w:rsidRPr="00D6722B">
        <w:rPr>
          <w:noProof/>
        </w:rPr>
        <w:t>, 2007)</w:t>
      </w:r>
      <w:r w:rsidR="005C0E76" w:rsidRPr="00D6722B">
        <w:fldChar w:fldCharType="end"/>
      </w:r>
      <w:r w:rsidR="003A2091" w:rsidRPr="00D6722B">
        <w:t>, or by active cleavage of the mRNA by Slicer</w:t>
      </w:r>
      <w:r w:rsidR="004D4132" w:rsidRPr="00D6722B">
        <w:t xml:space="preserve"> activity</w:t>
      </w:r>
      <w:r w:rsidR="003A2091" w:rsidRPr="00D6722B">
        <w:t xml:space="preserve"> </w:t>
      </w:r>
      <w:r w:rsidR="005C0E76" w:rsidRPr="00D6722B">
        <w:fldChar w:fldCharType="begin" w:fldLock="1"/>
      </w:r>
      <w:r w:rsidR="003A2091" w:rsidRPr="00D6722B">
        <w:instrText>ADDIN CSL_CITATION {"citationItems":[{"id":"ITEM-1","itemData":{"DOI":"10.1016/j.febslet.2005.08.079","ISSN":"00145793","author":[{"dropping-particle":"","family":"Hammond","given":"Scott M.","non-dropping-particle":"","parse-names":false,"suffix":""}],"container-title":"FEBS Letters","id":"ITEM-1","issue":"26","issued":{"date-parts":[["2005","10","31"]]},"page":"5822-5829","publisher":"John Wiley &amp; Sons, Ltd","title":"Dicing and slicing","type":"article-journal","volume":"579"},"uris":["http://www.mendeley.com/documents/?uuid=0b882f76-dc49-3636-a88c-daef61c15988"]},{"id":"ITEM-2","itemData":{"DOI":"10.1038/nsmb918","ISSN":"1545-9993","PMID":"15800637","abstract":"Genetic, biochemical and structural studies have implicated Argonaute proteins as the catalytic core of the RNAi effector complex, RISC. Here we show that recombinant, human Argonaute2 can combine with a small interfering RNA (siRNA) to form minimal RISC that accurately cleaves substrate RNAs. Recombinant RISC shows many of the properties of RISC purified from human or Drosophila melanogaster cells but also has surprising features. It shows no stimulation by ATP, suggesting that factors promoting product release are missing from the recombinant enzyme. The active site is made up of a unique Asp-Asp-His (DDH) motif. In the RISC reconstitution system, the siRNA 5' phosphate is important for the stability and the fidelity of the complex but is not essential for the creation of an active enzyme. These studies demonstrate that Argonaute proteins catalyze mRNA cleavage within RISC and provide a source of recombinant enzyme for detailed biochemical studies of the RNAi effector complex.","author":[{"dropping-particle":"V","family":"Rivas","given":"Fabiola","non-dropping-particle":"","parse-names":false,"suffix":""},{"dropping-particle":"","family":"Tolia","given":"Niraj H","non-dropping-particle":"","parse-names":false,"suffix":""},{"dropping-particle":"","family":"Song","given":"Ji-Joon","non-dropping-particle":"","parse-names":false,"suffix":""},{"dropping-particle":"","family":"Aragon","given":"Juan P","non-dropping-particle":"","parse-names":false,"suffix":""},{"dropping-particle":"","family":"Liu","given":"Jidong","non-dropping-particle":"","parse-names":false,"suffix":""},{"dropping-particle":"","family":"Hannon","given":"Gregory J","non-dropping-particle":"","parse-names":false,"suffix":""},{"dropping-particle":"","family":"Joshua-Tor","given":"Leemor","non-dropping-particle":"","parse-names":false,"suffix":""}],"container-title":"Nature Structural &amp; Molecular Biology","id":"ITEM-2","issue":"4","issued":{"date-parts":[["2005","4","30"]]},"page":"340-349","title":"Purified Argonaute2 and an siRNA form recombinant human RISC","type":"article-journal","volume":"12"},"uris":["http://www.mendeley.com/documents/?uuid=d09c8f21-61d2-3eaa-aa81-1228a28ca01a"]}],"mendeley":{"formattedCitation":"(Hammond, 2005; Rivas &lt;i&gt;et al.&lt;/i&gt;, 2005)","plainTextFormattedCitation":"(Hammond, 2005; Rivas et al., 2005)","previouslyFormattedCitation":"(Hammond, 2005; Rivas &lt;i&gt;et al.&lt;/i&gt;, 2005)"},"properties":{"noteIndex":0},"schema":"https://github.com/citation-style-language/schema/raw/master/csl-citation.json"}</w:instrText>
      </w:r>
      <w:r w:rsidR="005C0E76" w:rsidRPr="00D6722B">
        <w:fldChar w:fldCharType="separate"/>
      </w:r>
      <w:r w:rsidR="003A2091" w:rsidRPr="00D6722B">
        <w:rPr>
          <w:noProof/>
        </w:rPr>
        <w:t xml:space="preserve">(Hammond, 2005; Rivas </w:t>
      </w:r>
      <w:r w:rsidR="003A2091" w:rsidRPr="00D6722B">
        <w:rPr>
          <w:i/>
          <w:noProof/>
        </w:rPr>
        <w:t>et al.</w:t>
      </w:r>
      <w:r w:rsidR="003A2091" w:rsidRPr="00D6722B">
        <w:rPr>
          <w:noProof/>
        </w:rPr>
        <w:t>, 2005)</w:t>
      </w:r>
      <w:r w:rsidR="005C0E76" w:rsidRPr="00D6722B">
        <w:fldChar w:fldCharType="end"/>
      </w:r>
      <w:r w:rsidR="004D4132" w:rsidRPr="00D6722B">
        <w:t>.</w:t>
      </w:r>
      <w:r w:rsidR="003A2091" w:rsidRPr="00D6722B">
        <w:t xml:space="preserve"> </w:t>
      </w:r>
      <w:r w:rsidR="004D4132" w:rsidRPr="00D6722B">
        <w:t>E</w:t>
      </w:r>
      <w:r w:rsidR="003A2091" w:rsidRPr="00D6722B">
        <w:t>ither route results in the blocking of translation of the target mRNA, preventing protein synthesis.</w:t>
      </w:r>
    </w:p>
    <w:p w:rsidR="00F235AB" w:rsidRDefault="00F235AB" w:rsidP="000441D9">
      <w:pPr>
        <w:spacing w:line="360" w:lineRule="auto"/>
        <w:ind w:firstLine="284"/>
      </w:pPr>
    </w:p>
    <w:p w:rsidR="00F235AB" w:rsidRDefault="00F235AB" w:rsidP="000441D9">
      <w:pPr>
        <w:spacing w:line="360" w:lineRule="auto"/>
        <w:ind w:firstLine="284"/>
      </w:pPr>
      <w:r>
        <w:t xml:space="preserve">Insects – using </w:t>
      </w:r>
      <w:r w:rsidRPr="006B321C">
        <w:rPr>
          <w:i/>
        </w:rPr>
        <w:t>Drosophila</w:t>
      </w:r>
      <w:r>
        <w:t xml:space="preserve"> as </w:t>
      </w:r>
      <w:r w:rsidRPr="004D4132">
        <w:t>an example</w:t>
      </w:r>
      <w:r>
        <w:t xml:space="preserve"> – have three canonical Argonautes (Ago), Ago-1, Ago-2 and Ago-3 which are specialised to use miRNAs, siRNAs and piRNAs as their guides respectively </w:t>
      </w:r>
      <w:r w:rsidR="005C0E76">
        <w:fldChar w:fldCharType="begin" w:fldLock="1"/>
      </w:r>
      <w:r w:rsidR="001B6B51">
        <w:instrText>ADDIN CSL_CITATION {"citationItems":[{"id":"ITEM-1","itemData":{"DOI":"10.1186/gb-2008-9-2-210","ISSN":"1474-760X","PMID":"18304383","abstract":"Argonaute proteins were first discovered genetically, and extensive research in the past few years has revealed that members of the Argonaute protein family are key players in gene-silencing pathways guided by small RNAs. Small RNAs such as short interfering RNAs (siRNAs), microRNAs (miRNAs) or Piwi-interacting RNAs (piRNAs) are anchored into specific binding pockets and guide Argonaute proteins to target mRNA molecules for silencing or destruction. Various classes of small RNAs and Argonaute proteins are found in all higher eukaryotes and have important functions in processes as diverse as embryonic development, cell differentiation and transposon silencing. Argonaute proteins are evolutionarily conserved and can be phylogenetically subdivided into the Ago subfamily and the Piwi subfamily. Ago proteins are ubiquitously expressed and bind to siRNAs or miRNAs to guide post-transcriptional gene silencing either by destabilization of the mRNA or by translational repression. The expression of Piwi proteins is mostly restricted to the germ line and Piwi proteins associate with piRNAs to facilitate silencing of mobile genetic elements. Although various aspects of Argonaute function have been identified, many Argonaute proteins are still poorly characterized. Therefore, it is very likely that as yet unknown functions of the Argonaute protein family will be elucidated in the future.","author":[{"dropping-particle":"","family":"Höck","given":"Julia","non-dropping-particle":"","parse-names":false,"suffix":""},{"dropping-particle":"","family":"Meister","given":"Gunter","non-dropping-particle":"","parse-names":false,"suffix":""}],"container-title":"Genome biology","id":"ITEM-1","issue":"2","issued":{"date-parts":[["2008"]]},"page":"210","publisher":"BioMed Central","title":"The Argonaute protein family.","type":"article-journal","volume":"9"},"uris":["http://www.mendeley.com/documents/?uuid=bd7928d2-830d-3e4d-bd80-9f8b2312207a"]},{"id":"ITEM-2","itemData":{"DOI":"10.1101/gad.1210204","ISSN":"0890-9369","PMID":"15231716","abstract":"In mammalian cells, both microRNAs (miRNAs) and small interfering RNAs (siRNAs) are thought to be loaded into the same RNA-induced silencing complex (RISC), where they guide mRNA degradation or translation silencing depending on the complementarity of the target. In Drosophila, Argonaute2 (AGO2) was identified as part of the RISC complex. Here we show that AGO2 is an essential component for siRNA-directed RNA interference (RNAi) response and is required for the unwinding of siRNA duplex and in consequence assembly of siRNA into RISC in Drosophila embryos. However, Drosophila embryos lacking AGO2, which are siRNA-directed RNAi-defective, are still capable of miRNA-directed target RNA cleavage. In contrast, Argonaute1 (AGO1), another Argonaute protein in fly, which is dispensable for siRNA-directed target RNA cleavage, is required for mature miRNA production that impacts on miRNA-directed RNA cleavage. The association of AGO1 with Dicer-1 and pre-miRNA also suggests that AGO1 is involved in miRNA biogenesis. Our findings show that distinct Argonaute proteins act at different steps of the small RNA silencing mechanism and suggest that there are inherent differences between siRNA-initiated RISCs and miRNA-initiated RISCs in Drosophila.","author":[{"dropping-particle":"","family":"Okamura","given":"K.","non-dropping-particle":"","parse-names":false,"suffix":""},{"dropping-particle":"","family":"Ishizuka","given":"Akira","non-dropping-particle":"","parse-names":false,"suffix":""},{"dropping-particle":"","family":"Siomi","given":"Haruhiko","non-dropping-particle":"","parse-names":false,"suffix":""},{"dropping-particle":"","family":"Siomi","given":"Mikiko C","non-dropping-particle":"","parse-names":false,"suffix":""}],"container-title":"Genes &amp; Development","id":"ITEM-2","issue":"14","issued":{"date-parts":[["2004","7","15"]]},"page":"1655-1666","title":"Distinct roles for Argonaute proteins in small RNA-directed RNA cleavage pathways","type":"article-journal","volume":"18"},"uris":["http://www.mendeley.com/documents/?uuid=b3411370-7dd1-3ae3-b1f3-41c202ce0970"]}],"mendeley":{"formattedCitation":"(Okamura &lt;i&gt;et al.&lt;/i&gt;, 2004; Höck and Meister, 2008)","plainTextFormattedCitation":"(Okamura et al., 2004; Höck and Meister, 2008)","previouslyFormattedCitation":"(Okamura &lt;i&gt;et al.&lt;/i&gt;, 2004; Höck and Meister, 2008)"},"properties":{"noteIndex":0},"schema":"https://github.com/citation-style-language/schema/raw/master/csl-citation.json"}</w:instrText>
      </w:r>
      <w:r w:rsidR="005C0E76">
        <w:fldChar w:fldCharType="separate"/>
      </w:r>
      <w:r w:rsidR="006B321C" w:rsidRPr="006B321C">
        <w:rPr>
          <w:noProof/>
        </w:rPr>
        <w:t xml:space="preserve">(Okamura </w:t>
      </w:r>
      <w:r w:rsidR="006B321C" w:rsidRPr="006B321C">
        <w:rPr>
          <w:i/>
          <w:noProof/>
        </w:rPr>
        <w:t>et al.</w:t>
      </w:r>
      <w:r w:rsidR="006B321C" w:rsidRPr="006B321C">
        <w:rPr>
          <w:noProof/>
        </w:rPr>
        <w:t>, 2004; Höck and Meister, 2008)</w:t>
      </w:r>
      <w:r w:rsidR="005C0E76">
        <w:fldChar w:fldCharType="end"/>
      </w:r>
      <w:r>
        <w:t>.</w:t>
      </w:r>
      <w:r w:rsidR="006B321C">
        <w:t xml:space="preserve"> There are also two further Argonaute family</w:t>
      </w:r>
      <w:r>
        <w:t xml:space="preserve"> </w:t>
      </w:r>
      <w:r w:rsidR="006B321C">
        <w:t xml:space="preserve">proteins in </w:t>
      </w:r>
      <w:r w:rsidR="006B321C" w:rsidRPr="006B321C">
        <w:rPr>
          <w:i/>
        </w:rPr>
        <w:t>Drosophila</w:t>
      </w:r>
      <w:r w:rsidR="006B321C">
        <w:t xml:space="preserve"> that do not bear the Argonaute name; these are Piwi and Aubergine. Ago-3, Piwi, and Aubergine are responsible for the silencing of mobile transposable genetic elements (transposons) in germ line cells, with Piwi and Aubergine largely binding piRNAs that are antisense to transposons, and Ago-3 binding piRNAs that are predominantly sense piRNAs </w:t>
      </w:r>
      <w:r w:rsidR="005C0E76">
        <w:fldChar w:fldCharType="begin" w:fldLock="1"/>
      </w:r>
      <w:r w:rsidR="006B321C">
        <w:instrText>ADDIN CSL_CITATION {"citationItems":[{"id":"ITEM-1","itemData":{"DOI":"10.1016/j.cell.2007.01.043","ISSN":"00928674","PMID":"17346786","abstract":"Drosophila Piwi-family proteins have been implicated in transposon control. Here, we examine piwi-interacting RNAs (piRNAs) associated with each Drosophila Piwi protein and find that Piwi and Aubergine bind RNAs that are predominantly antisense to transposons, whereas Ago3 complexes contain predominantly sense piRNAs. As in mammals, the majority of Drosophila piRNAs are derived from discrete genomic loci. These loci comprise mainly defective transposon sequences, and some have previously been identified as master regulators of transposon activity. Our data suggest that heterochromatic piRNA loci interact with potentially active, euchromatic transposons to form an adaptive system for transposon control. Complementary relationships between sense and antisense piRNA populations suggest an amplification loop wherein each piRNA-directed cleavage event generates the 5' end of a new piRNA. Thus, sense piRNAs, formed following cleavage of transposon mRNAs may enhance production of antisense piRNAs, complementary to active elements, by directing cleavage of transcripts from master control loci.","author":[{"dropping-particle":"","family":"Brennecke","given":"Julius","non-dropping-particle":"","parse-names":false,"suffix":""},{"dropping-particle":"","family":"Aravin","given":"Alexei A.","non-dropping-particle":"","parse-names":false,"suffix":""},{"dropping-particle":"","family":"Stark","given":"Alexander","non-dropping-particle":"","parse-names":false,"suffix":""},{"dropping-particle":"","family":"Dus","given":"Monica","non-dropping-particle":"","parse-names":false,"suffix":""},{"dropping-particle":"","family":"Kellis","given":"Manolis","non-dropping-particle":"","parse-names":false,"suffix":""},{"dropping-particle":"","family":"Sachidanandam","given":"Ravi","non-dropping-particle":"","parse-names":false,"suffix":""},{"dropping-particle":"","family":"Hannon","given":"Gregory J.","non-dropping-particle":"","parse-names":false,"suffix":""}],"container-title":"Cell","id":"ITEM-1","issue":"6","issued":{"date-parts":[["2007","3","23"]]},"page":"1089-1103","title":"Discrete Small RNA-Generating Loci as Master Regulators of Transposon Activity in Drosophila","type":"article-journal","volume":"128"},"uris":["http://www.mendeley.com/documents/?uuid=c20c6f5b-5f18-316d-8802-241b7c0252ef"]}],"mendeley":{"formattedCitation":"(Brennecke &lt;i&gt;et al.&lt;/i&gt;, 2007)","plainTextFormattedCitation":"(Brennecke et al., 2007)","previouslyFormattedCitation":"(Brennecke &lt;i&gt;et al.&lt;/i&gt;, 2007)"},"properties":{"noteIndex":0},"schema":"https://github.com/citation-style-language/schema/raw/master/csl-citation.json"}</w:instrText>
      </w:r>
      <w:r w:rsidR="005C0E76">
        <w:fldChar w:fldCharType="separate"/>
      </w:r>
      <w:r w:rsidR="006B321C" w:rsidRPr="006B321C">
        <w:rPr>
          <w:noProof/>
        </w:rPr>
        <w:t xml:space="preserve">(Brennecke </w:t>
      </w:r>
      <w:r w:rsidR="006B321C" w:rsidRPr="006B321C">
        <w:rPr>
          <w:i/>
          <w:noProof/>
        </w:rPr>
        <w:t>et al.</w:t>
      </w:r>
      <w:r w:rsidR="006B321C" w:rsidRPr="006B321C">
        <w:rPr>
          <w:noProof/>
        </w:rPr>
        <w:t>, 2007)</w:t>
      </w:r>
      <w:r w:rsidR="005C0E76">
        <w:fldChar w:fldCharType="end"/>
      </w:r>
      <w:r w:rsidR="006B321C">
        <w:t xml:space="preserve">.  </w:t>
      </w:r>
    </w:p>
    <w:p w:rsidR="000C3991" w:rsidRDefault="006B321C" w:rsidP="000441D9">
      <w:pPr>
        <w:spacing w:line="360" w:lineRule="auto"/>
        <w:ind w:firstLine="284"/>
      </w:pPr>
      <w:r>
        <w:t xml:space="preserve">Humans have four canonical Argonautes (Ago-1 to Ago-4) and </w:t>
      </w:r>
      <w:r w:rsidR="001B6B51">
        <w:t>several additional Argonaute family Hiwi/Hil</w:t>
      </w:r>
      <w:r w:rsidR="003A2091">
        <w:t xml:space="preserve">i proteins </w:t>
      </w:r>
      <w:r w:rsidR="005C0E76">
        <w:fldChar w:fldCharType="begin" w:fldLock="1"/>
      </w:r>
      <w:r w:rsidR="003A2091">
        <w:instrText>ADDIN CSL_CITATION {"citationItems":[{"id":"ITEM-1","itemData":{"DOI":"10.1016/j.jgg.2016.06.002","ISBN":"1673-8527 (Print)\r1673-8527 (Linking)","ISSN":"18735533","PMID":"27569398","abstract":"The discovery of small non-coding RNAs – microRNA (miRNA), short interfering RNA (siRNA) and PIWI-interacting RNA (piRNA) – represents one of the most exciting frontiers in biology specifically on the mechanism of gene regulation. In order to execute their functions, these small RNAs require physical interactions with their protein partners, the Argonaute (AGO) family proteins. Over the years, numerous studies have made tremendous progress on understanding the roles of AGO in gene silencing in various organisms. In this review, we summarize recent progress of AGO-mediated gene silencing and other cellular processes in which AGO proteins have been implicated with a particular focus on progress made in flies, humans and other model organisms as compliment.","author":[{"dropping-particle":"","family":"Azlan","given":"Azali","non-dropping-particle":"","parse-names":false,"suffix":""},{"dropping-particle":"","family":"Dzaki","given":"Najat","non-dropping-particle":"","parse-names":false,"suffix":""},{"dropping-particle":"","family":"Azzam","given":"Ghows","non-dropping-particle":"","parse-names":false,"suffix":""}],"container-title":"Journal of Genetics and Genomics","id":"ITEM-1","issue":"8","issued":{"date-parts":[["2016"]]},"page":"481-494","publisher":"Elsevier Limited and Science Press","title":"Argonaute: The executor of small RNA function","type":"article-journal","volume":"43"},"uris":["http://www.mendeley.com/documents/?uuid=e7ebcf03-9d05-487c-8236-1f3e4bb010f4"]}],"mendeley":{"formattedCitation":"(Azlan, Dzaki and Azzam, 2016)","plainTextFormattedCitation":"(Azlan, Dzaki and Azzam, 2016)","previouslyFormattedCitation":"(Azlan, Dzaki and Azzam, 2016)"},"properties":{"noteIndex":0},"schema":"https://github.com/citation-style-language/schema/raw/master/csl-citation.json"}</w:instrText>
      </w:r>
      <w:r w:rsidR="005C0E76">
        <w:fldChar w:fldCharType="separate"/>
      </w:r>
      <w:r w:rsidR="003A2091" w:rsidRPr="003A2091">
        <w:rPr>
          <w:noProof/>
        </w:rPr>
        <w:t>(Azlan, Dzaki and Azzam, 2016)</w:t>
      </w:r>
      <w:r w:rsidR="005C0E76">
        <w:fldChar w:fldCharType="end"/>
      </w:r>
      <w:r w:rsidR="003A2091">
        <w:t>. T</w:t>
      </w:r>
      <w:r w:rsidR="001B6B51">
        <w:t>he widest variety of Argonautes are found in plants</w:t>
      </w:r>
      <w:r w:rsidR="00BE6071">
        <w:t xml:space="preserve"> and nematodes</w:t>
      </w:r>
      <w:r w:rsidR="00561E2C">
        <w:t>,</w:t>
      </w:r>
      <w:r w:rsidR="001B6B51">
        <w:t xml:space="preserve"> with </w:t>
      </w:r>
      <w:r w:rsidR="001B6B51" w:rsidRPr="001B6B51">
        <w:rPr>
          <w:i/>
        </w:rPr>
        <w:t>Arabidopsis thaliana</w:t>
      </w:r>
      <w:r w:rsidR="001B6B51">
        <w:t xml:space="preserve"> having </w:t>
      </w:r>
      <w:r w:rsidR="00BE6071">
        <w:t>10 (Ago-1 to Ago-10/Zwille),</w:t>
      </w:r>
      <w:r w:rsidR="001B6B51">
        <w:t xml:space="preserve"> the rice </w:t>
      </w:r>
      <w:r w:rsidR="001B6B51" w:rsidRPr="003A2091">
        <w:rPr>
          <w:i/>
        </w:rPr>
        <w:t>Orzya sativa</w:t>
      </w:r>
      <w:r w:rsidR="001B6B51">
        <w:t xml:space="preserve"> having a bewildering 18 different Argonautes </w:t>
      </w:r>
      <w:r w:rsidR="005C0E76">
        <w:fldChar w:fldCharType="begin" w:fldLock="1"/>
      </w:r>
      <w:r w:rsidR="00364EB2">
        <w:instrText>ADDIN CSL_CITATION {"citationItems":[{"id":"ITEM-1","itemData":{"DOI":"10.1080/15592324.2015.1069455","ISSN":"1559-2324","PMID":"26237574","abstract":"Argonautes (AGOs) are the effector proteins of the RNA-induced silencing (RISC) complex, formed during the phenomena of small-RNA mediated post-transcriptional gene silencing. AGOs are a large family of proteins; their number varies from a few (4 in Chlamydomonas reinhardtii) to many (18 in Oryza sativa) in plants. Genetics-guided analysis have demonstrated the roles of some of the AGOs during growth and development of plants. Biochemical studies have further revealed differences in functional specificities among AGOs. How the AGO family expanded in different plant species during the course of evolution is starting to emerge. We hypothesized that 4 classes of AGOs evolved after divergence of unicellular green algae when an ancestral AGO underwent duplication events. Evolution of multicellularity may have coincided with the diversification of AGOs. A comparative sequence and structure analysis of the plant AGOs, including those from the mosses and the unicellular algae, show not only conformational differences between those from lower and higher plants, but also functional divergence of important sites.","author":[{"dropping-particle":"","family":"Singh","given":"Ravi K","non-dropping-particle":"","parse-names":false,"suffix":""},{"dropping-particle":"","family":"Pandey","given":"Shree P","non-dropping-particle":"","parse-names":false,"suffix":""}],"container-title":"Plant Signaling &amp; Behavior","id":"ITEM-1","issue":"10","issued":{"date-parts":[["2015","10","3"]]},"page":"e1069455","title":"Evolution of structural and functional diversification among plant Argonautes","type":"article-journal","volume":"10"},"uris":["http://www.mendeley.com/documents/?uuid=ef132292-4afe-3a9f-b665-404a2e3ea25f"]},{"id":"ITEM-2","itemData":{"DOI":"10.1186/gb-2008-9-2-210","ISSN":"1474-760X","PMID":"18304383","abstract":"Argonaute proteins were first discovered genetically, and extensive research in the past few years has revealed that members of the Argonaute protein family are key players in gene-silencing pathways guided by small RNAs. Small RNAs such as short interfering RNAs (siRNAs), microRNAs (miRNAs) or Piwi-interacting RNAs (piRNAs) are anchored into specific binding pockets and guide Argonaute proteins to target mRNA molecules for silencing or destruction. Various classes of small RNAs and Argonaute proteins are found in all higher eukaryotes and have important functions in processes as diverse as embryonic development, cell differentiation and transposon silencing. Argonaute proteins are evolutionarily conserved and can be phylogenetically subdivided into the Ago subfamily and the Piwi subfamily. Ago proteins are ubiquitously expressed and bind to siRNAs or miRNAs to guide post-transcriptional gene silencing either by destabilization of the mRNA or by translational repression. The expression of Piwi proteins is mostly restricted to the germ line and Piwi proteins associate with piRNAs to facilitate silencing of mobile genetic elements. Although various aspects of Argonaute function have been identified, many Argonaute proteins are still poorly characterized. Therefore, it is very likely that as yet unknown functions of the Argonaute protein family will be elucidated in the future.","author":[{"dropping-particle":"","family":"Höck","given":"Julia","non-dropping-particle":"","parse-names":false,"suffix":""},{"dropping-particle":"","family":"Meister","given":"Gunter","non-dropping-particle":"","parse-names":false,"suffix":""}],"container-title":"Genome biology","id":"ITEM-2","issue":"2","issued":{"date-parts":[["2008"]]},"page":"210","publisher":"BioMed Central","title":"The Argonaute protein family.","type":"article-journal","volume":"9"},"uris":["http://www.mendeley.com/documents/?uuid=bd7928d2-830d-3e4d-bd80-9f8b2312207a"]}],"mendeley":{"formattedCitation":"(Höck and Meister, 2008; Singh and Pandey, 2015)","plainTextFormattedCitation":"(Höck and Meister, 2008; Singh and Pandey, 2015)","previouslyFormattedCitation":"(Höck and Meister, 2008; Singh and Pandey, 2015)"},"properties":{"noteIndex":0},"schema":"https://github.com/citation-style-language/schema/raw/master/csl-citation.json"}</w:instrText>
      </w:r>
      <w:r w:rsidR="005C0E76">
        <w:fldChar w:fldCharType="separate"/>
      </w:r>
      <w:r w:rsidR="001B6B51" w:rsidRPr="001B6B51">
        <w:rPr>
          <w:noProof/>
        </w:rPr>
        <w:t>(Höck and Meister, 2008; Singh and Pandey, 2015)</w:t>
      </w:r>
      <w:r w:rsidR="005C0E76">
        <w:fldChar w:fldCharType="end"/>
      </w:r>
      <w:r w:rsidR="00BE6071">
        <w:t xml:space="preserve">, and </w:t>
      </w:r>
      <w:r w:rsidR="00BE6071" w:rsidRPr="00BE6071">
        <w:rPr>
          <w:i/>
        </w:rPr>
        <w:t>C. elegans</w:t>
      </w:r>
      <w:r w:rsidR="00BE6071">
        <w:t xml:space="preserve"> h</w:t>
      </w:r>
      <w:r w:rsidR="00E42CDC">
        <w:t>aving</w:t>
      </w:r>
      <w:r w:rsidR="00BE6071">
        <w:t xml:space="preserve"> 27 </w:t>
      </w:r>
      <w:r w:rsidR="005C0E76">
        <w:fldChar w:fldCharType="begin" w:fldLock="1"/>
      </w:r>
      <w:r w:rsidR="000D4C5F">
        <w:instrText>ADDIN CSL_CITATION {"citationItems":[{"id":"ITEM-1","itemData":{"DOI":"10.1038/nchembio848","ISSN":"1552-4450","PMID":"17173028","abstract":"Though they started out as somewhat mysterious components of the RNAi effector complexes, Argonaute proteins have since taken center stage in RNAi gene silencing. They interact with small RNAs to effect gene silencing in all RNAi-related pathways known so far. We will review the dramatic advances in our understanding of the role of the Argonautes in RNAi through studies of their structure and function.","author":[{"dropping-particle":"","family":"Tolia","given":"Niraj H","non-dropping-particle":"","parse-names":false,"suffix":""},{"dropping-particle":"","family":"Joshua-Tor","given":"Leemor","non-dropping-particle":"","parse-names":false,"suffix":""}],"container-title":"Nature Chemical Biology","id":"ITEM-1","issue":"1","issued":{"date-parts":[["2007","1","15"]]},"page":"36-43","title":"Slicer and the Argonautes","type":"article-journal","volume":"3"},"uris":["http://www.mendeley.com/documents/?uuid=c1e5afdc-f16d-3e56-80e2-0a43c44fdb2a"]}],"mendeley":{"formattedCitation":"(Tolia and Joshua-Tor, 2007)","plainTextFormattedCitation":"(Tolia and Joshua-Tor, 2007)","previouslyFormattedCitation":"(Tolia and Joshua-Tor, 2007)"},"properties":{"noteIndex":0},"schema":"https://github.com/citation-style-language/schema/raw/master/csl-citation.json"}</w:instrText>
      </w:r>
      <w:r w:rsidR="005C0E76">
        <w:fldChar w:fldCharType="separate"/>
      </w:r>
      <w:r w:rsidR="00BE6071" w:rsidRPr="00BE6071">
        <w:rPr>
          <w:noProof/>
        </w:rPr>
        <w:t>(Tolia and Joshua-Tor, 2007)</w:t>
      </w:r>
      <w:r w:rsidR="005C0E76">
        <w:fldChar w:fldCharType="end"/>
      </w:r>
      <w:r w:rsidR="001B6B51">
        <w:t xml:space="preserve">. The wide </w:t>
      </w:r>
      <w:r w:rsidR="00561E2C">
        <w:t>range of Argonautes in some species is</w:t>
      </w:r>
      <w:r w:rsidR="001B6B51">
        <w:t xml:space="preserve"> essentially irrelevant here. The </w:t>
      </w:r>
      <w:r w:rsidR="001B6B51" w:rsidRPr="001B6B51">
        <w:rPr>
          <w:i/>
        </w:rPr>
        <w:t>Drosophila</w:t>
      </w:r>
      <w:r w:rsidR="000C3991">
        <w:t xml:space="preserve"> Argonaute</w:t>
      </w:r>
      <w:r w:rsidR="001B6B51">
        <w:t xml:space="preserve"> paralogs</w:t>
      </w:r>
      <w:r w:rsidR="001A7091">
        <w:t xml:space="preserve">, Ago-1 and Ago-2, are specialised to deal with miRNAs and siRNAs respectively </w:t>
      </w:r>
      <w:r w:rsidR="005C0E76">
        <w:fldChar w:fldCharType="begin" w:fldLock="1"/>
      </w:r>
      <w:r w:rsidR="001A7091">
        <w:instrText>ADDIN CSL_CITATION {"citationItems":[{"id":"ITEM-1","itemData":{"DOI":"10.1101/gad.1210204","ISSN":"0890-9369","PMID":"15231716","abstract":"In mammalian cells, both microRNAs (miRNAs) and small interfering RNAs (siRNAs) are thought to be loaded into the same RNA-induced silencing complex (RISC), where they guide mRNA degradation or translation silencing depending on the complementarity of the target. In Drosophila, Argonaute2 (AGO2) was identified as part of the RISC complex. Here we show that AGO2 is an essential component for siRNA-directed RNA interference (RNAi) response and is required for the unwinding of siRNA duplex and in consequence assembly of siRNA into RISC in Drosophila embryos. However, Drosophila embryos lacking AGO2, which are siRNA-directed RNAi-defective, are still capable of miRNA-directed target RNA cleavage. In contrast, Argonaute1 (AGO1), another Argonaute protein in fly, which is dispensable for siRNA-directed target RNA cleavage, is required for mature miRNA production that impacts on miRNA-directed RNA cleavage. The association of AGO1 with Dicer-1 and pre-miRNA also suggests that AGO1 is involved in miRNA biogenesis. Our findings show that distinct Argonaute proteins act at different steps of the small RNA silencing mechanism and suggest that there are inherent differences between siRNA-initiated RISCs and miRNA-initiated RISCs in Drosophila.","author":[{"dropping-particle":"","family":"Okamura","given":"K.","non-dropping-particle":"","parse-names":false,"suffix":""},{"dropping-particle":"","family":"Ishizuka","given":"Akira","non-dropping-particle":"","parse-names":false,"suffix":""},{"dropping-particle":"","family":"Siomi","given":"Haruhiko","non-dropping-particle":"","parse-names":false,"suffix":""},{"dropping-particle":"","family":"Siomi","given":"Mikiko C","non-dropping-particle":"","parse-names":false,"suffix":""}],"container-title":"Genes &amp; Development","id":"ITEM-1","issue":"14","issued":{"date-parts":[["2004","7","15"]]},"page":"1655-1666","title":"Distinct roles for Argonaute proteins in small RNA-directed RNA cleavage pathways","type":"article-journal","volume":"18"},"uris":["http://www.mendeley.com/documents/?uuid=b3411370-7dd1-3ae3-b1f3-41c202ce0970"]}],"mendeley":{"formattedCitation":"(Okamura &lt;i&gt;et al.&lt;/i&gt;, 2004)","plainTextFormattedCitation":"(Okamura et al., 2004)","previouslyFormattedCitation":"(Okamura &lt;i&gt;et al.&lt;/i&gt;, 2004)"},"properties":{"noteIndex":0},"schema":"https://github.com/citation-style-language/schema/raw/master/csl-citation.json"}</w:instrText>
      </w:r>
      <w:r w:rsidR="005C0E76">
        <w:fldChar w:fldCharType="separate"/>
      </w:r>
      <w:r w:rsidR="001A7091" w:rsidRPr="001A7091">
        <w:rPr>
          <w:noProof/>
        </w:rPr>
        <w:t xml:space="preserve">(Okamura </w:t>
      </w:r>
      <w:r w:rsidR="001A7091" w:rsidRPr="001A7091">
        <w:rPr>
          <w:i/>
          <w:noProof/>
        </w:rPr>
        <w:t>et al.</w:t>
      </w:r>
      <w:r w:rsidR="001A7091" w:rsidRPr="001A7091">
        <w:rPr>
          <w:noProof/>
        </w:rPr>
        <w:t>, 2004)</w:t>
      </w:r>
      <w:r w:rsidR="005C0E76">
        <w:fldChar w:fldCharType="end"/>
      </w:r>
      <w:r w:rsidR="001A7091">
        <w:t>, whereas in mammals Ago-1, Ago-2, Ago-3 and Ago-4 can</w:t>
      </w:r>
      <w:r w:rsidR="001C46A9">
        <w:t xml:space="preserve"> all</w:t>
      </w:r>
      <w:r w:rsidR="001A7091">
        <w:t xml:space="preserve"> incorporate both miRNAs and siRNAs into RISCs </w:t>
      </w:r>
      <w:r w:rsidR="005C0E76">
        <w:fldChar w:fldCharType="begin" w:fldLock="1"/>
      </w:r>
      <w:r w:rsidR="00A94C18">
        <w:instrText>ADDIN CSL_CITATION {"citationItems":[{"id":"ITEM-1","itemData":{"DOI":"10.1261/rna.029785.111","ISSN":"1469-9001","PMID":"22106413","abstract":"In flies, asymmetric loading of small RNA duplexes into Argonaute2-containing RNA-induced silencing complex (Ago2-RISC) requires Dicer-2/R2D2 heterodimer, which acts as a protein sensor for the thermodynamic stabilities of the ends of small RNA duplexes. However, the mechanism of small RNA asymmetry sensing in mammalian RISC assembly remains obscure. Here, we quantitatively examined RISC assembly and target silencing activity in the presence or absence of Dicer in mammals. Our data show that, unlike the well-characterized fly Ago2-RISC assembly pathway, mammalian Dicer is dispensable for asymmetric RISC loading in vivo and in vitro.","author":[{"dropping-particle":"","family":"Betancur","given":"Juan G","non-dropping-particle":"","parse-names":false,"suffix":""},{"dropping-particle":"","family":"Tomari","given":"Yukihide","non-dropping-particle":"","parse-names":false,"suffix":""}],"container-title":"RNA (New York, N.Y.)","id":"ITEM-1","issue":"1","issued":{"date-parts":[["2012","1"]]},"page":"24-30","publisher":"Cold Spring Harbor Laboratory Press","title":"Dicer is dispensable for asymmetric RISC loading in mammals.","type":"article-journal","volume":"18"},"uris":["http://www.mendeley.com/documents/?uuid=c1f1a51d-3f23-35cf-bcd0-f654b86ab855"]}],"mendeley":{"formattedCitation":"(Betancur and Tomari, 2012)","plainTextFormattedCitation":"(Betancur and Tomari, 2012)","previouslyFormattedCitation":"(Betancur and Tomari, 2012)"},"properties":{"noteIndex":0},"schema":"https://github.com/citation-style-language/schema/raw/master/csl-citation.json"}</w:instrText>
      </w:r>
      <w:r w:rsidR="005C0E76">
        <w:fldChar w:fldCharType="separate"/>
      </w:r>
      <w:r w:rsidR="001A7091" w:rsidRPr="001A7091">
        <w:rPr>
          <w:noProof/>
        </w:rPr>
        <w:t>(Betancur and Tomari, 2012)</w:t>
      </w:r>
      <w:r w:rsidR="005C0E76">
        <w:fldChar w:fldCharType="end"/>
      </w:r>
      <w:r w:rsidR="001A7091">
        <w:t xml:space="preserve">. </w:t>
      </w:r>
      <w:r w:rsidR="004073E7">
        <w:t xml:space="preserve">The particular RNAi pathway we are concerned with </w:t>
      </w:r>
      <w:r w:rsidR="00364EB2">
        <w:t xml:space="preserve">utilising </w:t>
      </w:r>
      <w:r w:rsidR="004073E7">
        <w:t>here is the pathway involving Argonaute-2 (Ago2) and Dicer-2 processing, using long dsRNA as an initial substrate.</w:t>
      </w:r>
      <w:r w:rsidR="001A7091">
        <w:t xml:space="preserve"> </w:t>
      </w:r>
    </w:p>
    <w:p w:rsidR="005D6691" w:rsidRDefault="00364EB2" w:rsidP="000441D9">
      <w:pPr>
        <w:spacing w:line="360" w:lineRule="auto"/>
        <w:ind w:firstLine="284"/>
      </w:pPr>
      <w:r>
        <w:t xml:space="preserve">The Ago-2/Dicer-2 RNAi pathway exists as an antiviral defence mechanism in insects </w:t>
      </w:r>
      <w:r w:rsidR="005C0E76">
        <w:fldChar w:fldCharType="begin" w:fldLock="1"/>
      </w:r>
      <w:r>
        <w:instrText>ADDIN CSL_CITATION {"citationItems":[{"id":"ITEM-1","itemData":{"DOI":"10.1101/gad.1482006","ISSN":"0890-9369","PMID":"17079687","abstract":"Most organisms have evolved defense mechanisms to protect themselves from viruses and other pathogens. Arthropods lack the protein-based adaptive immune response found in vertebrates. Here we show that the central catalytic component of the RNA-induced silencing complex (RISC), the nuclease Argonaute 2 (Ago-2), is essential for antiviral defense in adult Drosophila melanogaster. Ago-2-defective flies are hypersensitive to infection with a major fruit fly pathogen, Drosophila C virus (DCV), and with Cricket Paralysis virus (CrPV). Increased mortality in ago-2 mutant flies was associated with a dramatic increase in viral RNA accumulation and virus titers. The physiological significance of this antiviral mechanism is underscored by our finding that DCV encodes a potent suppressor of RNA interference (RNAi). This suppressor binds long double-stranded RNA (dsRNA) and inhibits Dicer-2-mediated processing of dsRNA into short interfering RNA (siRNA), but does not bind short siRNAs or disrupt the microRNA (miRNA) pathway. Based on these results we propose that RNAi is a major antiviral immune defense mechanism in Drosophila.","author":[{"dropping-particle":"","family":"Rij","given":"Ronald P","non-dropping-particle":"van","parse-names":false,"suffix":""},{"dropping-particle":"","family":"Saleh","given":"Maria-Carla","non-dropping-particle":"","parse-names":false,"suffix":""},{"dropping-particle":"","family":"Berry","given":"Bassam","non-dropping-particle":"","parse-names":false,"suffix":""},{"dropping-particle":"","family":"Foo","given":"Catherine","non-dropping-particle":"","parse-names":false,"suffix":""},{"dropping-particle":"","family":"Houk","given":"Andrew","non-dropping-particle":"","parse-names":false,"suffix":""},{"dropping-particle":"","family":"Antoniewski","given":"Christophe","non-dropping-particle":"","parse-names":false,"suffix":""},{"dropping-particle":"","family":"Andino","given":"Raul","non-dropping-particle":"","parse-names":false,"suffix":""}],"container-title":"Genes &amp; development","id":"ITEM-1","issue":"21","issued":{"date-parts":[["2006","11","1"]]},"page":"2985-95","publisher":"Cold Spring Harbor Laboratory Press","title":"The RNA silencing endonuclease Argonaute 2 mediates specific antiviral immunity in Drosophila melanogaster.","type":"article-journal","volume":"20"},"uris":["http://www.mendeley.com/documents/?uuid=928df883-ed7a-30cf-8cd4-7497c22b29ab"]}],"mendeley":{"formattedCitation":"(van Rij &lt;i&gt;et al.&lt;/i&gt;, 2006)","plainTextFormattedCitation":"(van Rij et al., 2006)","previouslyFormattedCitation":"(van Rij &lt;i&gt;et al.&lt;/i&gt;, 2006)"},"properties":{"noteIndex":0},"schema":"https://github.com/citation-style-language/schema/raw/master/csl-citation.json"}</w:instrText>
      </w:r>
      <w:r w:rsidR="005C0E76">
        <w:fldChar w:fldCharType="separate"/>
      </w:r>
      <w:r w:rsidRPr="00364EB2">
        <w:rPr>
          <w:noProof/>
        </w:rPr>
        <w:t xml:space="preserve">(van Rij </w:t>
      </w:r>
      <w:r w:rsidRPr="00364EB2">
        <w:rPr>
          <w:i/>
          <w:noProof/>
        </w:rPr>
        <w:t>et al.</w:t>
      </w:r>
      <w:r w:rsidRPr="00364EB2">
        <w:rPr>
          <w:noProof/>
        </w:rPr>
        <w:t>, 2006)</w:t>
      </w:r>
      <w:r w:rsidR="005C0E76">
        <w:fldChar w:fldCharType="end"/>
      </w:r>
      <w:r>
        <w:t>, in lieu of the adaptive immune system that mammals have. dsRNAs may arise naturally in insect cells from</w:t>
      </w:r>
      <w:r w:rsidR="004B034D">
        <w:t>:</w:t>
      </w:r>
      <w:r>
        <w:t xml:space="preserve"> viruses with dsRNA genomes</w:t>
      </w:r>
      <w:r w:rsidR="004B034D">
        <w:t>;</w:t>
      </w:r>
      <w:r>
        <w:t xml:space="preserve"> from viruses with </w:t>
      </w:r>
      <w:r w:rsidR="009F634A" w:rsidRPr="009F634A">
        <w:t>+</w:t>
      </w:r>
      <w:r w:rsidR="004B034D" w:rsidRPr="009F634A">
        <w:t>s</w:t>
      </w:r>
      <w:r w:rsidRPr="009F634A">
        <w:t>sRNA</w:t>
      </w:r>
      <w:r>
        <w:t xml:space="preserve"> genomes where</w:t>
      </w:r>
      <w:r w:rsidR="004B034D">
        <w:t xml:space="preserve"> </w:t>
      </w:r>
      <w:r w:rsidR="009F634A">
        <w:t>+ssRNA genomes anneal to -</w:t>
      </w:r>
      <w:r w:rsidR="004B034D">
        <w:t>ssRNA viral mRNA produced as a precursor to producing viral proteins</w:t>
      </w:r>
      <w:r w:rsidR="009F634A">
        <w:t xml:space="preserve"> </w:t>
      </w:r>
      <w:r w:rsidR="005C0E76">
        <w:fldChar w:fldCharType="begin" w:fldLock="1"/>
      </w:r>
      <w:r w:rsidR="004D39CA">
        <w:instrText>ADDIN CSL_CITATION {"citationItems":[{"id":"ITEM-1","itemData":{"DOI":"10.1128/JVI.80.10.5059-5064.2006","ISSN":"0022-538X","PMID":"16641297","abstract":"Double-stranded RNA (dsRNA) longer than 30 bp is a key activator of the innate immune response against viral infections. It is widely assumed that the generation of dsRNA during genome replication is a trait shared by all viruses. However, to our knowledge, no study exists in which the production of dsRNA by different viruses is systematically investigated. Here, we investigated the presence and localization of dsRNA in cells infected with a range of viruses, employing a dsRNA-specific antibody for immunofluorescence analysis. Our data revealed that, as predicted, significant amounts of dsRNA can be detected for viruses with a genome consisting of positive-strand RNA, dsRNA, or DNA. Surprisingly, however, no dsRNA signals were detected for negative-strand RNA viruses. Thus, dsRNA is indeed a general feature of most virus groups, but negative-strand RNA viruses appear to be an exception to that rule.","author":[{"dropping-particle":"","family":"Weber","given":"Friedemann","non-dropping-particle":"","parse-names":false,"suffix":""},{"dropping-particle":"","family":"Wagner","given":"Valentina","non-dropping-particle":"","parse-names":false,"suffix":""},{"dropping-particle":"","family":"Rasmussen","given":"Simon B","non-dropping-particle":"","parse-names":false,"suffix":""},{"dropping-particle":"","family":"Hartmann","given":"Rune","non-dropping-particle":"","parse-names":false,"suffix":""},{"dropping-particle":"","family":"Paludan","given":"Søren R","non-dropping-particle":"","parse-names":false,"suffix":""}],"container-title":"Journal of virology","id":"ITEM-1","issue":"10","issued":{"date-parts":[["2006","5"]]},"page":"5059-64","publisher":"American Society for Microbiology (ASM)","title":"Double-stranded RNA is produced by positive-strand RNA viruses and DNA viruses but not in detectable amounts by negative-strand RNA viruses.","type":"article-journal","volume":"80"},"uris":["http://www.mendeley.com/documents/?uuid=945be81c-37b9-357e-a073-db3debc74f90"]}],"mendeley":{"formattedCitation":"(Weber &lt;i&gt;et al.&lt;/i&gt;, 2006)","plainTextFormattedCitation":"(Weber et al., 2006)","previouslyFormattedCitation":"(Weber &lt;i&gt;et al.&lt;/i&gt;, 2006)"},"properties":{"noteIndex":0},"schema":"https://github.com/citation-style-language/schema/raw/master/csl-citation.json"}</w:instrText>
      </w:r>
      <w:r w:rsidR="005C0E76">
        <w:fldChar w:fldCharType="separate"/>
      </w:r>
      <w:r w:rsidR="009F634A" w:rsidRPr="009F634A">
        <w:rPr>
          <w:noProof/>
        </w:rPr>
        <w:t xml:space="preserve">(Weber </w:t>
      </w:r>
      <w:r w:rsidR="009F634A" w:rsidRPr="009F634A">
        <w:rPr>
          <w:i/>
          <w:noProof/>
        </w:rPr>
        <w:t>et al.</w:t>
      </w:r>
      <w:r w:rsidR="009F634A" w:rsidRPr="009F634A">
        <w:rPr>
          <w:noProof/>
        </w:rPr>
        <w:t>, 2006)</w:t>
      </w:r>
      <w:r w:rsidR="005C0E76">
        <w:fldChar w:fldCharType="end"/>
      </w:r>
      <w:r w:rsidR="004B034D">
        <w:t>; o</w:t>
      </w:r>
      <w:r>
        <w:t xml:space="preserve">r from </w:t>
      </w:r>
      <w:r w:rsidRPr="009F634A">
        <w:t>DNA viruses where overlapping sense and antisense transcripts combine</w:t>
      </w:r>
      <w:r>
        <w:t xml:space="preserve"> </w:t>
      </w:r>
      <w:r w:rsidR="005C0E76">
        <w:fldChar w:fldCharType="begin" w:fldLock="1"/>
      </w:r>
      <w:r w:rsidR="005D6691">
        <w:instrText>ADDIN CSL_CITATION {"citationItems":[{"id":"ITEM-1","itemData":{"DOI":"10.1016/J.COVIRO.2014.03.010","ISSN":"1879-6257","abstract":"The host RNA interference (RNAi) pathway of insects senses virus infection and induces an antiviral response to restrict virus replication. Dicer-2 detects viral double-stranded RNA, produced by RNA and DNA viruses, and generates viral small interfering RNAs (vsiRNAs). Recent small RNA profiling studies provided new insights into the viral RNA substrates that trigger vsiRNA biogenesis. The importance of the antiviral RNAi pathway is underscored by the observation that viruses have evolved sophisticated mechanisms to counteract this small RNA-based immune response. More recently, it was proposed that another small RNA silencing mechanism, the piRNA pathway, also processes viral RNAs in Drosophila and mosquitoes. Here, we review recent insights into the mechanism of antiviral RNAi, viral small RNA profiles, and viral counter-defense mechanisms in insects.","author":[{"dropping-particle":"","family":"Bronkhorst","given":"Alfred W","non-dropping-particle":"","parse-names":false,"suffix":""},{"dropping-particle":"","family":"Rij","given":"Ronald P","non-dropping-particle":"van","parse-names":false,"suffix":""}],"container-title":"Current Opinion in Virology","id":"ITEM-1","issued":{"date-parts":[["2014","8","1"]]},"page":"19-28","publisher":"Elsevier","title":"The long and short of antiviral defense: small RNA-based immunity in insects","type":"article-journal","volume":"7"},"uris":["http://www.mendeley.com/documents/?uuid=4505dddc-3bdc-349a-9187-9cbeec57600c"]}],"mendeley":{"formattedCitation":"(Bronkhorst and van Rij, 2014)","plainTextFormattedCitation":"(Bronkhorst and van Rij, 2014)","previouslyFormattedCitation":"(Bronkhorst and van Rij, 2014)"},"properties":{"noteIndex":0},"schema":"https://github.com/citation-style-language/schema/raw/master/csl-citation.json"}</w:instrText>
      </w:r>
      <w:r w:rsidR="005C0E76">
        <w:fldChar w:fldCharType="separate"/>
      </w:r>
      <w:r w:rsidRPr="00364EB2">
        <w:rPr>
          <w:noProof/>
        </w:rPr>
        <w:t>(Bronkhorst and van Rij, 2014)</w:t>
      </w:r>
      <w:r w:rsidR="005C0E76">
        <w:fldChar w:fldCharType="end"/>
      </w:r>
      <w:r>
        <w:t xml:space="preserve">. </w:t>
      </w:r>
      <w:r w:rsidR="009F634A">
        <w:t xml:space="preserve"> </w:t>
      </w:r>
      <w:r w:rsidR="00A306F3">
        <w:t>All of these sources of viral dsRNA lead to the production by Dicer-2 cleavage of a pool of viral siRNAs (vsiRNAs) capa</w:t>
      </w:r>
      <w:r w:rsidR="00E6284A">
        <w:t>ble of targeting RNA virus genomes for degradation by the</w:t>
      </w:r>
      <w:r w:rsidR="003A2091">
        <w:t xml:space="preserve"> Ago-2</w:t>
      </w:r>
      <w:r w:rsidR="00E6284A">
        <w:t xml:space="preserve"> RNAi pathway</w:t>
      </w:r>
      <w:r w:rsidR="003A2091">
        <w:t xml:space="preserve">. </w:t>
      </w:r>
      <w:r w:rsidR="005D6691">
        <w:t xml:space="preserve">Insects, including </w:t>
      </w:r>
      <w:r w:rsidR="005D6691" w:rsidRPr="005D6691">
        <w:rPr>
          <w:i/>
        </w:rPr>
        <w:t>Drosophila</w:t>
      </w:r>
      <w:r w:rsidR="005D6691">
        <w:t xml:space="preserve"> and mosquitoes, also have a mechanism for amplifying vsiRNAs by reverse </w:t>
      </w:r>
      <w:r w:rsidR="005D6691" w:rsidRPr="004D4132">
        <w:t>transcribing defective</w:t>
      </w:r>
      <w:r w:rsidR="005D6691">
        <w:t xml:space="preserve"> viral genomes and then transcribing vsiRNAs from the resulting DNA </w:t>
      </w:r>
      <w:r w:rsidR="005C0E76">
        <w:fldChar w:fldCharType="begin" w:fldLock="1"/>
      </w:r>
      <w:r w:rsidR="002B319E">
        <w:instrText>ADDIN CSL_CITATION {"citationItems":[{"id":"ITEM-1","itemData":{"DOI":"10.1016/j.chom.2018.02.001","ISSN":"1934-6069","PMID":"29503180","abstract":"The RNAi pathway confers antiviral immunity in insects. Virus-specific siRNA responses are amplified via the reverse transcription of viral RNA to viral DNA (vDNA). The nature, biogenesis, and regulation of vDNA are unclear. We find that vDNA produced during RNA virus infection of Drosophila and mosquitoes is present in both linear and circular forms. Circular vDNA (cvDNA) is sufficient to produce siRNAs that confer partially protective immunity when challenged with a cognate virus. cvDNAs bear homology to defective viral genomes (DVGs), and DVGs serve as templates for vDNA and cvDNA synthesis. Accordingly, DVGs promote the amplification of vDNA-mediated antiviral RNAi responses in infected Drosophila. Furthermore, vDNA synthesis is regulated by the DExD/H helicase domain of Dicer-2 in a mechanism distinct from its role in siRNA generation. We suggest that, analogous to mammalian RIG-I-like receptors, Dicer-2 functions like a pattern recognition receptor for DVGs to modulate antiviral immunity in insects.","author":[{"dropping-particle":"","family":"Poirier","given":"Enzo Z","non-dropping-particle":"","parse-names":false,"suffix":""},{"dropping-particle":"","family":"Goic","given":"Bertsy","non-dropping-particle":"","parse-names":false,"suffix":""},{"dropping-particle":"","family":"Tomé-Poderti","given":"Lorena","non-dropping-particle":"","parse-names":false,"suffix":""},{"dropping-particle":"","family":"Frangeul","given":"Lionel","non-dropping-particle":"","parse-names":false,"suffix":""},{"dropping-particle":"","family":"Boussier","given":"Jérémy","non-dropping-particle":"","parse-names":false,"suffix":""},{"dropping-particle":"","family":"Gausson","given":"Valérie","non-dropping-particle":"","parse-names":false,"suffix":""},{"dropping-particle":"","family":"Blanc","given":"Hervé","non-dropping-particle":"","parse-names":false,"suffix":""},{"dropping-particle":"","family":"Vallet","given":"Thomas","non-dropping-particle":"","parse-names":false,"suffix":""},{"dropping-particle":"","family":"Loyd","given":"Hyelee","non-dropping-particle":"","parse-names":false,"suffix":""},{"dropping-particle":"","family":"Levi","given":"Laura I","non-dropping-particle":"","parse-names":false,"suffix":""},{"dropping-particle":"","family":"Lanciano","given":"Sophie","non-dropping-particle":"","parse-names":false,"suffix":""},{"dropping-particle":"","family":"Baron","given":"Chloé","non-dropping-particle":"","parse-names":false,"suffix":""},{"dropping-particle":"","family":"Merkling","given":"Sarah H","non-dropping-particle":"","parse-names":false,"suffix":""},{"dropping-particle":"","family":"Lambrechts","given":"Louis","non-dropping-particle":"","parse-names":false,"suffix":""},{"dropping-particle":"","family":"Mirouze","given":"Marie","non-dropping-particle":"","parse-names":false,"suffix":""},{"dropping-particle":"","family":"Carpenter","given":"Susan","non-dropping-particle":"","parse-names":false,"suffix":""},{"dropping-particle":"","family":"Vignuzzi","given":"Marco","non-dropping-particle":"","parse-names":false,"suffix":""},{"dropping-particle":"","family":"Saleh","given":"Maria-Carla","non-dropping-particle":"","parse-names":false,"suffix":""}],"container-title":"Cell host &amp; microbe","id":"ITEM-1","issue":"3","issued":{"date-parts":[["2018","3","14"]]},"page":"353-365.e8","publisher":"Elsevier","title":"Dicer-2-Dependent Generation of Viral DNA from Defective Genomes of RNA Viruses Modulates Antiviral Immunity in Insects.","type":"article-journal","volume":"23"},"uris":["http://www.mendeley.com/documents/?uuid=826b4a77-2fd1-3b6f-bea4-0efd043f190c"]}],"mendeley":{"formattedCitation":"(Poirier &lt;i&gt;et al.&lt;/i&gt;, 2018)","plainTextFormattedCitation":"(Poirier et al., 2018)","previouslyFormattedCitation":"(Poirier &lt;i&gt;et al.&lt;/i&gt;, 2018)"},"properties":{"noteIndex":0},"schema":"https://github.com/citation-style-language/schema/raw/master/csl-citation.json"}</w:instrText>
      </w:r>
      <w:r w:rsidR="005C0E76">
        <w:fldChar w:fldCharType="separate"/>
      </w:r>
      <w:r w:rsidR="005D6691" w:rsidRPr="005D6691">
        <w:rPr>
          <w:noProof/>
        </w:rPr>
        <w:t xml:space="preserve">(Poirier </w:t>
      </w:r>
      <w:r w:rsidR="005D6691" w:rsidRPr="005D6691">
        <w:rPr>
          <w:i/>
          <w:noProof/>
        </w:rPr>
        <w:t>et al.</w:t>
      </w:r>
      <w:r w:rsidR="005D6691" w:rsidRPr="005D6691">
        <w:rPr>
          <w:noProof/>
        </w:rPr>
        <w:t>, 2018)</w:t>
      </w:r>
      <w:r w:rsidR="005C0E76">
        <w:fldChar w:fldCharType="end"/>
      </w:r>
      <w:r w:rsidR="005D6691">
        <w:t>; the Dicer-2 helicase domain is believed to be involved in this process.</w:t>
      </w:r>
    </w:p>
    <w:p w:rsidR="00561E2C" w:rsidRDefault="00B61A6F" w:rsidP="000441D9">
      <w:pPr>
        <w:spacing w:line="360" w:lineRule="auto"/>
        <w:ind w:firstLine="284"/>
      </w:pPr>
      <w:r>
        <w:lastRenderedPageBreak/>
        <w:t xml:space="preserve">Long dsRNA insecticides effectively hijack the Ago-2/Dicer-2 RNAi pathway, such that instead of targeting viral genomes/transcripts for destruction, the RNAi machinery of the insect is turned against its own transcripts, which are then targeted for destruction by the RISC. Insecticidal dsRNAs are selected such that they target </w:t>
      </w:r>
      <w:r w:rsidR="00BD78E9">
        <w:t>mRNAs</w:t>
      </w:r>
      <w:r>
        <w:t xml:space="preserve"> whose knockdown is lethal to the insect</w:t>
      </w:r>
      <w:r w:rsidR="00BD78E9">
        <w:t>.</w:t>
      </w:r>
      <w:r w:rsidR="004D4132">
        <w:t xml:space="preserve"> </w:t>
      </w:r>
      <w:r w:rsidR="00BD78E9">
        <w:t>This</w:t>
      </w:r>
      <w:r>
        <w:t xml:space="preserve"> result</w:t>
      </w:r>
      <w:r w:rsidR="00BD78E9">
        <w:t>s</w:t>
      </w:r>
      <w:r>
        <w:t xml:space="preserve"> in mortality, usually accompanied by </w:t>
      </w:r>
      <w:r w:rsidR="00DD5773">
        <w:t xml:space="preserve">prior </w:t>
      </w:r>
      <w:r>
        <w:t>stunting of growth</w:t>
      </w:r>
      <w:r w:rsidR="003A2091">
        <w:t xml:space="preserve"> </w:t>
      </w:r>
      <w:r w:rsidR="005C0E76">
        <w:fldChar w:fldCharType="begin" w:fldLock="1"/>
      </w:r>
      <w:r w:rsidR="003A2091">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interference","type":"article-journal","volume":"25"},"uris":["http://www.mendeley.com/documents/?uuid=f36b1865-baf2-4cfb-bf8c-3a0a3c4b563c"]},{"id":"ITEM-2","itemData":{"DOI":"10.1038/nbt1352","ISBN":"1087-0156","ISSN":"10870156","PMID":"17982444","abstract":"We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Biotechnology","id":"ITEM-2","issue":"11","issued":{"date-parts":[["2007"]]},"page":"1307-1313","title":"Silencing a cotton bollworm P450 monooxygenase gene by plant-mediated RNAi impairs larval tolerance of gossypol","type":"article-journal","volume":"25"},"uris":["http://www.mendeley.com/documents/?uuid=30f4c137-f223-4428-b6ca-02cdb2aba4ea"]},{"id":"ITEM-3","itemData":{"DOI":"10.1002/ps.4056","ISSN":"1526498X","author":[{"dropping-particle":"","family":"San Miguel","given":"Keri","non-dropping-particle":"","parse-names":false,"suffix":""},{"dropping-particle":"","family":"Scott","given":"Jeffrey G","non-dropping-particle":"","parse-names":false,"suffix":""}],"container-title":"Pest Management Science","id":"ITEM-3","issue":"February","issued":{"date-parts":[["2015"]]},"page":"n/a-n/a","title":"The next generation of insecticides: dsRNA is stable as a foliar-applied insecticide","type":"article-journal"},"uris":["http://www.mendeley.com/documents/?uuid=0e666d3c-1776-452f-ae6b-c802a97ac443"]}],"mendeley":{"formattedCitation":"(Baum &lt;i&gt;et al.&lt;/i&gt;, 2007; Mao &lt;i&gt;et al.&lt;/i&gt;, 2007; San Miguel and Scott, 2015)","plainTextFormattedCitation":"(Baum et al., 2007; Mao et al., 2007; San Miguel and Scott, 2015)","previouslyFormattedCitation":"(Baum &lt;i&gt;et al.&lt;/i&gt;, 2007; Mao &lt;i&gt;et al.&lt;/i&gt;, 2007; San Miguel and Scott, 2015)"},"properties":{"noteIndex":0},"schema":"https://github.com/citation-style-language/schema/raw/master/csl-citation.json"}</w:instrText>
      </w:r>
      <w:r w:rsidR="005C0E76">
        <w:fldChar w:fldCharType="separate"/>
      </w:r>
      <w:r w:rsidR="003A2091" w:rsidRPr="003A2091">
        <w:rPr>
          <w:noProof/>
        </w:rPr>
        <w:t xml:space="preserve">(Baum </w:t>
      </w:r>
      <w:r w:rsidR="003A2091" w:rsidRPr="003A2091">
        <w:rPr>
          <w:i/>
          <w:noProof/>
        </w:rPr>
        <w:t>et al.</w:t>
      </w:r>
      <w:r w:rsidR="003A2091" w:rsidRPr="003A2091">
        <w:rPr>
          <w:noProof/>
        </w:rPr>
        <w:t xml:space="preserve">, 2007; Mao </w:t>
      </w:r>
      <w:r w:rsidR="003A2091" w:rsidRPr="003A2091">
        <w:rPr>
          <w:i/>
          <w:noProof/>
        </w:rPr>
        <w:t>et al.</w:t>
      </w:r>
      <w:r w:rsidR="003A2091" w:rsidRPr="003A2091">
        <w:rPr>
          <w:noProof/>
        </w:rPr>
        <w:t>, 2007; San Miguel and Scott, 2015)</w:t>
      </w:r>
      <w:r w:rsidR="005C0E76">
        <w:fldChar w:fldCharType="end"/>
      </w:r>
      <w:r w:rsidR="00561E2C">
        <w:t xml:space="preserve"> which has the additional benefit of preventing insects reaching sexual maturity and thus limits the wider population of the species.</w:t>
      </w:r>
    </w:p>
    <w:p w:rsidR="005774EA" w:rsidRPr="00877390" w:rsidRDefault="00561E2C" w:rsidP="000441D9">
      <w:pPr>
        <w:spacing w:line="360" w:lineRule="auto"/>
        <w:ind w:firstLine="284"/>
      </w:pPr>
      <w:r>
        <w:t xml:space="preserve">By further restricting the criteria for insecticidal dsRNA target regions to regions of the target </w:t>
      </w:r>
      <w:r w:rsidR="00E42CDC">
        <w:t>mRNA</w:t>
      </w:r>
      <w:r>
        <w:t xml:space="preserve"> that have low sequence homology to the </w:t>
      </w:r>
      <w:r w:rsidR="00760B51">
        <w:t xml:space="preserve">equivalent </w:t>
      </w:r>
      <w:r>
        <w:t>gene – or indeed, any other gene – in other species, the dsRNA</w:t>
      </w:r>
      <w:r w:rsidR="00754AD5">
        <w:t xml:space="preserve"> based biocontrol</w:t>
      </w:r>
      <w:r>
        <w:t xml:space="preserve"> can be </w:t>
      </w:r>
      <w:r w:rsidR="005774EA">
        <w:t>highly selective</w:t>
      </w:r>
      <w:r w:rsidR="003A2091">
        <w:t xml:space="preserve"> </w:t>
      </w:r>
      <w:r w:rsidR="005C0E76">
        <w:fldChar w:fldCharType="begin" w:fldLock="1"/>
      </w:r>
      <w:r w:rsidR="00BE6071">
        <w:instrText>ADDIN CSL_CITATION {"citationItems":[{"id":"ITEM-1","itemData":{"DOI":"10.1016/j.ibmb.2009.09.007","ISBN":"1879-0240 (Electronic)\\r0965-1748 (Linking)","ISSN":"09651748","PMID":"19815067","abstract":"A serious shortcoming of many insecticides is that they can kill non-target species. To address this issue, we harnessed the sequence specificity of RNA interference (RNAi) to design orally-delivered double-stranded (ds) RNAs that selectively killed target species. Fruit flies (Drosophila melanogaster), flour beetles (Tribolium castaneum), pea aphids (Acyrthosiphon pisum), and tobacco hornworms (Manduca sexta) were selectively killed when fed species-specific dsRNA targeting vATPase transcripts. We also demonstrate that even closely related species can be selectively killed by feeding on dsRNAs that target the more variable regions of genes, such as the 3??? untranslated regions (UTRs): four species of the genus Drosophila were selectively killed by feeding on short (&lt;40??nt) dsRNAs that targeted the 3??? UTR of the ??-tubulin gene. For the aphid nymphs and beetle and moth larvae, dsRNA could simply be dissolved into their diets, but to induce RNAi in the drosophilid species, the dsRNAs needed to be encapsulated in liposomes to help facilitate uptake of the dsRNA. This is the first demonstration of RNAi following ingestion of dsRNA in all of the species tested, and the method offers promise of both higher throughput RNAi screens and the development of a new generation of species-specific insecticides. ?? 2009 Elsevier Ltd. All rights reserved.","author":[{"dropping-particle":"","family":"Whyard","given":"Steven","non-dropping-particle":"","parse-names":false,"suffix":""},{"dropping-particle":"","family":"Singh","given":"Aditi D.","non-dropping-particle":"","parse-names":false,"suffix":""},{"dropping-particle":"","family":"Wong","given":"Sylvia","non-dropping-particle":"","parse-names":false,"suffix":""}],"container-title":"Insect Biochemistry and Molecular Biology","id":"ITEM-1","issue":"11","issued":{"date-parts":[["2009"]]},"page":"824-832","publisher":"Elsevier Ltd","title":"Ingested double-stranded RNAs can act as species-specific insecticides","type":"article-journal","volume":"39"},"uris":["http://www.mendeley.com/documents/?uuid=ac5458db-fc7e-4c32-a34e-0fc4e6b9a96e"]}],"mendeley":{"formattedCitation":"(Whyard, Singh and Wong, 2009)","plainTextFormattedCitation":"(Whyard, Singh and Wong, 2009)","previouslyFormattedCitation":"(Whyard, Singh and Wong, 2009)"},"properties":{"noteIndex":0},"schema":"https://github.com/citation-style-language/schema/raw/master/csl-citation.json"}</w:instrText>
      </w:r>
      <w:r w:rsidR="005C0E76">
        <w:fldChar w:fldCharType="separate"/>
      </w:r>
      <w:r w:rsidR="003A2091" w:rsidRPr="003A2091">
        <w:rPr>
          <w:noProof/>
        </w:rPr>
        <w:t>(Whyard, Singh and Wong, 2009)</w:t>
      </w:r>
      <w:r w:rsidR="005C0E76">
        <w:fldChar w:fldCharType="end"/>
      </w:r>
      <w:r>
        <w:t>.</w:t>
      </w:r>
      <w:r w:rsidR="005774EA">
        <w:t xml:space="preserve"> </w:t>
      </w:r>
      <w:r w:rsidR="005774EA" w:rsidRPr="00877390">
        <w:t>Previously published results have demonstrated reduced susceptibility of southern corn rootworm and Colorado potato beetle</w:t>
      </w:r>
      <w:r w:rsidR="00877390" w:rsidRPr="00877390">
        <w:t xml:space="preserve"> to a dsRNA based biocontrol targeting western corn rootworm</w:t>
      </w:r>
      <w:r w:rsidR="005774EA" w:rsidRPr="00877390">
        <w:t xml:space="preserve"> </w:t>
      </w:r>
      <w:r w:rsidR="005C0E76" w:rsidRPr="00877390">
        <w:fldChar w:fldCharType="begin" w:fldLock="1"/>
      </w:r>
      <w:r w:rsidR="00877390">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interference","type":"article-journal","volume":"25"},"uris":["http://www.mendeley.com/documents/?uuid=f36b1865-baf2-4cfb-bf8c-3a0a3c4b563c"]}],"mendeley":{"formattedCitation":"(Baum &lt;i&gt;et al.&lt;/i&gt;, 2007)","plainTextFormattedCitation":"(Baum et al., 2007)","previouslyFormattedCitation":"(Baum &lt;i&gt;et al.&lt;/i&gt;, 2007)"},"properties":{"noteIndex":0},"schema":"https://github.com/citation-style-language/schema/raw/master/csl-citation.json"}</w:instrText>
      </w:r>
      <w:r w:rsidR="005C0E76" w:rsidRPr="00877390">
        <w:fldChar w:fldCharType="separate"/>
      </w:r>
      <w:r w:rsidR="00877390" w:rsidRPr="00877390">
        <w:rPr>
          <w:noProof/>
        </w:rPr>
        <w:t xml:space="preserve">(Baum </w:t>
      </w:r>
      <w:r w:rsidR="00877390" w:rsidRPr="00877390">
        <w:rPr>
          <w:i/>
          <w:noProof/>
        </w:rPr>
        <w:t>et al.</w:t>
      </w:r>
      <w:r w:rsidR="00877390" w:rsidRPr="00877390">
        <w:rPr>
          <w:noProof/>
        </w:rPr>
        <w:t>, 2007)</w:t>
      </w:r>
      <w:r w:rsidR="005C0E76" w:rsidRPr="00877390">
        <w:fldChar w:fldCharType="end"/>
      </w:r>
      <w:r w:rsidR="00877390" w:rsidRPr="00877390">
        <w:t>.</w:t>
      </w:r>
    </w:p>
    <w:p w:rsidR="009E3F2C" w:rsidRPr="007E426A" w:rsidRDefault="00DD5773" w:rsidP="000441D9">
      <w:pPr>
        <w:spacing w:line="360" w:lineRule="auto"/>
        <w:ind w:firstLine="284"/>
      </w:pPr>
      <w:r>
        <w:t xml:space="preserve"> </w:t>
      </w:r>
    </w:p>
    <w:p w:rsidR="00AD1DE4" w:rsidRDefault="00AD1DE4" w:rsidP="000441D9">
      <w:pPr>
        <w:pStyle w:val="Heading3"/>
        <w:spacing w:line="360" w:lineRule="auto"/>
      </w:pPr>
      <w:bookmarkStart w:id="13" w:name="_Toc35333915"/>
      <w:r>
        <w:t>Applications of RNAi</w:t>
      </w:r>
      <w:r w:rsidR="00BD78E9">
        <w:t xml:space="preserve"> triggers</w:t>
      </w:r>
      <w:r>
        <w:t xml:space="preserve"> in biological science</w:t>
      </w:r>
      <w:bookmarkEnd w:id="13"/>
    </w:p>
    <w:p w:rsidR="00E46AF1" w:rsidRPr="00D6722B" w:rsidRDefault="00E46AF1" w:rsidP="000441D9">
      <w:pPr>
        <w:spacing w:line="360" w:lineRule="auto"/>
        <w:ind w:firstLine="284"/>
      </w:pPr>
      <w:r w:rsidRPr="00D6722B">
        <w:t xml:space="preserve">The aim of this project is the use of </w:t>
      </w:r>
      <w:r w:rsidR="009D04C4" w:rsidRPr="00D6722B">
        <w:t>dsRNA</w:t>
      </w:r>
      <w:r w:rsidRPr="00D6722B">
        <w:t xml:space="preserve"> </w:t>
      </w:r>
      <w:r w:rsidR="009D04C4" w:rsidRPr="00D6722B">
        <w:t xml:space="preserve">used to trigger RNAi, </w:t>
      </w:r>
      <w:r w:rsidRPr="00D6722B">
        <w:t xml:space="preserve">as a </w:t>
      </w:r>
      <w:r w:rsidR="009D04C4" w:rsidRPr="00D6722B">
        <w:t>highly selective</w:t>
      </w:r>
      <w:r w:rsidRPr="00D6722B">
        <w:t xml:space="preserve"> alternative to</w:t>
      </w:r>
      <w:r w:rsidR="009D04C4" w:rsidRPr="00D6722B">
        <w:t xml:space="preserve"> chemical</w:t>
      </w:r>
      <w:r w:rsidRPr="00D6722B">
        <w:t xml:space="preserve"> pesticides, however the </w:t>
      </w:r>
      <w:r w:rsidR="009D04C4" w:rsidRPr="00D6722B">
        <w:t>triggering</w:t>
      </w:r>
      <w:r w:rsidRPr="00D6722B">
        <w:t xml:space="preserve"> of RNAi for other applications such as functional genomics and as a therapeutic method, and the research that has been undertaken in these areas, may provide important clues as to how to overcome the challenges that stand between the current positi</w:t>
      </w:r>
      <w:r w:rsidR="009D04C4" w:rsidRPr="00D6722B">
        <w:t>on of research, and putting RNA</w:t>
      </w:r>
      <w:r w:rsidRPr="00D6722B">
        <w:t>-based pesticides in to practice.</w:t>
      </w:r>
    </w:p>
    <w:p w:rsidR="00253001" w:rsidRPr="00253001" w:rsidRDefault="00253001" w:rsidP="000441D9">
      <w:pPr>
        <w:pStyle w:val="ListParagraph"/>
        <w:spacing w:line="360" w:lineRule="auto"/>
      </w:pPr>
    </w:p>
    <w:p w:rsidR="00253001" w:rsidRDefault="00253001" w:rsidP="000441D9">
      <w:pPr>
        <w:pStyle w:val="Heading4"/>
        <w:spacing w:line="360" w:lineRule="auto"/>
      </w:pPr>
      <w:bookmarkStart w:id="14" w:name="_Toc35333916"/>
      <w:r>
        <w:t>Application of</w:t>
      </w:r>
      <w:r w:rsidR="009D04C4">
        <w:t xml:space="preserve"> triggering</w:t>
      </w:r>
      <w:r>
        <w:t xml:space="preserve"> RNAi as a functional genomics tool</w:t>
      </w:r>
      <w:bookmarkEnd w:id="14"/>
    </w:p>
    <w:p w:rsidR="00E46AF1" w:rsidRPr="00D6722B" w:rsidRDefault="00E46AF1" w:rsidP="000441D9">
      <w:pPr>
        <w:spacing w:line="360" w:lineRule="auto"/>
        <w:ind w:firstLine="284"/>
      </w:pPr>
      <w:r w:rsidRPr="00D6722B">
        <w:t>The first major application of RNAi was as a tool for determining gene function, by knocking down a</w:t>
      </w:r>
      <w:r w:rsidR="009D04C4" w:rsidRPr="00D6722B">
        <w:t>n</w:t>
      </w:r>
      <w:r w:rsidRPr="00D6722B">
        <w:t xml:space="preserve"> </w:t>
      </w:r>
      <w:r w:rsidR="009D04C4" w:rsidRPr="00D6722B">
        <w:t>mRNA</w:t>
      </w:r>
      <w:r w:rsidRPr="00D6722B">
        <w:t xml:space="preserve"> in a model organism and observing the resulting phenotype in order to determine the function of the gene. This process has been more or less fully completed for both </w:t>
      </w:r>
      <w:r w:rsidRPr="00D6722B">
        <w:rPr>
          <w:i/>
        </w:rPr>
        <w:t>C. elegans</w:t>
      </w:r>
      <w:r w:rsidRPr="00D6722B">
        <w:t xml:space="preserve"> and 12 major species of </w:t>
      </w:r>
      <w:r w:rsidRPr="00D6722B">
        <w:rPr>
          <w:i/>
        </w:rPr>
        <w:t>Drosophila</w:t>
      </w:r>
      <w:r w:rsidRPr="00D6722B">
        <w:t xml:space="preserve">; the roughly 20,000 protein coding genes of </w:t>
      </w:r>
      <w:r w:rsidRPr="00D6722B">
        <w:rPr>
          <w:i/>
        </w:rPr>
        <w:t>C. elegans</w:t>
      </w:r>
      <w:r w:rsidRPr="00D6722B">
        <w:t xml:space="preserve"> have been probed by RNAi, as has every known Drosophila gene, with around 10-25% of knockdowns having an obvious phenotype, with the function of others being revealed by searching for genes relating to particular systems </w:t>
      </w:r>
      <w:r w:rsidR="005C0E76" w:rsidRPr="00D6722B">
        <w:fldChar w:fldCharType="begin" w:fldLock="1"/>
      </w:r>
      <w:r w:rsidRPr="00D6722B">
        <w:instrText>ADDIN CSL_CITATION {"citationItems":[{"id":"ITEM-1","itemData":{"author":[{"dropping-particle":"","family":"Russell","given":"P.J.","non-dropping-particle":"","parse-names":false,"suffix":""}],"edition":"Third Edition","id":"ITEM-1","issued":{"date-parts":[["2010"]]},"publisher":"Benjamin Cummings","publisher-place":"San Francisco","title":"iGenetics: A Molecular Approach","type":"book"},"uris":["http://www.mendeley.com/documents/?uuid=6f0d9ea7-f616-325e-abab-4887b4736427"]}],"mendeley":{"formattedCitation":"(Russell, 2010)","plainTextFormattedCitation":"(Russell, 2010)","previouslyFormattedCitation":"(Russell, 2010)"},"properties":{"noteIndex":0},"schema":"https://github.com/citation-style-language/schema/raw/master/csl-citation.json"}</w:instrText>
      </w:r>
      <w:r w:rsidR="005C0E76" w:rsidRPr="00D6722B">
        <w:fldChar w:fldCharType="separate"/>
      </w:r>
      <w:r w:rsidRPr="00D6722B">
        <w:rPr>
          <w:noProof/>
        </w:rPr>
        <w:t>(Russell, 2010)</w:t>
      </w:r>
      <w:r w:rsidR="005C0E76" w:rsidRPr="00D6722B">
        <w:fldChar w:fldCharType="end"/>
      </w:r>
      <w:r w:rsidRPr="00D6722B">
        <w:t xml:space="preserve">. </w:t>
      </w:r>
    </w:p>
    <w:p w:rsidR="00E46AF1" w:rsidRPr="00D6722B" w:rsidRDefault="00E46AF1" w:rsidP="000441D9">
      <w:pPr>
        <w:spacing w:line="360" w:lineRule="auto"/>
        <w:ind w:firstLine="284"/>
      </w:pPr>
      <w:r w:rsidRPr="00D6722B">
        <w:t xml:space="preserve">The same process is now being conducted to characterise gene function in organisms with few existing genetic tools in order to probe their possible use as future model organisms </w:t>
      </w:r>
      <w:r w:rsidR="005C0E76" w:rsidRPr="00D6722B">
        <w:fldChar w:fldCharType="begin" w:fldLock="1"/>
      </w:r>
      <w:r w:rsidRPr="00D6722B">
        <w:instrText>ADDIN CSL_CITATION {"citationItems":[{"id":"ITEM-1","itemData":{"DOI":"10.1101/cshperspect.a003640","ISBN":"1943-0264 (Electronic)","ISSN":"19430264","PMID":"20534712","abstract":"RNA interference (RNAi) provides a powerful reverse genetics approach to analyze gene functions both in tissue culture and in vivo. Because of its widespread applicability and effectiveness it has become an essential part of the tool box kits of model organisms such as Caenorhabditis elegans, Drosophila, and the mouse. In addition, the use of RNAi in animals in which genetic tools are either poorly developed or nonexistent enables a myriad of fundamental questions to be asked. Here, we review the methods and applications of in vivo RNAi to characterize gene functions in model organisms and discuss their impact to the study of developmental as well as evolutionary questions. Further, we discuss the applications of RNAi technologies to crop improvement, pest control and RNAi therapeutics, thus providing an appreciation of the potential for phenomenal applications of RNAi to agriculture and medicine.","author":[{"dropping-particle":"","family":"Perrimon","given":"Norbert","non-dropping-particle":"","parse-names":false,"suffix":""},{"dropping-particle":"","family":"Ni","given":"Jian Quan","non-dropping-particle":"","parse-names":false,"suffix":""},{"dropping-particle":"","family":"Perkins","given":"Lizabeth","non-dropping-particle":"","parse-names":false,"suffix":""}],"container-title":"Cold Spring Harbor perspectives in biology","id":"ITEM-1","issue":"8","issued":{"date-parts":[["2010"]]},"page":"1-11","title":"In vivo RNAi: today and tomorrow.","type":"article-journal","volume":"2"},"uris":["http://www.mendeley.com/documents/?uuid=3e0b68c2-7f2a-40cb-9be0-36487f0544f2"]}],"mendeley":{"formattedCitation":"(Perrimon, Ni and Perkins, 2010)","plainTextFormattedCitation":"(Perrimon, Ni and Perkins, 2010)","previouslyFormattedCitation":"(Perrimon, Ni and Perkins, 2010)"},"properties":{"noteIndex":0},"schema":"https://github.com/citation-style-language/schema/raw/master/csl-citation.json"}</w:instrText>
      </w:r>
      <w:r w:rsidR="005C0E76" w:rsidRPr="00D6722B">
        <w:fldChar w:fldCharType="separate"/>
      </w:r>
      <w:r w:rsidRPr="00D6722B">
        <w:rPr>
          <w:noProof/>
        </w:rPr>
        <w:t>(Perrimon, Ni and Perkins, 2010)</w:t>
      </w:r>
      <w:r w:rsidR="005C0E76" w:rsidRPr="00D6722B">
        <w:fldChar w:fldCharType="end"/>
      </w:r>
      <w:r w:rsidRPr="00D6722B">
        <w:t xml:space="preserve"> and to study alternative developmental systems such as the anterior-posterior patterning of the long germ band patterned wasp </w:t>
      </w:r>
      <w:r w:rsidRPr="00D6722B">
        <w:rPr>
          <w:i/>
        </w:rPr>
        <w:t>Nasonia vitripennis</w:t>
      </w:r>
      <w:r w:rsidRPr="00D6722B">
        <w:t xml:space="preserve"> compared to the short germ band patterned </w:t>
      </w:r>
      <w:r w:rsidRPr="00D6722B">
        <w:rPr>
          <w:i/>
        </w:rPr>
        <w:t>Drosophila</w:t>
      </w:r>
      <w:r w:rsidRPr="00D6722B">
        <w:t xml:space="preserve"> </w:t>
      </w:r>
      <w:r w:rsidR="005C0E76" w:rsidRPr="00D6722B">
        <w:fldChar w:fldCharType="begin" w:fldLock="1"/>
      </w:r>
      <w:r w:rsidRPr="00D6722B">
        <w:instrText>ADDIN CSL_CITATION {"citationItems":[{"id":"ITEM-1","itemData":{"DOI":"10.1038/nprot.2006.70","ISSN":"1754-2189","PMID":"17406271","abstract":"The wasp Nasonia vitripennis is emerging as a useful model organism in which to address a variety of biological questions, due, in part, to its ease of laboratory use, unique aspects of its biology and the sequencing of its genome. In order to take full advantage of the potential of this organism, methods for manipulating gene function are needed. To this end, a protocol for parental RNA interference (pRNAi) in N. vitripennis is described. pRNAi entails injecting pupae with double-stranded RNA, allowing the injected wasps to eclose and examining the progeny for developmental defects. This basic protocol is described in the context of the life cycle of N. vitripennis. This technique has been useful in elucidating the function of most, although not all, genes tested to date, and has potential applications beyond embryonic patterning. pRNAi experiments in Nasonia can be completed in as little as 2 weeks.","author":[{"dropping-particle":"","family":"Lynch","given":"Jeremy A","non-dropping-particle":"","parse-names":false,"suffix":""},{"dropping-particle":"","family":"Desplan","given":"Claude","non-dropping-particle":"","parse-names":false,"suffix":""}],"container-title":"Nature Protocols","id":"ITEM-1","issue":"1","issued":{"date-parts":[["2006","6","27"]]},"page":"486-494","title":"A method for parental RNA interference in the wasp Nasonia vitripennis","type":"article-journal","volume":"1"},"uris":["http://www.mendeley.com/documents/?uuid=fd451409-b64c-3fe3-9844-4466061afa01"]}],"mendeley":{"formattedCitation":"(Lynch and Desplan, 2006)","plainTextFormattedCitation":"(Lynch and Desplan, 2006)","previouslyFormattedCitation":"(Lynch and Desplan, 2006)"},"properties":{"noteIndex":0},"schema":"https://github.com/citation-style-language/schema/raw/master/csl-citation.json"}</w:instrText>
      </w:r>
      <w:r w:rsidR="005C0E76" w:rsidRPr="00D6722B">
        <w:fldChar w:fldCharType="separate"/>
      </w:r>
      <w:r w:rsidRPr="00D6722B">
        <w:rPr>
          <w:noProof/>
        </w:rPr>
        <w:t>(Lynch and Desplan, 2006)</w:t>
      </w:r>
      <w:r w:rsidR="005C0E76" w:rsidRPr="00D6722B">
        <w:fldChar w:fldCharType="end"/>
      </w:r>
      <w:r w:rsidRPr="00D6722B">
        <w:t xml:space="preserve">. siRNA knockouts are now routinely used in a </w:t>
      </w:r>
      <w:r w:rsidRPr="00D6722B">
        <w:lastRenderedPageBreak/>
        <w:t xml:space="preserve">variety of organisms in the fields of molecular biology, cell biology and genetics, to study the function of pathway components </w:t>
      </w:r>
      <w:r w:rsidR="005C0E76" w:rsidRPr="00D6722B">
        <w:fldChar w:fldCharType="begin" w:fldLock="1"/>
      </w:r>
      <w:r w:rsidR="00ED1BE5" w:rsidRPr="00D6722B">
        <w:instrText>ADDIN CSL_CITATION {"citationItems":[{"id":"ITEM-1","itemData":{"DOI":"10.1038/nature03869","ISSN":"1476-4687","PMID":"16094372","abstract":"Signalling pathways mediating the transduction of information between cells are essential for development, cellular differentiation and homeostasis. Their dysregulation is also frequently associated with human malignancies. The Janus tyrosine kinase/signal transducer and activator of transcription (JAK/STAT) pathway represents one such signalling cascade whose evolutionarily conserved roles include cell proliferation and haematopoiesis. Here we describe a systematic genome-wide survey for genes required for JAK/STAT pathway activity. Analysis of 20,026 RNA interference (RNAi)-induced phenotypes in cultured Drosophila melanogaster haemocyte-like cells identified interacting genes encoding 4 known and 86 previously uncharacterized proteins. Subsequently, cell-based epistasis experiments were used to classify these proteins on the basis of their interaction with known components of the signalling cascade. In addition to multiple human disease gene homologues, we have found the tyrosine phosphatase Ptp61F and the Drosophila homologue of BRWD3, a bromo-domain-containing protein disrupted in leukaemia. Moreover, in vivo analysis demonstrates that disrupted dBRWD3 and overexpressed Ptp61F function as suppressors of leukaemia-like blood cell tumours. This screen represents a comprehensive identification of novel loci required for JAK/STAT signalling and provides molecular insights into an important pathway relevant for human cancer. Human homologues of identified pathway modifiers may constitute targets for therapeutic interventions.","author":[{"dropping-particle":"","family":"Müller","given":"Patrick","non-dropping-particle":"","parse-names":false,"suffix":""},{"dropping-particle":"","family":"Kuttenkeuler","given":"David","non-dropping-particle":"","parse-names":false,"suffix":""},{"dropping-particle":"","family":"Gesellchen","given":"Viola","non-dropping-particle":"","parse-names":false,"suffix":""},{"dropping-particle":"","family":"Zeidler","given":"Martin P","non-dropping-particle":"","parse-names":false,"suffix":""},{"dropping-particle":"","family":"Boutros","given":"Michael","non-dropping-particle":"","parse-names":false,"suffix":""}],"container-title":"Nature","id":"ITEM-1","issue":"7052","issued":{"date-parts":[["2005","8","11"]]},"page":"871-5","title":"Identification of JAK/STAT signalling components by genome-wide RNA interference.","type":"article-journal","volume":"436"},"uris":["http://www.mendeley.com/documents/?uuid=ae70b067-06e7-3812-9df6-5a3b4e1b9578"]},{"id":"ITEM-2","itemData":{"DOI":"10.1091/mbc.E15-07-0467","ISSN":"1059-1524","PMID":"26912791","abstract":"Cell based RNAi is a powerful approach to screen for modulators of many cellular processes. However, resulting candidate gene lists from cell-based assays comprise diverse effectors, both direct and indirect, and further dissecting their functions can be challenging. Here, we screened a genome-wide RNAi library for modulators of mitosis and cytokinesis in Drosophila S2 cells. The screen identified many previously known genes as well as modulators that have previously not been connected to cell cycle control. We then characterized ~300 candidate modifiers further by genetic interaction analysis using double RNAi and a multiparametric, imaging-based assay. We found that analyzing cell-cycle relevant phenotypes increased the sensitivity for associating novel gene function. Genetic interaction maps based on mitotic index and nuclear size grouped candidates into known regulatory complexes of mitosis or cytokinesis, respectively, and predicted previously uncharacterized components of known processes. For example, we confirmed a role for the Drosophila CCR4 mRNA processing complex component l(2)NC136 during the mitotic exit. Our results show that the combination of genome-scale RNAi screening and genetic interaction analysis using process-directed phenotypes provides a powerful two-step approach to assign components to specific pathways and complexes.","author":[{"dropping-particle":"","family":"Billmann","given":"M.","non-dropping-particle":"","parse-names":false,"suffix":""},{"dropping-particle":"","family":"Horn","given":"T.","non-dropping-particle":"","parse-names":false,"suffix":""},{"dropping-particle":"","family":"Fischer","given":"B.","non-dropping-particle":"","parse-names":false,"suffix":""},{"dropping-particle":"","family":"Sandmann","given":"T.","non-dropping-particle":"","parse-names":false,"suffix":""},{"dropping-particle":"","family":"Huber","given":"W.","non-dropping-particle":"","parse-names":false,"suffix":""},{"dropping-particle":"","family":"Boutros","given":"M.","non-dropping-particle":"","parse-names":false,"suffix":""}],"container-title":"Molecular Biology of the Cell","id":"ITEM-2","issue":"8","issued":{"date-parts":[["2016"]]},"page":"1397-1407","title":"A genetic interaction map of cell cycle regulators","type":"article-journal","volume":"27"},"uris":["http://www.mendeley.com/documents/?uuid=b85765f9-3a6a-44c4-9e2d-5b129b30e843"]},{"id":"ITEM-3","itemData":{"DOI":"10.1038/ncb1439","ISSN":"1465-7392","PMID":"16862146","abstract":"Many metazoan cells can take up exogenous double-stranded (ds) RNA and use it to initiate an RNA silencing response, however, the mechanism for this uptake is ill-defined. Here, we identify the pathway for dsRNA uptake in Drosophila melanogaster S2 cells. Biochemical and cell biological analyses, and a genome-wide screen for components of the dsRNA-uptake machinery, indicated that dsRNA is taken up by an active process involving receptor-mediated endocytosis. Pharmacological inhibition of endocytic pathways disrupted exogenous dsRNA entry and the induction of gene silencing. This dsRNA uptake mechanism seems to be evolutionarily conserved, as knockdown of orthologues in Caenorhabditis elegans inactivated the RNA interference response in worms. Thus, this entry pathway is required for systemic RNA silencing in whole organisms. In Drosophila cells, pharmacological evidence suggests that dsRNA entry is mediated by pattern-recognition receptors. The possible role of these receptors in dsRNA entry may link RNA interference (RNAi) silencing to other innate immune responses.","author":[{"dropping-particle":"","family":"Saleh","given":"Maria-Carla","non-dropping-particle":"","parse-names":false,"suffix":""},{"dropping-particle":"","family":"Rij","given":"Ronald P.","non-dropping-particle":"van","parse-names":false,"suffix":""},{"dropping-particle":"","family":"Hekele","given":"Armin","non-dropping-particle":"","parse-names":false,"suffix":""},{"dropping-particle":"","family":"Gillis","given":"Amethyst","non-dropping-particle":"","parse-names":false,"suffix":""},{"dropping-particle":"","family":"Foley","given":"Edan","non-dropping-particle":"","parse-names":false,"suffix":""},{"dropping-particle":"","family":"O'Farrell","given":"Patrick H.","non-dropping-particle":"","parse-names":false,"suffix":""},{"dropping-particle":"","family":"Andino","given":"Raul","non-dropping-particle":"","parse-names":false,"suffix":""}],"container-title":"Nature Cell Biology","id":"ITEM-3","issue":"8","issued":{"date-parts":[["2006","8","23"]]},"page":"793-802","title":"The endocytic pathway mediates cell entry of dsRNA to induce RNAi silencing","type":"article-journal","volume":"8"},"uris":["http://www.mendeley.com/documents/?uuid=c58f09d2-6650-3ba8-ab22-34a5b55bb9ac"]},{"id":"ITEM-4","itemData":{"DOI":"10.1083/jcb.200910105","ISSN":"0021-9525","author":[{"dropping-particle":"","family":"Conrad","given":"C.","non-dropping-particle":"","parse-names":false,"suffix":""},{"dropping-particle":"","family":"Gerlich","given":"D. W.","non-dropping-particle":"","parse-names":false,"suffix":""}],"container-title":"The Journal of Cell Biology","id":"ITEM-4","issue":"4","issued":{"date-parts":[["2010"]]},"page":"453-461","title":"Automated microscopy for high-content RNAi screening","type":"article-journal","volume":"188"},"uris":["http://www.mendeley.com/documents/?uuid=2a92cb07-d71d-4b2f-9db9-e18c6d44b208"]},{"id":"ITEM-5","itemData":{"DOI":"10.1038/ncomms10368","ISSN":"20411723","PMID":"26758424","abstract":"Libraries of transgenic Drosophila melanogaster carrying RNA interference (RNAi) constructs have been used extensively to perform large-scale functional genetic screens in vivo. For example, RNAi screens have facilitated the discovery of multiple components of the Hippo pathway, an evolutionarily conserved growth-regulatory network. Here we investigate an important technical limitation with the widely used VDRC KK RNAi collection. We find that approximately 25% of VDRC KK RNAi lines cause false-positive enhancement of the Hippo pathway, owing to ectopic expression of the Tiptop transcription factor. Of relevance to the broader Drosophila community, ectopic tiptop (tio) expression can also cause organ malformations and mask phenotypes such as organ overgrowth. To enhance the use of the VDRC KK RNAi library, we have generated a D. melanogaster strain that will allow researchers to test, in a single cross, whether their genetic screen of interest will be affected by ectopic tio expression.","author":[{"dropping-particle":"","family":"Vissers","given":"Joseph H.A.","non-dropping-particle":"","parse-names":false,"suffix":""},{"dropping-particle":"","family":"Manning","given":"Samuel A.","non-dropping-particle":"","parse-names":false,"suffix":""},{"dropping-particle":"","family":"Kulkarni","given":"Aishwarya","non-dropping-particle":"","parse-names":false,"suffix":""},{"dropping-particle":"","family":"Harvey","given":"Kieran F.","non-dropping-particle":"","parse-names":false,"suffix":""}],"container-title":"Nature Communications","id":"ITEM-5","issued":{"date-parts":[["2016"]]},"page":"1-6","publisher":"Nature Publishing Group","title":"A Drosophila RNAi library modulates Hippo pathway-dependent tissue growth","type":"article-journal","volume":"7"},"uris":["http://www.mendeley.com/documents/?uuid=a14ec914-c373-4b7b-83ac-aba07b875d4a"]},{"id":"ITEM-6","itemData":{"DOI":"10.1038/nmeth876","ISBN":"1548-7091 (Print)\\n1548-7091 (Linking)","ISSN":"1548-7091","PMID":"16628209","abstract":"RNA interference (RNAi) is a powerful tool to study gene function in cultured cells. Transfected cell microarrays in principle allow high-throughput phenotypic analysis after gene knockdown by microscopy. But bottlenecks in imaging and data analysis have limited such high-content screens to endpoint assays in fixed cells and determination of global parameters such as viability. Here we have overcome these limitations and developed an automated platform for high-content RNAi screening by time-lapse fluorescence microscopy of live HeLa cells expressing histone-GFP to report on chromosome segregation and structure. We automated all steps, including printing transfection-ready small interfering RNA (siRNA) microarrays, fluorescence imaging and computational phenotyping of digital images, in a high-throughput workflow. We validated this method in a pilot screen assaying cell division and delivered a sensitive, time-resolved phenoprint for each of the 49 endogenous genes we suppressed. This modular platform is scalable and makes the power of time-lapse microscopy available for genome-wide RNAi screens.","author":[{"dropping-particle":"","family":"Neumann","given":"Beate","non-dropping-particle":"","parse-names":false,"suffix":""},{"dropping-particle":"","family":"Held","given":"Michael","non-dropping-particle":"","parse-names":false,"suffix":""},{"dropping-particle":"","family":"Liebel","given":"Urban","non-dropping-particle":"","parse-names":false,"suffix":""},{"dropping-particle":"","family":"Erfle","given":"Holger","non-dropping-particle":"","parse-names":false,"suffix":""},{"dropping-particle":"","family":"Rogers","given":"Phill","non-dropping-particle":"","parse-names":false,"suffix":""},{"dropping-particle":"","family":"Pepperkok","given":"Rainer","non-dropping-particle":"","parse-names":false,"suffix":""},{"dropping-particle":"","family":"Ellenberg","given":"Jan","non-dropping-particle":"","parse-names":false,"suffix":""}],"container-title":"Nature methods","id":"ITEM-6","issue":"5","issued":{"date-parts":[["2006"]]},"page":"385-90","title":"High-throughput RNAi screening by time-lapse imaging of live human cells.","type":"article-journal","volume":"3"},"uris":["http://www.mendeley.com/documents/?uuid=9edef5e3-3657-49ce-a22c-a3d8e4855621"]},{"id":"ITEM-7","itemData":{"DOI":"10.1038/ncomms10368","ISBN":"2162-3988 (Print)\\r2162-3988","ISSN":"0032-0889","PMID":"16869968","abstract":"Plants as sessile organisms have developed prompt response mechanisms to react to rapid environmental changes. In addition to the transcriptional regulation of gene expression, microRNAs (miRNAs) are key posttranscriptional regulators of the plant stress response. We show here that the expression levels of many miRNAs were regulated under salt stress conditions. This regulation occurred at the transcriptional and posttranscriptional levels. During salinity stress, the levels of miRNA161 and miRNA173 increased, while the expression of pri-miRNA161 and pri-miRNA173 was down-regulated. Under salt stress conditions, miRNA161 and miRNA173 were stabilized in the cytoplasm, and the expressions of MIR161 and MIR173 were negatively regulated in the nucleus. ARGONAUTE1 (AGO1) participated in both processes. We demonstrated that AGO1 cotranscriptionally controlled the expression of MIR161 and MIR173 in the nucleus. Our results suggests that AGO1 interacts with chromatin at MIR161 and MIR173 loci and causes the disassembly of the transcriptional complex, releasing short and unpolyadenylated transcripts.","author":[{"dropping-particle":"","family":"Saleh","given":"Maria-carla","non-dropping-particle":"","parse-names":false,"suffix":""},{"dropping-particle":"Van","family":"Rij","given":"Ronald P","non-dropping-particle":"","parse-names":false,"suffix":""},{"dropping-particle":"","family":"Hekele","given":"Armin","non-dropping-particle":"","parse-names":false,"suffix":""},{"dropping-particle":"","family":"Gillis","given":"Amethyst","non-dropping-particle":"","parse-names":false,"suffix":""},{"dropping-particle":"","family":"Foley","given":"Edan","non-dropping-particle":"","parse-names":false,"suffix":""},{"dropping-particle":"","family":"Farrell","given":"Patrick H O","non-dropping-particle":"","parse-names":false,"suffix":""},{"dropping-particle":"","family":"Andino","given":"Raul","non-dropping-particle":"","parse-names":false,"suffix":""},{"dropping-particle":"","family":"Xu","given":"Na","non-dropping-particle":"","parse-names":false,"suffix":""},{"dropping-particle":"V.","family":"Emelyanov","given":"Alexander","non-dropping-particle":"","parse-names":false,"suffix":""},{"dropping-particle":"V.","family":"Fyodorov","given":"Dmitry","non-dropping-particle":"","parse-names":false,"suffix":""},{"dropping-particle":"","family":"Skoultchi","given":"Arthur I.","non-dropping-particle":"","parse-names":false,"suffix":""},{"dropping-particle":"","family":"Mccarthy","given":"Sean M","non-dropping-particle":"","parse-names":false,"suffix":""},{"dropping-particle":"","family":"Gilar","given":"Martin","non-dropping-particle":"","parse-names":false,"suffix":""},{"dropping-particle":"","family":"Corporation","given":"Waters","non-dropping-particle":"","parse-names":false,"suffix":""},{"dropping-particle":"","family":"Ion","given":"I N T Roduc T","non-dropping-particle":"","parse-names":false,"suffix":""},{"dropping-particle":"","family":"Dolata","given":"Jakub","non-dropping-particle":"","parse-names":false,"suffix":""},{"dropping-particle":"","family":"Bajczyk","given":"Mateusz","non-dropping-particle":"","parse-names":false,"suffix":""},{"dropping-particle":"","family":"Bielewicz","given":"Dawid","non-dropping-particle":"","parse-names":false,"suffix":""},{"dropping-particle":"","family":"Niedojadlo","given":"Katarzyna","non-dropping-particle":"","parse-names":false,"suffix":""},{"dropping-particle":"","family":"Niedojadlo","given":"Janusz","non-dropping-particle":"","parse-names":false,"suffix":""},{"dropping-particle":"","family":"Pietrykowska","given":"Halina","non-dropping-particle":"","parse-names":false,"suffix":""},{"dropping-particle":"","family":"Walczak","given":"Weronika","non-dropping-particle":"","parse-names":false,"suffix":""},{"dropping-particle":"","family":"Szweykowska-Kulinska","given":"Zofia","non-dropping-particle":"","parse-names":false,"suffix":""},{"dropping-particle":"","family":"Jarmolowski","given":"Artur","non-dropping-particle":"","parse-names":false,"suffix":""},{"dropping-particle":"","family":"Wynant","given":"Niels","non-dropping-particle":"","parse-names":false,"suffix":""},{"dropping-particle":"","family":"Duressa","given":"Tewodros F.","non-dropping-particle":"","parse-names":false,"suffix":""},{"dropping-particle":"","family":"Santos","given":"Dulce","non-dropping-particle":"","parse-names":false,"suffix":""},{"dropping-particle":"","family":"Duppen","given":"Joost","non-dropping-particle":"Van","parse-names":false,"suffix":""},{"dropping-particle":"","family":"Proost","given":"Paul","non-dropping-particle":"","parse-names":false,"suffix":""},{"dropping-particle":"","family":"Huybrechts","given":"Roger","non-dropping-particle":"","parse-names":false,"suffix":""},{"dropping-particle":"","family":"Broeck","given":"Jozef","non-dropping-particle":"Vanden","parse-names":false,"suffix":""},{"dropping-particle":"","family":"Silver-Morse","given":"Louise","non-dropping-particle":"","parse-names":false,"suffix":""},{"dropping-particle":"","family":"Li","given":"Willis X","non-dropping-particle":"","parse-names":false,"suffix":""},{"dropping-particle":"","family":"Boutros","given":"Michael","non-dropping-particle":"","parse-names":false,"suffix":""},{"dropping-particle":"","family":"Brás","given":"Lígia P.","non-dropping-particle":"","parse-names":false,"suffix":""},{"dropping-particle":"","family":"Huber","given":"Wolfgang","non-dropping-particle":"","parse-names":false,"suffix":""},{"dropping-particle":"","family":"Vissers","given":"Joseph H.A.","non-dropping-particle":"","parse-names":false,"suffix":""},{"dropping-particle":"","family":"Manning","given":"Samuel A.","non-dropping-particle":"","parse-names":false,"suffix":""},{"dropping-particle":"","family":"Kulkarni","given":"Aishwarya","non-dropping-particle":"","parse-names":false,"suffix":""},{"dropping-particle":"","family":"Harvey","given":"Kieran F.","non-dropping-particle":"","parse-names":false,"suffix":""}],"container-title":"Epigenetics and Chromatin","id":"ITEM-7","issue":"1","issued":{"date-parts":[["2014"]]},"page":"1-6","publisher":"Nature Publishing Group","title":"Analysis of cell-based RNAi screens","type":"article-journal","volume":"7"},"uris":["http://www.mendeley.com/documents/?uuid=460a2b51-8643-471f-89c2-144778057738"]},{"id":"ITEM-8","itemData":{"DOI":"10.1186/1471-2164-13-506","ISBN":"1471-2164","ISSN":"1471-2164","PMID":"23006893","abstract":"BACKGROUND: Genome-scale RNA-interference (RNAi) screens are becoming ever more common gene discovery tools. However, whilst every screen identifies interacting genes, less attention has been given to how factors such as library design and post-screening bioinformatics may be effecting the data generated.\\n\\nRESULTS: Here we present a new genome-wide RNAi screen of the Drosophila JAK/STAT signalling pathway undertaken in the Sheffield RNAi Screening Facility (SRSF). This screen was carried out using a second-generation, computationally optimised dsRNA library and analysed using current methods and bioinformatic tools. To examine advances in RNAi screening technology, we compare this screen to a biologically very similar screen undertaken in 2005 with a first-generation library. Both screens used the same cell line, reporters and experimental design, with the SRSF screen identifying 42 putative regulators of JAK/STAT signalling, 22 of which verified in a secondary screen and 16 verified with an independent probe design. Following reanalysis of the original screen data, comparisons of the two gene lists allows us to make estimates of false discovery rates in the SRSF data and to conduct an assessment of off-target effects (OTEs) associated with both libraries. We discuss the differences and similarities between the resulting data sets and examine the relative improvements in gene discovery protocols.\\n\\nCONCLUSIONS: Our work represents one of the first direct comparisons between first- and second-generation libraries and shows that modern library designs together with methodological advances have had a significant influence on genome-scale RNAi screens.","author":[{"dropping-particle":"","family":"Fisher","given":"Katherine H","non-dropping-particle":"","parse-names":false,"suffix":""},{"dropping-particle":"","family":"Wright","given":"Victoria M","non-dropping-particle":"","parse-names":false,"suffix":""},{"dropping-particle":"","family":"Taylor","given":"Amy","non-dropping-particle":"","parse-names":false,"suffix":""},{"dropping-particle":"","family":"Zeidler","given":"Martin P","non-dropping-particle":"","parse-names":false,"suffix":""},{"dropping-particle":"","family":"Brown","given":"Stephen","non-dropping-particle":"","parse-names":false,"suffix":""}],"container-title":"BMC Genomics","id":"ITEM-8","issue":"1","issued":{"date-parts":[["2012"]]},"page":"506","publisher":"BMC Genomics","title":"Advances in genome-wide RNAi cellular screens: a case study using the Drosophila JAK/STAT pathway","type":"article-journal","volume":"13"},"uris":["http://www.mendeley.com/documents/?uuid=65406636-9b37-4557-8581-892a65b40b20"]},{"id":"ITEM-9","itemData":{"DOI":"10.1186/gb-2010-11-6-r61","ISSN":"1474-760X","PMID":"20550664","abstract":"RNA interference (RNAi) screens have enabled the systematic analysis of many biological processes in cultured cells and whole organisms. The success of such screens and the interpretation of the data depend on the stringent design of RNAi libraries. We describe and validate NEXT-RNAi, a software for the automated design and evaluation of RNAi sequences on a genome-wide scale. NEXT-RNAi is implemented as open-source software and is accessible at http://www.nextrnai.org/.","author":[{"dropping-particle":"","family":"Horn","given":"Thomas","non-dropping-particle":"","parse-names":false,"suffix":""},{"dropping-particle":"","family":"Sandmann","given":"Thomas","non-dropping-particle":"","parse-names":false,"suffix":""},{"dropping-particle":"","family":"Boutros","given":"Michael","non-dropping-particle":"","parse-names":false,"suffix":""}],"container-title":"Genome biology","id":"ITEM-9","issue":"6","issued":{"date-parts":[["2010"]]},"page":"R61","publisher":"BioMed Central","title":"Design and evaluation of genome-wide libraries for RNA interference screens.","type":"article-journal","volume":"11"},"uris":["http://www.mendeley.com/documents/?uuid=6e559b40-7d93-3db5-8a0f-7c7f2ea113c6"]},{"id":"ITEM-10","itemData":{"DOI":"10.1038/nrg2364","ISBN":"1471-0064 (Electronic)\\r1471-0056 (Linking)","ISSN":"14710056","PMID":"18521077","abstract":"The remarkable gene knockdown technique of RNAi has opened exciting new avenues for genetic screens in model organisms and human cells. Here we describe the current state of the art for RNAi screening, and stress the importance of well-designed assays and of analytical approaches for large-scale screening experiments, from high-throughput screens using simplified homogenous assays to microscopy and whole-animal experiments. Like classical genetic screens in the past, the success of large-scale RNAi surveys depends on a careful development of phenotypic assays and their interpretation in a relevant biological context.","author":[{"dropping-particle":"","family":"Boutros","given":"Michael","non-dropping-particle":"","parse-names":false,"suffix":""},{"dropping-particle":"","family":"Ahringer","given":"Julie","non-dropping-particle":"","parse-names":false,"suffix":""}],"container-title":"Nature Reviews Genetics","id":"ITEM-10","issue":"7","issued":{"date-parts":[["2008"]]},"page":"554-566","title":"The art and design of genetic screens: RNA interference","type":"article-journal","volume":"9"},"uris":["http://www.mendeley.com/documents/?uuid=11144db9-17fb-4577-ab7e-e029879eb7ca"]}],"mendeley":{"formattedCitation":"(Müller &lt;i&gt;et al.&lt;/i&gt;, 2005; Neumann &lt;i&gt;et al.&lt;/i&gt;, 2006; Saleh, Ronald P. van Rij, &lt;i&gt;et al.&lt;/i&gt;, 2006; Boutros and Ahringer, 2008; Conrad and Gerlich, 2010; Horn, Sandmann and Boutros, 2010; Fisher &lt;i&gt;et al.&lt;/i&gt;, 2012b; Saleh &lt;i&gt;et al.&lt;/i&gt;, 2014; Billmann &lt;i&gt;et al.&lt;/i&gt;, 2016; Vissers &lt;i&gt;et al.&lt;/i&gt;, 2016)","plainTextFormattedCitation":"(Müller et al., 2005; Neumann et al., 2006; Saleh, Ronald P. van Rij, et al., 2006; Boutros and Ahringer, 2008; Conrad and Gerlich, 2010; Horn, Sandmann and Boutros, 2010; Fisher et al., 2012b; Saleh et al., 2014; Billmann et al., 2016; Vissers et al., 2016)","previouslyFormattedCitation":"(Müller &lt;i&gt;et al.&lt;/i&gt;, 2005; Neumann &lt;i&gt;et al.&lt;/i&gt;, 2006; Saleh, Ronald P. van Rij, &lt;i&gt;et al.&lt;/i&gt;, 2006; Boutros and Ahringer, 2008; Conrad and Gerlich, 2010; Horn, Sandmann and Boutros, 2010; Fisher &lt;i&gt;et al.&lt;/i&gt;, 2012b; Saleh &lt;i&gt;et al.&lt;/i&gt;, 2014; Billmann &lt;i&gt;et al.&lt;/i&gt;, 2016; Vissers &lt;i&gt;et al.&lt;/i&gt;, 2016)"},"properties":{"noteIndex":0},"schema":"https://github.com/citation-style-language/schema/raw/master/csl-citation.json"}</w:instrText>
      </w:r>
      <w:r w:rsidR="005C0E76" w:rsidRPr="00D6722B">
        <w:fldChar w:fldCharType="separate"/>
      </w:r>
      <w:r w:rsidR="00877390" w:rsidRPr="00D6722B">
        <w:rPr>
          <w:noProof/>
        </w:rPr>
        <w:t xml:space="preserve">(Müller </w:t>
      </w:r>
      <w:r w:rsidR="00877390" w:rsidRPr="00D6722B">
        <w:rPr>
          <w:i/>
          <w:noProof/>
        </w:rPr>
        <w:t>et al.</w:t>
      </w:r>
      <w:r w:rsidR="00877390" w:rsidRPr="00D6722B">
        <w:rPr>
          <w:noProof/>
        </w:rPr>
        <w:t xml:space="preserve">, 2005; Neumann </w:t>
      </w:r>
      <w:r w:rsidR="00877390" w:rsidRPr="00D6722B">
        <w:rPr>
          <w:i/>
          <w:noProof/>
        </w:rPr>
        <w:t>et al.</w:t>
      </w:r>
      <w:r w:rsidR="00877390" w:rsidRPr="00D6722B">
        <w:rPr>
          <w:noProof/>
        </w:rPr>
        <w:t xml:space="preserve">, 2006; Saleh, Ronald P. van Rij, </w:t>
      </w:r>
      <w:r w:rsidR="00877390" w:rsidRPr="00D6722B">
        <w:rPr>
          <w:i/>
          <w:noProof/>
        </w:rPr>
        <w:t>et al.</w:t>
      </w:r>
      <w:r w:rsidR="00877390" w:rsidRPr="00D6722B">
        <w:rPr>
          <w:noProof/>
        </w:rPr>
        <w:t xml:space="preserve">, 2006; Boutros and Ahringer, 2008; Conrad and Gerlich, 2010; Horn, Sandmann and Boutros, 2010; Fisher </w:t>
      </w:r>
      <w:r w:rsidR="00877390" w:rsidRPr="00D6722B">
        <w:rPr>
          <w:i/>
          <w:noProof/>
        </w:rPr>
        <w:t>et al.</w:t>
      </w:r>
      <w:r w:rsidR="00877390" w:rsidRPr="00D6722B">
        <w:rPr>
          <w:noProof/>
        </w:rPr>
        <w:t xml:space="preserve">, 2012b; Saleh </w:t>
      </w:r>
      <w:r w:rsidR="00877390" w:rsidRPr="00D6722B">
        <w:rPr>
          <w:i/>
          <w:noProof/>
        </w:rPr>
        <w:t>et al.</w:t>
      </w:r>
      <w:r w:rsidR="00877390" w:rsidRPr="00D6722B">
        <w:rPr>
          <w:noProof/>
        </w:rPr>
        <w:t xml:space="preserve">, 2014; Billmann </w:t>
      </w:r>
      <w:r w:rsidR="00877390" w:rsidRPr="00D6722B">
        <w:rPr>
          <w:i/>
          <w:noProof/>
        </w:rPr>
        <w:t>et al.</w:t>
      </w:r>
      <w:r w:rsidR="00877390" w:rsidRPr="00D6722B">
        <w:rPr>
          <w:noProof/>
        </w:rPr>
        <w:t xml:space="preserve">, 2016; Vissers </w:t>
      </w:r>
      <w:r w:rsidR="00877390" w:rsidRPr="00D6722B">
        <w:rPr>
          <w:i/>
          <w:noProof/>
        </w:rPr>
        <w:t>et al.</w:t>
      </w:r>
      <w:r w:rsidR="00877390" w:rsidRPr="00D6722B">
        <w:rPr>
          <w:noProof/>
        </w:rPr>
        <w:t>, 2016)</w:t>
      </w:r>
      <w:r w:rsidR="005C0E76" w:rsidRPr="00D6722B">
        <w:fldChar w:fldCharType="end"/>
      </w:r>
      <w:r w:rsidRPr="00D6722B">
        <w:t xml:space="preserve">.  </w:t>
      </w:r>
    </w:p>
    <w:p w:rsidR="00253001" w:rsidRDefault="00253001" w:rsidP="000441D9">
      <w:pPr>
        <w:spacing w:line="360" w:lineRule="auto"/>
      </w:pPr>
    </w:p>
    <w:p w:rsidR="00253001" w:rsidRDefault="00253001" w:rsidP="000441D9">
      <w:pPr>
        <w:pStyle w:val="Heading4"/>
        <w:spacing w:line="360" w:lineRule="auto"/>
      </w:pPr>
      <w:bookmarkStart w:id="15" w:name="_Toc35333917"/>
      <w:r>
        <w:t>Application of RNAi</w:t>
      </w:r>
      <w:r w:rsidR="009D04C4">
        <w:t xml:space="preserve"> triggers as </w:t>
      </w:r>
      <w:r>
        <w:t>therapeutic agent</w:t>
      </w:r>
      <w:r w:rsidR="009D04C4">
        <w:t>s</w:t>
      </w:r>
      <w:bookmarkEnd w:id="15"/>
    </w:p>
    <w:p w:rsidR="001C3712" w:rsidRPr="00D6722B" w:rsidRDefault="001C3712" w:rsidP="000441D9">
      <w:pPr>
        <w:spacing w:line="360" w:lineRule="auto"/>
        <w:ind w:firstLine="284"/>
      </w:pPr>
      <w:r w:rsidRPr="00D6722B">
        <w:t xml:space="preserve">Application in a therapeutic context is perhaps the most naturally obvious practical application of RNAi, though many of the challenges to be overcome in order to use RNAi in a therapeutic capacity are equally applicable to developing it for use as a viable alternative to pesticides. </w:t>
      </w:r>
    </w:p>
    <w:p w:rsidR="001C3712" w:rsidRPr="00D6722B" w:rsidRDefault="001C3712" w:rsidP="000441D9">
      <w:pPr>
        <w:spacing w:line="360" w:lineRule="auto"/>
        <w:ind w:firstLine="284"/>
      </w:pPr>
      <w:r w:rsidRPr="00D6722B">
        <w:t xml:space="preserve">Most siRNA based therapeutics currently in development target: viral infections including HIV </w:t>
      </w:r>
      <w:r w:rsidR="005C0E76" w:rsidRPr="00D6722B">
        <w:fldChar w:fldCharType="begin" w:fldLock="1"/>
      </w:r>
      <w:r w:rsidRPr="00D6722B">
        <w:instrText>ADDIN CSL_CITATION {"citationItems":[{"id":"ITEM-1","itemData":{"DOI":"10.1038/nature07758","ISSN":"0028-0836","PMID":"19158789","abstract":"The discovery that gene expression can be controlled by the Watson-Crick base-pairing of small RNAs with messenger RNAs containing complementary sequence - a process known as RNA interference - has markedly advanced our understanding of eukaryotic gene regulation and function. The ability of short RNA sequences to modulate gene expression has provided a powerful tool with which to study gene function and is set to revolutionize the treatment of disease. Remarkably, despite being just one decade from its discovery, the phenomenon is already being used therapeutically in human clinical trials, and biotechnology companies that focus on RNA-interference-based therapeutics are already publicly traded.","author":[{"dropping-particle":"","family":"Castanotto","given":"Daniela","non-dropping-particle":"","parse-names":false,"suffix":""},{"dropping-particle":"","family":"Rossi","given":"John J.","non-dropping-particle":"","parse-names":false,"suffix":""}],"container-title":"Nature","id":"ITEM-1","issue":"7228","issued":{"date-parts":[["2009","1","21"]]},"page":"426-433","title":"The promises and pitfalls of RNA-interference-based therapeutics","type":"article-journal","volume":"457"},"uris":["http://www.mendeley.com/documents/?uuid=d7723229-8b08-3b3c-9798-7694488b12ca"]}],"mendeley":{"formattedCitation":"(Castanotto and Rossi, 2009)","plainTextFormattedCitation":"(Castanotto and Rossi, 2009)","previouslyFormattedCitation":"(Castanotto and Rossi, 2009)"},"properties":{"noteIndex":0},"schema":"https://github.com/citation-style-language/schema/raw/master/csl-citation.json"}</w:instrText>
      </w:r>
      <w:r w:rsidR="005C0E76" w:rsidRPr="00D6722B">
        <w:fldChar w:fldCharType="separate"/>
      </w:r>
      <w:r w:rsidRPr="00D6722B">
        <w:rPr>
          <w:noProof/>
        </w:rPr>
        <w:t>(Castanotto and Rossi, 2009)</w:t>
      </w:r>
      <w:r w:rsidR="005C0E76" w:rsidRPr="00D6722B">
        <w:fldChar w:fldCharType="end"/>
      </w:r>
      <w:r w:rsidRPr="00D6722B">
        <w:t xml:space="preserve">; macular degeneration, cancer and more generally “malignant transformation of cells” </w:t>
      </w:r>
      <w:r w:rsidR="005C0E76" w:rsidRPr="00D6722B">
        <w:fldChar w:fldCharType="begin" w:fldLock="1"/>
      </w:r>
      <w:r w:rsidRPr="00D6722B">
        <w:instrText>ADDIN CSL_CITATION {"citationItems":[{"id":"ITEM-1","itemData":{"DOI":"10.1016/j.addr.2009.05.002","ISBN":"0169-409X","ISSN":"0169409X","PMID":"19427885","abstract":"Over just a single decade, we have witnessed the rapid maturation of the field of RNA interference - the sequence-specific gene silencing mediated by small double-stranded RNAs - directly from its infancy into adulthood. With exciting data currently emerging from first clinical trials, it is now more likely than ever that RNAi drugs will soon provide another potent class of agents in our battle against infectious and genetic diseases. Accelerating this process and adding to RNAi's promise is our steadily expanding arsenal of innovative RNAi-based experimental tools and clinically applicable technologies. This article will critically review a selection of relevant recent advances in RNAi therapeutics, from novel asymmetric or bi-functional siRNA designs, deliberate use of small RNAs to regulate nuclear transcription, engineering of potent adeno-associated viral vectors for shRNA expression, exploitation of endogenous miRNAs to control transgene expression or vector tropism, to elegant attempts to inhibit cellular miRNAs involved in human disease. This review will also present cautionary notes on the potential risks inherent to in vivo RNAi applications, before discussing the latest surprising findings on circulating miRNAs in human body fluids, and concluding with an outlook into the possible future of RNAi as an increasingly powerful biomedical tool. © 2009 Elsevier B.V. All rights reserved.","author":[{"dropping-particle":"","family":"Grimm","given":"Dirk","non-dropping-particle":"","parse-names":false,"suffix":""}],"container-title":"Advanced Drug Delivery Reviews","id":"ITEM-1","issue":"9","issued":{"date-parts":[["2009"]]},"page":"672-703","title":"Small silencing RNAs: State-of-the-art","type":"article-journal","volume":"61"},"uris":["http://www.mendeley.com/documents/?uuid=cbbc2818-2e76-4103-b332-3fcff9ac0f13"]}],"mendeley":{"formattedCitation":"(Grimm, 2009)","plainTextFormattedCitation":"(Grimm, 2009)","previouslyFormattedCitation":"(Grimm, 2009)"},"properties":{"noteIndex":0},"schema":"https://github.com/citation-style-language/schema/raw/master/csl-citation.json"}</w:instrText>
      </w:r>
      <w:r w:rsidR="005C0E76" w:rsidRPr="00D6722B">
        <w:fldChar w:fldCharType="separate"/>
      </w:r>
      <w:r w:rsidRPr="00D6722B">
        <w:rPr>
          <w:noProof/>
        </w:rPr>
        <w:t>(Grimm, 2009)</w:t>
      </w:r>
      <w:r w:rsidR="005C0E76" w:rsidRPr="00D6722B">
        <w:fldChar w:fldCharType="end"/>
      </w:r>
      <w:r w:rsidRPr="00D6722B">
        <w:t xml:space="preserve">; cardiovascular disease </w:t>
      </w:r>
      <w:r w:rsidR="005C0E76" w:rsidRPr="00D6722B">
        <w:fldChar w:fldCharType="begin" w:fldLock="1"/>
      </w:r>
      <w:r w:rsidRPr="00D6722B">
        <w:instrText>ADDIN CSL_CITATION {"citationItems":[{"id":"ITEM-1","itemData":{"DOI":"10.1101/cshperspect.a003640","ISBN":"1943-0264 (Electronic)","ISSN":"19430264","PMID":"20534712","abstract":"RNA interference (RNAi) provides a powerful reverse genetics approach to analyze gene functions both in tissue culture and in vivo. Because of its widespread applicability and effectiveness it has become an essential part of the tool box kits of model organisms such as Caenorhabditis elegans, Drosophila, and the mouse. In addition, the use of RNAi in animals in which genetic tools are either poorly developed or nonexistent enables a myriad of fundamental questions to be asked. Here, we review the methods and applications of in vivo RNAi to characterize gene functions in model organisms and discuss their impact to the study of developmental as well as evolutionary questions. Further, we discuss the applications of RNAi technologies to crop improvement, pest control and RNAi therapeutics, thus providing an appreciation of the potential for phenomenal applications of RNAi to agriculture and medicine.","author":[{"dropping-particle":"","family":"Perrimon","given":"Norbert","non-dropping-particle":"","parse-names":false,"suffix":""},{"dropping-particle":"","family":"Ni","given":"Jian Quan","non-dropping-particle":"","parse-names":false,"suffix":""},{"dropping-particle":"","family":"Perkins","given":"Lizabeth","non-dropping-particle":"","parse-names":false,"suffix":""}],"container-title":"Cold Spring Harbor perspectives in biology","id":"ITEM-1","issue":"8","issued":{"date-parts":[["2010"]]},"page":"1-11","title":"In vivo RNAi: today and tomorrow.","type":"article-journal","volume":"2"},"uris":["http://www.mendeley.com/documents/?uuid=3e0b68c2-7f2a-40cb-9be0-36487f0544f2"]}],"mendeley":{"formattedCitation":"(Perrimon, Ni and Perkins, 2010)","plainTextFormattedCitation":"(Perrimon, Ni and Perkins, 2010)","previouslyFormattedCitation":"(Perrimon, Ni and Perkins, 2010)"},"properties":{"noteIndex":0},"schema":"https://github.com/citation-style-language/schema/raw/master/csl-citation.json"}</w:instrText>
      </w:r>
      <w:r w:rsidR="005C0E76" w:rsidRPr="00D6722B">
        <w:fldChar w:fldCharType="separate"/>
      </w:r>
      <w:r w:rsidRPr="00D6722B">
        <w:rPr>
          <w:noProof/>
        </w:rPr>
        <w:t>(Perrimon, Ni and Perkins, 2010)</w:t>
      </w:r>
      <w:r w:rsidR="005C0E76" w:rsidRPr="00D6722B">
        <w:fldChar w:fldCharType="end"/>
      </w:r>
      <w:r w:rsidRPr="00D6722B">
        <w:t xml:space="preserve">; and neurodegenerative diseases </w:t>
      </w:r>
      <w:r w:rsidR="005C0E76" w:rsidRPr="00D6722B">
        <w:fldChar w:fldCharType="begin" w:fldLock="1"/>
      </w:r>
      <w:r w:rsidRPr="00D6722B">
        <w:instrText>ADDIN CSL_CITATION {"citationItems":[{"id":"ITEM-1","itemData":{"DOI":"10.1016/j.lfs.2006.06.011","ISSN":"00243205","PMID":"16815477","abstract":"During the past decade, numerous molecular mediators of neurodegenerative diseases and neurological disorders have been identified and validated, yet few novel therapies have emerged and the unmet medical needs remain high. These molecular mediators belong to target classes such as ion channels, neurotransmitters and neurotransmitter receptors, cytokines, growth factors, enzymes and other proteins. In some cases, substantial pre-clinical validation exists, but the molecular target has not been readily druggable with small molecules, proteins or antibodies. RNA interference represents a therapeutic approach applicable to such non-druggable targets. Both non-viral and viral delivery strategies are being undertaken for in vivo silencing of molecular targets by RNA interference, which has resulted in robust efficacy in animal models of Alzheimer's disease, ALS, Huntington's disease, spinocerebellar ataxia, anxiety, depression, neuropathic pain, encephalitis and glioblastoma. These proof-of-concept data in animal models, together with the commencement of clinical trials using RNA interference for macular degeneration and respiratory syncytial virus infection, point to the potential of direct RNA interference for neurological disorders and neurodegenerative diseases.","author":[{"dropping-particle":"","family":"Sah","given":"Dinah W.Y.","non-dropping-particle":"","parse-names":false,"suffix":""}],"container-title":"Life Sciences","id":"ITEM-1","issue":"19","issued":{"date-parts":[["2006","10","4"]]},"page":"1773-1780","title":"Therapeutic potential of RNA interference for neurological disorders","type":"article-journal","volume":"79"},"uris":["http://www.mendeley.com/documents/?uuid=58c9a8c4-0d01-34a1-bbdf-23a4726040df"]}],"mendeley":{"formattedCitation":"(Sah, 2006)","plainTextFormattedCitation":"(Sah, 2006)","previouslyFormattedCitation":"(Sah, 2006)"},"properties":{"noteIndex":0},"schema":"https://github.com/citation-style-language/schema/raw/master/csl-citation.json"}</w:instrText>
      </w:r>
      <w:r w:rsidR="005C0E76" w:rsidRPr="00D6722B">
        <w:fldChar w:fldCharType="separate"/>
      </w:r>
      <w:r w:rsidRPr="00D6722B">
        <w:rPr>
          <w:noProof/>
        </w:rPr>
        <w:t>(Sah, 2006)</w:t>
      </w:r>
      <w:r w:rsidR="005C0E76" w:rsidRPr="00D6722B">
        <w:fldChar w:fldCharType="end"/>
      </w:r>
      <w:r w:rsidRPr="00D6722B">
        <w:t xml:space="preserve"> such as Lou Gehrig’s disease and Parkinson’s disease </w:t>
      </w:r>
      <w:r w:rsidR="005C0E76" w:rsidRPr="00D6722B">
        <w:fldChar w:fldCharType="begin" w:fldLock="1"/>
      </w:r>
      <w:r w:rsidRPr="00D6722B">
        <w:instrText>ADDIN CSL_CITATION {"citationItems":[{"id":"ITEM-1","itemData":{"DOI":"10.1038/nature07758","ISSN":"0028-0836","PMID":"19158789","abstract":"The discovery that gene expression can be controlled by the Watson-Crick base-pairing of small RNAs with messenger RNAs containing complementary sequence - a process known as RNA interference - has markedly advanced our understanding of eukaryotic gene regulation and function. The ability of short RNA sequences to modulate gene expression has provided a powerful tool with which to study gene function and is set to revolutionize the treatment of disease. Remarkably, despite being just one decade from its discovery, the phenomenon is already being used therapeutically in human clinical trials, and biotechnology companies that focus on RNA-interference-based therapeutics are already publicly traded.","author":[{"dropping-particle":"","family":"Castanotto","given":"Daniela","non-dropping-particle":"","parse-names":false,"suffix":""},{"dropping-particle":"","family":"Rossi","given":"John J.","non-dropping-particle":"","parse-names":false,"suffix":""}],"container-title":"Nature","id":"ITEM-1","issue":"7228","issued":{"date-parts":[["2009","1","21"]]},"page":"426-433","title":"The promises and pitfalls of RNA-interference-based therapeutics","type":"article-journal","volume":"457"},"uris":["http://www.mendeley.com/documents/?uuid=d7723229-8b08-3b3c-9798-7694488b12ca"]}],"mendeley":{"formattedCitation":"(Castanotto and Rossi, 2009)","plainTextFormattedCitation":"(Castanotto and Rossi, 2009)","previouslyFormattedCitation":"(Castanotto and Rossi, 2009)"},"properties":{"noteIndex":0},"schema":"https://github.com/citation-style-language/schema/raw/master/csl-citation.json"}</w:instrText>
      </w:r>
      <w:r w:rsidR="005C0E76" w:rsidRPr="00D6722B">
        <w:fldChar w:fldCharType="separate"/>
      </w:r>
      <w:r w:rsidRPr="00D6722B">
        <w:rPr>
          <w:noProof/>
        </w:rPr>
        <w:t>(Castanotto and Rossi, 2009)</w:t>
      </w:r>
      <w:r w:rsidR="005C0E76" w:rsidRPr="00D6722B">
        <w:fldChar w:fldCharType="end"/>
      </w:r>
      <w:r w:rsidRPr="00D6722B">
        <w:t xml:space="preserve">. As with the application of RNAi to pest control, the major challenges in medical application are delivery method, stability </w:t>
      </w:r>
      <w:r w:rsidRPr="00D6722B">
        <w:rPr>
          <w:i/>
        </w:rPr>
        <w:t>in vivo</w:t>
      </w:r>
      <w:r w:rsidRPr="00D6722B">
        <w:t xml:space="preserve">, and prevention of off-target effects </w:t>
      </w:r>
      <w:r w:rsidR="005C0E76" w:rsidRPr="00D6722B">
        <w:fldChar w:fldCharType="begin" w:fldLock="1"/>
      </w:r>
      <w:r w:rsidRPr="00D6722B">
        <w:instrText>ADDIN CSL_CITATION {"citationItems":[{"id":"ITEM-1","itemData":{"DOI":"10.1101/cshperspect.a003640","ISBN":"1943-0264 (Electronic)","ISSN":"19430264","PMID":"20534712","abstract":"RNA interference (RNAi) provides a powerful reverse genetics approach to analyze gene functions both in tissue culture and in vivo. Because of its widespread applicability and effectiveness it has become an essential part of the tool box kits of model organisms such as Caenorhabditis elegans, Drosophila, and the mouse. In addition, the use of RNAi in animals in which genetic tools are either poorly developed or nonexistent enables a myriad of fundamental questions to be asked. Here, we review the methods and applications of in vivo RNAi to characterize gene functions in model organisms and discuss their impact to the study of developmental as well as evolutionary questions. Further, we discuss the applications of RNAi technologies to crop improvement, pest control and RNAi therapeutics, thus providing an appreciation of the potential for phenomenal applications of RNAi to agriculture and medicine.","author":[{"dropping-particle":"","family":"Perrimon","given":"Norbert","non-dropping-particle":"","parse-names":false,"suffix":""},{"dropping-particle":"","family":"Ni","given":"Jian Quan","non-dropping-particle":"","parse-names":false,"suffix":""},{"dropping-particle":"","family":"Perkins","given":"Lizabeth","non-dropping-particle":"","parse-names":false,"suffix":""}],"container-title":"Cold Spring Harbor perspectives in biology","id":"ITEM-1","issue":"8","issued":{"date-parts":[["2010"]]},"page":"1-11","title":"In vivo RNAi: today and tomorrow.","type":"article-journal","volume":"2"},"uris":["http://www.mendeley.com/documents/?uuid=3e0b68c2-7f2a-40cb-9be0-36487f0544f2"]},{"id":"ITEM-2","itemData":{"DOI":"10.1038/nature04688","ISSN":"1476-4687","PMID":"16565705","abstract":"The opportunity to harness the RNA interference (RNAi) pathway to silence disease-causing genes holds great promise for the development of therapeutics directed against targets that are otherwise not addressable with current medicines. Although there are numerous examples of in vivo silencing of target genes after local delivery of small interfering RNAs (siRNAs), there remain only a few reports of RNAi-mediated silencing in response to systemic delivery of siRNA, and there are no reports of systemic efficacy in non-rodent species. Here we show that siRNAs, when delivered systemically in a liposomal formulation, can silence the disease target apolipoprotein B (ApoB) in non-human primates. APOB-specific siRNAs were encapsulated in stable nucleic acid lipid particles (SNALP) and administered by intravenous injection to cynomolgus monkeys at doses of 1 or 2.5 mg kg(-1). A single siRNA injection resulted in dose-dependent silencing of APOB messenger RNA expression in the liver 48 h after administration, with maximal silencing of &gt;90%. This silencing effect occurred as a result of APOB mRNA cleavage at precisely the site predicted for the RNAi mechanism. Significant reductions in ApoB protein, serum cholesterol and low-density lipoprotein levels were observed as early as 24 h after treatment and lasted for 11 days at the highest siRNA dose, thus demonstrating an immediate, potent and lasting biological effect of siRNA treatment. Our findings show clinically relevant RNAi-mediated gene silencing in non-human primates, supporting RNAi therapeutics as a potential new class of drugs.","author":[{"dropping-particle":"","family":"Zimmermann","given":"Tracy S","non-dropping-particle":"","parse-names":false,"suffix":""},{"dropping-particle":"","family":"Lee","given":"Amy C H","non-dropping-particle":"","parse-names":false,"suffix":""},{"dropping-particle":"","family":"Akinc","given":"Akin","non-dropping-particle":"","parse-names":false,"suffix":""},{"dropping-particle":"","family":"Bramlage","given":"Birgit","non-dropping-particle":"","parse-names":false,"suffix":""},{"dropping-particle":"","family":"Bumcrot","given":"David","non-dropping-particle":"","parse-names":false,"suffix":""},{"dropping-particle":"","family":"Fedoruk","given":"Matthew N","non-dropping-particle":"","parse-names":false,"suffix":""},{"dropping-particle":"","family":"Harborth","given":"Jens","non-dropping-particle":"","parse-names":false,"suffix":""},{"dropping-particle":"","family":"Heyes","given":"James A","non-dropping-particle":"","parse-names":false,"suffix":""},{"dropping-particle":"","family":"Jeffs","given":"Lloyd B","non-dropping-particle":"","parse-names":false,"suffix":""},{"dropping-particle":"","family":"John","given":"Matthias","non-dropping-particle":"","parse-names":false,"suffix":""},{"dropping-particle":"","family":"Judge","given":"Adam D","non-dropping-particle":"","parse-names":false,"suffix":""},{"dropping-particle":"","family":"Lam","given":"Kieu","non-dropping-particle":"","parse-names":false,"suffix":""},{"dropping-particle":"","family":"McClintock","given":"Kevin","non-dropping-particle":"","parse-names":false,"suffix":""},{"dropping-particle":"V","family":"Nechev","given":"Lubomir","non-dropping-particle":"","parse-names":false,"suffix":""},{"dropping-particle":"","family":"Palmer","given":"Lorne R","non-dropping-particle":"","parse-names":false,"suffix":""},{"dropping-particle":"","family":"Racie","given":"Timothy","non-dropping-particle":"","parse-names":false,"suffix":""},{"dropping-particle":"","family":"Röhl","given":"Ingo","non-dropping-particle":"","parse-names":false,"suffix":""},{"dropping-particle":"","family":"Seiffert","given":"Stephan","non-dropping-particle":"","parse-names":false,"suffix":""},{"dropping-particle":"","family":"Shanmugam","given":"Sumi","non-dropping-particle":"","parse-names":false,"suffix":""},{"dropping-particle":"","family":"Sood","given":"Vandana","non-dropping-particle":"","parse-names":false,"suffix":""},{"dropping-particle":"","family":"Soutschek","given":"Jürgen","non-dropping-particle":"","parse-names":false,"suffix":""},{"dropping-particle":"","family":"Toudjarska","given":"Ivanka","non-dropping-particle":"","parse-names":false,"suffix":""},{"dropping-particle":"","family":"Wheat","given":"Amanda J","non-dropping-particle":"","parse-names":false,"suffix":""},{"dropping-particle":"","family":"Yaworski","given":"Ed","non-dropping-particle":"","parse-names":false,"suffix":""},{"dropping-particle":"","family":"Zedalis","given":"William","non-dropping-particle":"","parse-names":false,"suffix":""},{"dropping-particle":"","family":"Koteliansky","given":"Victor","non-dropping-particle":"","parse-names":false,"suffix":""},{"dropping-particle":"","family":"Manoharan","given":"Muthiah","non-dropping-particle":"","parse-names":false,"suffix":""},{"dropping-particle":"","family":"Vornlocher","given":"Hans-Peter","non-dropping-particle":"","parse-names":false,"suffix":""},{"dropping-particle":"","family":"MacLachlan","given":"Ian","non-dropping-particle":"","parse-names":false,"suffix":""}],"container-title":"Nature","id":"ITEM-2","issue":"7089","issued":{"date-parts":[["2006","5","4"]]},"page":"111-4","title":"RNAi-mediated gene silencing in non-human primates.","type":"article-journal","volume":"441"},"uris":["http://www.mendeley.com/documents/?uuid=fda2341f-0640-39a9-8453-7ccaa9821c4c"]}],"mendeley":{"formattedCitation":"(Zimmermann &lt;i&gt;et al.&lt;/i&gt;, 2006; Perrimon, Ni and Perkins, 2010)","plainTextFormattedCitation":"(Zimmermann et al., 2006; Perrimon, Ni and Perkins, 2010)","previouslyFormattedCitation":"(Zimmermann &lt;i&gt;et al.&lt;/i&gt;, 2006; Perrimon, Ni and Perkins, 2010)"},"properties":{"noteIndex":0},"schema":"https://github.com/citation-style-language/schema/raw/master/csl-citation.json"}</w:instrText>
      </w:r>
      <w:r w:rsidR="005C0E76" w:rsidRPr="00D6722B">
        <w:fldChar w:fldCharType="separate"/>
      </w:r>
      <w:r w:rsidRPr="00D6722B">
        <w:rPr>
          <w:noProof/>
        </w:rPr>
        <w:t xml:space="preserve">(Zimmermann </w:t>
      </w:r>
      <w:r w:rsidRPr="00D6722B">
        <w:rPr>
          <w:i/>
          <w:noProof/>
        </w:rPr>
        <w:t>et al.</w:t>
      </w:r>
      <w:r w:rsidRPr="00D6722B">
        <w:rPr>
          <w:noProof/>
        </w:rPr>
        <w:t>, 2006; Perrimon, Ni and Perkins, 2010)</w:t>
      </w:r>
      <w:r w:rsidR="005C0E76" w:rsidRPr="00D6722B">
        <w:fldChar w:fldCharType="end"/>
      </w:r>
      <w:r w:rsidRPr="00D6722B">
        <w:t xml:space="preserve">. </w:t>
      </w:r>
    </w:p>
    <w:p w:rsidR="001C3712" w:rsidRPr="00D6722B" w:rsidRDefault="001C3712" w:rsidP="000441D9">
      <w:pPr>
        <w:spacing w:line="360" w:lineRule="auto"/>
        <w:ind w:firstLine="284"/>
      </w:pPr>
      <w:r w:rsidRPr="00D6722B">
        <w:t xml:space="preserve">Chemical modifications have also been suggested as a method of modulating the efficacy of RNAi therapeutics, much as they have been mooted as a way of improving RNAi pesticides </w:t>
      </w:r>
      <w:r w:rsidR="005C0E76" w:rsidRPr="00D6722B">
        <w:fldChar w:fldCharType="begin" w:fldLock="1"/>
      </w:r>
      <w:r w:rsidRPr="00D6722B">
        <w:instrText>ADDIN CSL_CITATION {"citationItems":[{"id":"ITEM-1","itemData":{"DOI":"10.1101/cshperspect.a003640","ISBN":"1943-0264 (Electronic)","ISSN":"19430264","PMID":"20534712","abstract":"RNA interference (RNAi) provides a powerful reverse genetics approach to analyze gene functions both in tissue culture and in vivo. Because of its widespread applicability and effectiveness it has become an essential part of the tool box kits of model organisms such as Caenorhabditis elegans, Drosophila, and the mouse. In addition, the use of RNAi in animals in which genetic tools are either poorly developed or nonexistent enables a myriad of fundamental questions to be asked. Here, we review the methods and applications of in vivo RNAi to characterize gene functions in model organisms and discuss their impact to the study of developmental as well as evolutionary questions. Further, we discuss the applications of RNAi technologies to crop improvement, pest control and RNAi therapeutics, thus providing an appreciation of the potential for phenomenal applications of RNAi to agriculture and medicine.","author":[{"dropping-particle":"","family":"Perrimon","given":"Norbert","non-dropping-particle":"","parse-names":false,"suffix":""},{"dropping-particle":"","family":"Ni","given":"Jian Quan","non-dropping-particle":"","parse-names":false,"suffix":""},{"dropping-particle":"","family":"Perkins","given":"Lizabeth","non-dropping-particle":"","parse-names":false,"suffix":""}],"container-title":"Cold Spring Harbor perspectives in biology","id":"ITEM-1","issue":"8","issued":{"date-parts":[["2010"]]},"page":"1-11","title":"In vivo RNAi: today and tomorrow.","type":"article-journal","volume":"2"},"uris":["http://www.mendeley.com/documents/?uuid=3e0b68c2-7f2a-40cb-9be0-36487f0544f2"]}],"mendeley":{"formattedCitation":"(Perrimon, Ni and Perkins, 2010)","plainTextFormattedCitation":"(Perrimon, Ni and Perkins, 2010)","previouslyFormattedCitation":"(Perrimon, Ni and Perkins, 2010)"},"properties":{"noteIndex":0},"schema":"https://github.com/citation-style-language/schema/raw/master/csl-citation.json"}</w:instrText>
      </w:r>
      <w:r w:rsidR="005C0E76" w:rsidRPr="00D6722B">
        <w:fldChar w:fldCharType="separate"/>
      </w:r>
      <w:r w:rsidRPr="00D6722B">
        <w:rPr>
          <w:noProof/>
        </w:rPr>
        <w:t>(Perrimon, Ni and Perkins, 2010)</w:t>
      </w:r>
      <w:r w:rsidR="005C0E76" w:rsidRPr="00D6722B">
        <w:fldChar w:fldCharType="end"/>
      </w:r>
      <w:r w:rsidRPr="00D6722B">
        <w:t>, particularly as a way of increasing resistance to degradation by ribonucleases generally using phosphorothioate, 2’-O-methyl and 2’</w:t>
      </w:r>
      <w:r w:rsidR="00595094">
        <w:t>-</w:t>
      </w:r>
      <w:r w:rsidRPr="00D6722B">
        <w:t xml:space="preserve">fluoropyrimidine nucleotides at certain positions in the siRNA </w:t>
      </w:r>
      <w:r w:rsidR="005C0E76" w:rsidRPr="00D6722B">
        <w:fldChar w:fldCharType="begin" w:fldLock="1"/>
      </w:r>
      <w:r w:rsidRPr="00D6722B">
        <w:instrText>ADDIN CSL_CITATION {"citationItems":[{"id":"ITEM-1","itemData":{"DOI":"10.1038/nature07758","ISSN":"0028-0836","PMID":"19158789","abstract":"The discovery that gene expression can be controlled by the Watson-Crick base-pairing of small RNAs with messenger RNAs containing complementary sequence - a process known as RNA interference - has markedly advanced our understanding of eukaryotic gene regulation and function. The ability of short RNA sequences to modulate gene expression has provided a powerful tool with which to study gene function and is set to revolutionize the treatment of disease. Remarkably, despite being just one decade from its discovery, the phenomenon is already being used therapeutically in human clinical trials, and biotechnology companies that focus on RNA-interference-based therapeutics are already publicly traded.","author":[{"dropping-particle":"","family":"Castanotto","given":"Daniela","non-dropping-particle":"","parse-names":false,"suffix":""},{"dropping-particle":"","family":"Rossi","given":"John J.","non-dropping-particle":"","parse-names":false,"suffix":""}],"container-title":"Nature","id":"ITEM-1","issue":"7228","issued":{"date-parts":[["2009","1","21"]]},"page":"426-433","title":"The promises and pitfalls of RNA-interference-based therapeutics","type":"article-journal","volume":"457"},"uris":["http://www.mendeley.com/documents/?uuid=d7723229-8b08-3b3c-9798-7694488b12ca"]}],"mendeley":{"formattedCitation":"(Castanotto and Rossi, 2009)","plainTextFormattedCitation":"(Castanotto and Rossi, 2009)","previouslyFormattedCitation":"(Castanotto and Rossi, 2009)"},"properties":{"noteIndex":0},"schema":"https://github.com/citation-style-language/schema/raw/master/csl-citation.json"}</w:instrText>
      </w:r>
      <w:r w:rsidR="005C0E76" w:rsidRPr="00D6722B">
        <w:fldChar w:fldCharType="separate"/>
      </w:r>
      <w:r w:rsidRPr="00D6722B">
        <w:rPr>
          <w:noProof/>
        </w:rPr>
        <w:t>(Castanotto and Rossi, 2009)</w:t>
      </w:r>
      <w:r w:rsidR="005C0E76" w:rsidRPr="00D6722B">
        <w:fldChar w:fldCharType="end"/>
      </w:r>
      <w:r w:rsidRPr="00D6722B">
        <w:t xml:space="preserve">. </w:t>
      </w:r>
      <w:r w:rsidRPr="00595094">
        <w:t xml:space="preserve">See section </w:t>
      </w:r>
      <w:r w:rsidR="00595094" w:rsidRPr="00595094">
        <w:t>1.4</w:t>
      </w:r>
      <w:r w:rsidRPr="00595094">
        <w:t xml:space="preserve"> for</w:t>
      </w:r>
      <w:r w:rsidRPr="00D6722B">
        <w:t xml:space="preserve"> a full discussion of the use of chemical modifications in modulating RNAi activity.</w:t>
      </w:r>
    </w:p>
    <w:p w:rsidR="00253001" w:rsidRDefault="00253001" w:rsidP="000441D9">
      <w:pPr>
        <w:spacing w:line="360" w:lineRule="auto"/>
      </w:pPr>
    </w:p>
    <w:p w:rsidR="00AD1DE4" w:rsidRDefault="00253001" w:rsidP="000441D9">
      <w:pPr>
        <w:pStyle w:val="Heading4"/>
        <w:spacing w:line="360" w:lineRule="auto"/>
      </w:pPr>
      <w:bookmarkStart w:id="16" w:name="_Toc35333918"/>
      <w:r>
        <w:t xml:space="preserve">Application of RNAi </w:t>
      </w:r>
      <w:r w:rsidR="009D04C4">
        <w:t xml:space="preserve">triggers </w:t>
      </w:r>
      <w:r>
        <w:t>in agriculture</w:t>
      </w:r>
      <w:bookmarkEnd w:id="16"/>
    </w:p>
    <w:p w:rsidR="00256BC4" w:rsidRPr="00D6722B" w:rsidRDefault="00256BC4" w:rsidP="000441D9">
      <w:pPr>
        <w:spacing w:line="360" w:lineRule="auto"/>
        <w:ind w:firstLine="284"/>
      </w:pPr>
      <w:r w:rsidRPr="00D6722B">
        <w:t xml:space="preserve">There are three major possible applications for </w:t>
      </w:r>
      <w:r w:rsidR="009D04C4" w:rsidRPr="00D6722B">
        <w:t>dsRNA</w:t>
      </w:r>
      <w:r w:rsidR="005774EA" w:rsidRPr="00D6722B">
        <w:t xml:space="preserve"> in agriculture. Firstly,</w:t>
      </w:r>
      <w:r w:rsidRPr="00D6722B">
        <w:t xml:space="preserve"> the improvement of crop strains themselves to resist disease, </w:t>
      </w:r>
      <w:r w:rsidR="005774EA" w:rsidRPr="00D6722B">
        <w:t>to</w:t>
      </w:r>
      <w:r w:rsidRPr="00D6722B">
        <w:t xml:space="preserve"> increase</w:t>
      </w:r>
      <w:r w:rsidR="005774EA" w:rsidRPr="00D6722B">
        <w:t xml:space="preserve"> their</w:t>
      </w:r>
      <w:r w:rsidRPr="00D6722B">
        <w:t xml:space="preserve"> nutritional value, or to remove toxins to make thus</w:t>
      </w:r>
      <w:r w:rsidR="00595094">
        <w:t xml:space="preserve"> </w:t>
      </w:r>
      <w:r w:rsidRPr="00D6722B">
        <w:t xml:space="preserve">far inedible plants potential crops </w:t>
      </w:r>
      <w:r w:rsidR="005C0E76" w:rsidRPr="00D6722B">
        <w:fldChar w:fldCharType="begin" w:fldLock="1"/>
      </w:r>
      <w:r w:rsidRPr="00D6722B">
        <w:instrText>ADDIN CSL_CITATION {"citationItems":[{"id":"ITEM-1","itemData":{"DOI":"10.1101/cshperspect.a003640","ISBN":"1943-0264 (Electronic)","ISSN":"19430264","PMID":"20534712","abstract":"RNA interference (RNAi) provides a powerful reverse genetics approach to analyze gene functions both in tissue culture and in vivo. Because of its widespread applicability and effectiveness it has become an essential part of the tool box kits of model organisms such as Caenorhabditis elegans, Drosophila, and the mouse. In addition, the use of RNAi in animals in which genetic tools are either poorly developed or nonexistent enables a myriad of fundamental questions to be asked. Here, we review the methods and applications of in vivo RNAi to characterize gene functions in model organisms and discuss their impact to the study of developmental as well as evolutionary questions. Further, we discuss the applications of RNAi technologies to crop improvement, pest control and RNAi therapeutics, thus providing an appreciation of the potential for phenomenal applications of RNAi to agriculture and medicine.","author":[{"dropping-particle":"","family":"Perrimon","given":"Norbert","non-dropping-particle":"","parse-names":false,"suffix":""},{"dropping-particle":"","family":"Ni","given":"Jian Quan","non-dropping-particle":"","parse-names":false,"suffix":""},{"dropping-particle":"","family":"Perkins","given":"Lizabeth","non-dropping-particle":"","parse-names":false,"suffix":""}],"container-title":"Cold Spring Harbor perspectives in biology","id":"ITEM-1","issue":"8","issued":{"date-parts":[["2010"]]},"page":"1-11","title":"In vivo RNAi: today and tomorrow.","type":"article-journal","volume":"2"},"uris":["http://www.mendeley.com/documents/?uuid=3e0b68c2-7f2a-40cb-9be0-36487f0544f2"]}],"mendeley":{"formattedCitation":"(Perrimon, Ni and Perkins, 2010)","plainTextFormattedCitation":"(Perrimon, Ni and Perkins, 2010)","previouslyFormattedCitation":"(Perrimon, Ni and Perkins, 2010)"},"properties":{"noteIndex":0},"schema":"https://github.com/citation-style-language/schema/raw/master/csl-citation.json"}</w:instrText>
      </w:r>
      <w:r w:rsidR="005C0E76" w:rsidRPr="00D6722B">
        <w:fldChar w:fldCharType="separate"/>
      </w:r>
      <w:r w:rsidRPr="00D6722B">
        <w:rPr>
          <w:noProof/>
        </w:rPr>
        <w:t>(Perrimon, Ni and Perkins, 2010)</w:t>
      </w:r>
      <w:r w:rsidR="005C0E76" w:rsidRPr="00D6722B">
        <w:fldChar w:fldCharType="end"/>
      </w:r>
      <w:r w:rsidR="005774EA" w:rsidRPr="00D6722B">
        <w:t>. Secondly,</w:t>
      </w:r>
      <w:r w:rsidRPr="00D6722B">
        <w:t xml:space="preserve"> as a combative therapeutic agent against diseases that threaten crops and beneficial insects – remediation of the collapse of European honeybee populations due to Israeli acute paralysis virus (IAPV) is a particular example of how RNAi might be used in this way </w:t>
      </w:r>
      <w:r w:rsidR="005C0E76" w:rsidRPr="00D6722B">
        <w:fldChar w:fldCharType="begin" w:fldLock="1"/>
      </w:r>
      <w:r w:rsidRPr="00D6722B">
        <w:instrText>ADDIN CSL_CITATION {"citationItems":[{"id":"ITEM-1","itemData":{"DOI":"10.1038/scientificamerican0409-40","ISSN":"0036-8733","PMID":"19363919","author":[{"dropping-particle":"","family":"Cox-Foster","given":"Diana","non-dropping-particle":"","parse-names":false,"suffix":""},{"dropping-particle":"","family":"vanEngelsdorp","given":"Dennis","non-dropping-particle":"","parse-names":false,"suffix":""}],"container-title":"Scientific American","id":"ITEM-1","issue":"4","issued":{"date-parts":[["2009","4"]]},"page":"40-7","title":"Saving the honeybee.","type":"article-journal","volume":"300"},"uris":["http://www.mendeley.com/documents/?uuid=f13cb67d-370e-3582-aaf1-4e0d1a0dc191"]}],"mendeley":{"formattedCitation":"(Cox-Foster and vanEngelsdorp, 2009)","plainTextFormattedCitation":"(Cox-Foster and vanEngelsdorp, 2009)","previouslyFormattedCitation":"(Cox-Foster and vanEngelsdorp, 2009)"},"properties":{"noteIndex":0},"schema":"https://github.com/citation-style-language/schema/raw/master/csl-citation.json"}</w:instrText>
      </w:r>
      <w:r w:rsidR="005C0E76" w:rsidRPr="00D6722B">
        <w:fldChar w:fldCharType="separate"/>
      </w:r>
      <w:r w:rsidRPr="00D6722B">
        <w:rPr>
          <w:noProof/>
        </w:rPr>
        <w:t>(Cox-Foster and vanEngelsdorp, 2009)</w:t>
      </w:r>
      <w:r w:rsidR="005C0E76" w:rsidRPr="00D6722B">
        <w:fldChar w:fldCharType="end"/>
      </w:r>
      <w:r w:rsidR="005774EA" w:rsidRPr="00D6722B">
        <w:t>. Finally,</w:t>
      </w:r>
      <w:r w:rsidRPr="00D6722B">
        <w:t xml:space="preserve"> as is the focus of the present investigation, as a species-specific method of destroying insect crop pest infestations </w:t>
      </w:r>
      <w:r w:rsidR="005C0E76" w:rsidRPr="00D6722B">
        <w:fldChar w:fldCharType="begin" w:fldLock="1"/>
      </w:r>
      <w:r w:rsidRPr="00D6722B">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interference","type":"article-journal","volume":"25"},"uris":["http://www.mendeley.com/documents/?uuid=f36b1865-baf2-4cfb-bf8c-3a0a3c4b563c"]},{"id":"ITEM-2","itemData":{"DOI":"10.1038/nbt1352","ISBN":"1087-0156","ISSN":"10870156","PMID":"17982444","abstract":"We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Biotechnology","id":"ITEM-2","issue":"11","issued":{"date-parts":[["2007"]]},"page":"1307-1313","title":"Silencing a cotton bollworm P450 monooxygenase gene by plant-mediated RNAi impairs larval tolerance of gossypol","type":"article-journal","volume":"25"},"uris":["http://www.mendeley.com/documents/?uuid=30f4c137-f223-4428-b6ca-02cdb2aba4ea"]}],"mendeley":{"formattedCitation":"(Baum &lt;i&gt;et al.&lt;/i&gt;, 2007; Mao &lt;i&gt;et al.&lt;/i&gt;, 2007)","plainTextFormattedCitation":"(Baum et al., 2007; Mao et al., 2007)","previouslyFormattedCitation":"(Baum &lt;i&gt;et al.&lt;/i&gt;, 2007; Mao &lt;i&gt;et al.&lt;/i&gt;, 2007)"},"properties":{"noteIndex":0},"schema":"https://github.com/citation-style-language/schema/raw/master/csl-citation.json"}</w:instrText>
      </w:r>
      <w:r w:rsidR="005C0E76" w:rsidRPr="00D6722B">
        <w:fldChar w:fldCharType="separate"/>
      </w:r>
      <w:r w:rsidRPr="00D6722B">
        <w:rPr>
          <w:noProof/>
        </w:rPr>
        <w:t xml:space="preserve">(Baum </w:t>
      </w:r>
      <w:r w:rsidRPr="00D6722B">
        <w:rPr>
          <w:i/>
          <w:noProof/>
        </w:rPr>
        <w:t>et al.</w:t>
      </w:r>
      <w:r w:rsidRPr="00D6722B">
        <w:rPr>
          <w:noProof/>
        </w:rPr>
        <w:t xml:space="preserve">, 2007; Mao </w:t>
      </w:r>
      <w:r w:rsidRPr="00D6722B">
        <w:rPr>
          <w:i/>
          <w:noProof/>
        </w:rPr>
        <w:t>et al.</w:t>
      </w:r>
      <w:r w:rsidRPr="00D6722B">
        <w:rPr>
          <w:noProof/>
        </w:rPr>
        <w:t>, 2007)</w:t>
      </w:r>
      <w:r w:rsidR="005C0E76" w:rsidRPr="00D6722B">
        <w:fldChar w:fldCharType="end"/>
      </w:r>
      <w:r w:rsidRPr="00D6722B">
        <w:t xml:space="preserve">. </w:t>
      </w:r>
    </w:p>
    <w:p w:rsidR="00256BC4" w:rsidRPr="00D6722B" w:rsidRDefault="00256BC4" w:rsidP="000441D9">
      <w:pPr>
        <w:spacing w:line="360" w:lineRule="auto"/>
        <w:ind w:firstLine="284"/>
      </w:pPr>
    </w:p>
    <w:p w:rsidR="00256BC4" w:rsidRPr="00D6722B" w:rsidRDefault="005774EA" w:rsidP="000441D9">
      <w:pPr>
        <w:spacing w:line="360" w:lineRule="auto"/>
        <w:ind w:firstLine="284"/>
      </w:pPr>
      <w:r w:rsidRPr="00D6722B">
        <w:lastRenderedPageBreak/>
        <w:t>The concept of using dsRNA based pesticides</w:t>
      </w:r>
      <w:r w:rsidR="00256BC4" w:rsidRPr="00D6722B">
        <w:t xml:space="preserve"> as an alternative to chemical pesticides has been around for many years, though the first proof of concept came with two landmark studies in 2007 </w:t>
      </w:r>
      <w:r w:rsidR="005C0E76" w:rsidRPr="00D6722B">
        <w:fldChar w:fldCharType="begin" w:fldLock="1"/>
      </w:r>
      <w:r w:rsidR="00256BC4" w:rsidRPr="00D6722B">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interference","type":"article-journal","volume":"25"},"uris":["http://www.mendeley.com/documents/?uuid=f36b1865-baf2-4cfb-bf8c-3a0a3c4b563c"]},{"id":"ITEM-2","itemData":{"DOI":"10.1038/nbt1352","ISBN":"1087-0156","ISSN":"10870156","PMID":"17982444","abstract":"We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Biotechnology","id":"ITEM-2","issue":"11","issued":{"date-parts":[["2007"]]},"page":"1307-1313","title":"Silencing a cotton bollworm P450 monooxygenase gene by plant-mediated RNAi impairs larval tolerance of gossypol","type":"article-journal","volume":"25"},"uris":["http://www.mendeley.com/documents/?uuid=30f4c137-f223-4428-b6ca-02cdb2aba4ea"]}],"mendeley":{"formattedCitation":"(Baum &lt;i&gt;et al.&lt;/i&gt;, 2007; Mao &lt;i&gt;et al.&lt;/i&gt;, 2007)","plainTextFormattedCitation":"(Baum et al., 2007; Mao et al., 2007)","previouslyFormattedCitation":"(Baum &lt;i&gt;et al.&lt;/i&gt;, 2007; Mao &lt;i&gt;et al.&lt;/i&gt;, 2007)"},"properties":{"noteIndex":0},"schema":"https://github.com/citation-style-language/schema/raw/master/csl-citation.json"}</w:instrText>
      </w:r>
      <w:r w:rsidR="005C0E76" w:rsidRPr="00D6722B">
        <w:fldChar w:fldCharType="separate"/>
      </w:r>
      <w:r w:rsidR="00256BC4" w:rsidRPr="00D6722B">
        <w:rPr>
          <w:noProof/>
        </w:rPr>
        <w:t xml:space="preserve">(Baum </w:t>
      </w:r>
      <w:r w:rsidR="00256BC4" w:rsidRPr="00D6722B">
        <w:rPr>
          <w:i/>
          <w:noProof/>
        </w:rPr>
        <w:t>et al.</w:t>
      </w:r>
      <w:r w:rsidR="00256BC4" w:rsidRPr="00D6722B">
        <w:rPr>
          <w:noProof/>
        </w:rPr>
        <w:t xml:space="preserve">, 2007; Mao </w:t>
      </w:r>
      <w:r w:rsidR="00256BC4" w:rsidRPr="00D6722B">
        <w:rPr>
          <w:i/>
          <w:noProof/>
        </w:rPr>
        <w:t>et al.</w:t>
      </w:r>
      <w:r w:rsidR="00256BC4" w:rsidRPr="00D6722B">
        <w:rPr>
          <w:noProof/>
        </w:rPr>
        <w:t>, 2007)</w:t>
      </w:r>
      <w:r w:rsidR="005C0E76" w:rsidRPr="00D6722B">
        <w:fldChar w:fldCharType="end"/>
      </w:r>
      <w:r w:rsidR="00256BC4" w:rsidRPr="00D6722B">
        <w:t xml:space="preserve">. Prior to this, most attention had been focused on producing transgenic crop strains that would express dsRNA targeted against their natural pests and protect themselves, though this approach had yielded little success </w:t>
      </w:r>
      <w:r w:rsidR="005C0E76" w:rsidRPr="00D6722B">
        <w:fldChar w:fldCharType="begin" w:fldLock="1"/>
      </w:r>
      <w:r w:rsidR="00256BC4" w:rsidRPr="00D6722B">
        <w:instrText>ADDIN CSL_CITATION {"citationItems":[{"id":"ITEM-1","itemData":{"DOI":"10.1038/nbt1107-1231","ISBN":"1087-0156 (Print)\\r1087-0156 (Linking)","ISSN":"1087-0156","PMID":"17989682","abstract":"RNA interference induced in insects after ingestion of plant-expressed hairpin RNA offers promise for managing devastating crop pests. © 2007 Nature Publishing Group.","author":[{"dropping-particle":"","family":"Gordon","given":"Karl H J","non-dropping-particle":"","parse-names":false,"suffix":""},{"dropping-particle":"","family":"Waterhouse","given":"Peter M","non-dropping-particle":"","parse-names":false,"suffix":""}],"container-title":"Nature biotechnology","id":"ITEM-1","issue":"11","issued":{"date-parts":[["2007"]]},"page":"1231-1232","title":"RNAi for insect-proof plants.","type":"article-journal","volume":"25"},"uris":["http://www.mendeley.com/documents/?uuid=beae6d4a-e84a-4423-b284-ec8eed315563"]}],"mendeley":{"formattedCitation":"(Gordon and Waterhouse, 2007)","plainTextFormattedCitation":"(Gordon and Waterhouse, 2007)","previouslyFormattedCitation":"(Gordon and Waterhouse, 2007)"},"properties":{"noteIndex":0},"schema":"https://github.com/citation-style-language/schema/raw/master/csl-citation.json"}</w:instrText>
      </w:r>
      <w:r w:rsidR="005C0E76" w:rsidRPr="00D6722B">
        <w:fldChar w:fldCharType="separate"/>
      </w:r>
      <w:r w:rsidR="00256BC4" w:rsidRPr="00D6722B">
        <w:rPr>
          <w:noProof/>
        </w:rPr>
        <w:t>(Gordon and Waterhouse, 2007)</w:t>
      </w:r>
      <w:r w:rsidR="005C0E76" w:rsidRPr="00D6722B">
        <w:fldChar w:fldCharType="end"/>
      </w:r>
      <w:r w:rsidR="00256BC4" w:rsidRPr="00D6722B">
        <w:t>.</w:t>
      </w:r>
    </w:p>
    <w:p w:rsidR="00256BC4" w:rsidRPr="00D6722B" w:rsidRDefault="00256BC4" w:rsidP="000441D9">
      <w:pPr>
        <w:spacing w:line="360" w:lineRule="auto"/>
        <w:ind w:firstLine="284"/>
      </w:pPr>
      <w:r w:rsidRPr="00D6722B">
        <w:t xml:space="preserve">Baum and co-workers used a dsRNA feeding assay to screen western corn rootworm (WCR) larvae for essential genes, and discovered 14 genes whose knockdown was lethal. The dsRNA targeted against part of the WCR gene for the midgut enzyme vacuolar ATPase was selected for further study and produced in transgenic corn, which resisted WCR infestation to a degree comparable to current transgenic crops modified to resist infestation. The WCR dsRNA was also tested on southern corn rootworm larvae and Colorado potato beetle larvae for species specificity. As expected it was found that “mortality declined with decreasing sequence identity between the WCR genes and their orthologs in the other species, indicating that </w:t>
      </w:r>
      <w:r w:rsidR="005774EA" w:rsidRPr="00D6722B">
        <w:t>RNAi induction</w:t>
      </w:r>
      <w:r w:rsidRPr="00D6722B">
        <w:t xml:space="preserve"> was potentially very selective” </w:t>
      </w:r>
      <w:r w:rsidR="005C0E76" w:rsidRPr="00D6722B">
        <w:fldChar w:fldCharType="begin" w:fldLock="1"/>
      </w:r>
      <w:r w:rsidRPr="00D6722B">
        <w:instrText>ADDIN CSL_CITATION {"citationItems":[{"id":"ITEM-1","itemData":{"DOI":"10.1038/nbt1107-1231","ISBN":"1087-0156 (Print)\\r1087-0156 (Linking)","ISSN":"1087-0156","PMID":"17989682","abstract":"RNA interference induced in insects after ingestion of plant-expressed hairpin RNA offers promise for managing devastating crop pests. © 2007 Nature Publishing Group.","author":[{"dropping-particle":"","family":"Gordon","given":"Karl H J","non-dropping-particle":"","parse-names":false,"suffix":""},{"dropping-particle":"","family":"Waterhouse","given":"Peter M","non-dropping-particle":"","parse-names":false,"suffix":""}],"container-title":"Nature biotechnology","id":"ITEM-1","issue":"11","issued":{"date-parts":[["2007"]]},"page":"1231-1232","title":"RNAi for insect-proof plants.","type":"article-journal","volume":"25"},"uris":["http://www.mendeley.com/documents/?uuid=beae6d4a-e84a-4423-b284-ec8eed315563"]}],"mendeley":{"formattedCitation":"(Gordon and Waterhouse, 2007)","plainTextFormattedCitation":"(Gordon and Waterhouse, 2007)","previouslyFormattedCitation":"(Gordon and Waterhouse, 2007)"},"properties":{"noteIndex":0},"schema":"https://github.com/citation-style-language/schema/raw/master/csl-citation.json"}</w:instrText>
      </w:r>
      <w:r w:rsidR="005C0E76" w:rsidRPr="00D6722B">
        <w:fldChar w:fldCharType="separate"/>
      </w:r>
      <w:r w:rsidRPr="00D6722B">
        <w:rPr>
          <w:noProof/>
        </w:rPr>
        <w:t>(Gordon and Waterhouse, 2007)</w:t>
      </w:r>
      <w:r w:rsidR="005C0E76" w:rsidRPr="00D6722B">
        <w:fldChar w:fldCharType="end"/>
      </w:r>
      <w:r w:rsidRPr="00D6722B">
        <w:t xml:space="preserve">. </w:t>
      </w:r>
    </w:p>
    <w:p w:rsidR="00256BC4" w:rsidRPr="00D6722B" w:rsidRDefault="00256BC4" w:rsidP="000441D9">
      <w:pPr>
        <w:spacing w:line="360" w:lineRule="auto"/>
        <w:ind w:firstLine="284"/>
      </w:pPr>
      <w:r w:rsidRPr="00D6722B">
        <w:t>Mao and co-workers used the cotton bollworm in their work, a moth whose larvae are a major pest for a wide variety of crops including tomatoes, cotton and chick peas. The cotton plant produces a natural universal insecticide called gossypol, which the cotton bollworm neutralises</w:t>
      </w:r>
      <w:r w:rsidR="00E42CDC">
        <w:t xml:space="preserve"> by breaking it down </w:t>
      </w:r>
      <w:r w:rsidRPr="00D6722B">
        <w:t xml:space="preserve">with the </w:t>
      </w:r>
      <w:r w:rsidR="00E42CDC">
        <w:t>enzyme</w:t>
      </w:r>
      <w:r w:rsidRPr="00D6722B">
        <w:t xml:space="preserve">, cytochrome P450 monooxygenase. Mao et al used dsRNA targeted against this protein to reduce the cotton bollworm’s tolerance to gossypol. </w:t>
      </w:r>
    </w:p>
    <w:p w:rsidR="00256BC4" w:rsidRPr="00D6722B" w:rsidRDefault="00256BC4" w:rsidP="000441D9">
      <w:pPr>
        <w:spacing w:line="360" w:lineRule="auto"/>
        <w:ind w:firstLine="284"/>
      </w:pPr>
      <w:r w:rsidRPr="00D6722B">
        <w:t>Caution must also be exercised in using RNAi effects targeted against allelochemicals such as gossypol as insects often have multiple families of proteins targeted against these natural insecticides</w:t>
      </w:r>
      <w:r w:rsidR="00E42CDC">
        <w:t>,</w:t>
      </w:r>
      <w:r w:rsidRPr="00D6722B">
        <w:t xml:space="preserve"> and this has been suggested to have been a factor in the rise of pesticide resistance </w:t>
      </w:r>
      <w:r w:rsidR="005C0E76" w:rsidRPr="00D6722B">
        <w:fldChar w:fldCharType="begin" w:fldLock="1"/>
      </w:r>
      <w:r w:rsidRPr="00D6722B">
        <w:instrText>ADDIN CSL_CITATION {"citationItems":[{"id":"ITEM-1","itemData":{"DOI":"10.1042/BST0341252","ISSN":"0300-5127","PMID":"17073796","abstract":"The first fully sequenced insect genomes were those of the fruitfly and the mosquito, both from the order Diptera. Now, with an increasing number and diversity of insect genomes becoming available, the diversity of insect P450 genes can be better appreciated and tentative ideas about the evolution of the CYP (cytochrome P450) superfamily in insects can be proposed. There are four large clades of insect P450 genes that existed before the divergence of the class Insecta and that are also represented by CYP families in vertebrates: the CYP2 clade, the CYP3 clade, the CYP4 clade and the mitochondrial P450 clade. P450s with known or suspected physiological functions are present in each of these clades and only a dozen genes appear to have orthologues or very close paralogues in each insect genome. P450 enzymes from each of these clades have been linked to insecticide resistance or to the metabolism of natural products and xenobiotics. In particular, insects appear to maintain a repertoire of mitochondrial P450 paralogues devoted to the response to environmental challenges.","author":[{"dropping-particle":"","family":"Feyereisen","given":"R.","non-dropping-particle":"","parse-names":false,"suffix":""}],"container-title":"Biochemical Society Transactions","id":"ITEM-1","issue":"6","issued":{"date-parts":[["2006","12","1"]]},"page":"1252-1255","title":"Evolution of insect P450","type":"article-journal","volume":"34"},"uris":["http://www.mendeley.com/documents/?uuid=c9375c27-81b7-3049-ae3f-094f641e4e39"]},{"id":"ITEM-2","itemData":{"DOI":"10.1038/nbt1107-1231","ISBN":"1087-0156 (Print)\\r1087-0156 (Linking)","ISSN":"1087-0156","PMID":"17989682","abstract":"RNA interference induced in insects after ingestion of plant-expressed hairpin RNA offers promise for managing devastating crop pests. © 2007 Nature Publishing Group.","author":[{"dropping-particle":"","family":"Gordon","given":"Karl H J","non-dropping-particle":"","parse-names":false,"suffix":""},{"dropping-particle":"","family":"Waterhouse","given":"Peter M","non-dropping-particle":"","parse-names":false,"suffix":""}],"container-title":"Nature biotechnology","id":"ITEM-2","issue":"11","issued":{"date-parts":[["2007"]]},"page":"1231-1232","title":"RNAi for insect-proof plants.","type":"article-journal","volume":"25"},"uris":["http://www.mendeley.com/documents/?uuid=beae6d4a-e84a-4423-b284-ec8eed315563"]}],"mendeley":{"formattedCitation":"(Feyereisen, 2006; Gordon and Waterhouse, 2007)","plainTextFormattedCitation":"(Feyereisen, 2006; Gordon and Waterhouse, 2007)","previouslyFormattedCitation":"(Feyereisen, 2006; Gordon and Waterhouse, 2007)"},"properties":{"noteIndex":0},"schema":"https://github.com/citation-style-language/schema/raw/master/csl-citation.json"}</w:instrText>
      </w:r>
      <w:r w:rsidR="005C0E76" w:rsidRPr="00D6722B">
        <w:fldChar w:fldCharType="separate"/>
      </w:r>
      <w:r w:rsidRPr="00D6722B">
        <w:rPr>
          <w:noProof/>
        </w:rPr>
        <w:t>(Feyereisen, 2006; Gordon and Waterhouse, 2007)</w:t>
      </w:r>
      <w:r w:rsidR="005C0E76" w:rsidRPr="00D6722B">
        <w:fldChar w:fldCharType="end"/>
      </w:r>
      <w:r w:rsidRPr="00D6722B">
        <w:t xml:space="preserve">. </w:t>
      </w:r>
    </w:p>
    <w:p w:rsidR="000C5621" w:rsidRDefault="000C5621">
      <w:pPr>
        <w:spacing w:after="200"/>
        <w:jc w:val="left"/>
      </w:pPr>
      <w:r>
        <w:br w:type="page"/>
      </w:r>
    </w:p>
    <w:p w:rsidR="00AD1DE4" w:rsidRDefault="00AD1DE4" w:rsidP="000441D9">
      <w:pPr>
        <w:pStyle w:val="Heading2"/>
        <w:spacing w:line="360" w:lineRule="auto"/>
      </w:pPr>
      <w:bookmarkStart w:id="17" w:name="_Toc35333919"/>
      <w:r>
        <w:lastRenderedPageBreak/>
        <w:t xml:space="preserve">A review of the application of unmodified dsRNA to </w:t>
      </w:r>
      <w:r w:rsidR="00D26E06">
        <w:t>induce</w:t>
      </w:r>
      <w:r>
        <w:t xml:space="preserve"> RNAi in insects</w:t>
      </w:r>
      <w:bookmarkEnd w:id="17"/>
    </w:p>
    <w:p w:rsidR="00AD1DE4" w:rsidRDefault="001A0334" w:rsidP="000441D9">
      <w:pPr>
        <w:pStyle w:val="Heading3"/>
        <w:spacing w:line="360" w:lineRule="auto"/>
      </w:pPr>
      <w:bookmarkStart w:id="18" w:name="_Toc35333920"/>
      <w:r>
        <w:t>Introduction</w:t>
      </w:r>
      <w:bookmarkEnd w:id="18"/>
    </w:p>
    <w:p w:rsidR="00024F30" w:rsidRDefault="00877390" w:rsidP="000441D9">
      <w:pPr>
        <w:pStyle w:val="ListParagraph"/>
        <w:spacing w:line="360" w:lineRule="auto"/>
        <w:ind w:left="0" w:firstLine="284"/>
      </w:pPr>
      <w:r>
        <w:t>A</w:t>
      </w:r>
      <w:r w:rsidR="00024F30">
        <w:t xml:space="preserve">spects of the RNAi process in insects have been discovered as a result of research into the use of dsRNA as an insecticide, though </w:t>
      </w:r>
      <w:r>
        <w:t>significant insights</w:t>
      </w:r>
      <w:r w:rsidR="00024F30">
        <w:t xml:space="preserve"> ha</w:t>
      </w:r>
      <w:r>
        <w:t>ve</w:t>
      </w:r>
      <w:r w:rsidR="00024F30">
        <w:t xml:space="preserve"> come from investigation in other areas as well, such as insect anti-viral RNAi responses</w:t>
      </w:r>
      <w:r>
        <w:t xml:space="preserve"> </w:t>
      </w:r>
      <w:r w:rsidR="005C0E76">
        <w:fldChar w:fldCharType="begin" w:fldLock="1"/>
      </w:r>
      <w:r>
        <w:instrText>ADDIN CSL_CITATION {"citationItems":[{"id":"ITEM-1","itemData":{"DOI":"10.3390/v11050448","ISSN":"1999-4915","abstract":"&lt;p&gt;The RNA interference (RNAi) pathway is a potent antiviral defense mechanism in plants and invertebrates, in response to which viruses evolved suppressors of RNAi. In mammals, the first line of defense is mediated by the type I interferon system (IFN); however, the degree to which RNAi contributes to antiviral defense is still not completely understood. Recent work suggests that antiviral RNAi is active in undifferentiated stem cells and that antiviral RNAi can be uncovered in differentiated cells in which the IFN system is inactive or in infections with viruses lacking putative viral suppressors of RNAi. In this review, we describe the mechanism of RNAi and its antiviral functions in insects and mammals. We draw parallels and highlight differences between (antiviral) RNAi in these classes of animals and discuss open questions for future research.&lt;/p&gt;","author":[{"dropping-particle":"","family":"Schuster","given":"Susan","non-dropping-particle":"","parse-names":false,"suffix":""},{"dropping-particle":"","family":"Miesen","given":"Pascal","non-dropping-particle":"","parse-names":false,"suffix":""},{"dropping-particle":"","family":"Rij","given":"Ronald P.","non-dropping-particle":"van","parse-names":false,"suffix":""}],"container-title":"Viruses","id":"ITEM-1","issue":"5","issued":{"date-parts":[["2019","5","16"]]},"page":"448","publisher":"Multidisciplinary Digital Publishing Institute","title":"Antiviral RNAi in Insects and Mammals: Parallels and Differences","type":"article-journal","volume":"11"},"uris":["http://www.mendeley.com/documents/?uuid=e1ecde59-20e4-34fd-b53e-b74603f88480"]}],"mendeley":{"formattedCitation":"(Schuster, Miesen and van Rij, 2019)","plainTextFormattedCitation":"(Schuster, Miesen and van Rij, 2019)","previouslyFormattedCitation":"(Schuster, Miesen and van Rij, 2019)"},"properties":{"noteIndex":0},"schema":"https://github.com/citation-style-language/schema/raw/master/csl-citation.json"}</w:instrText>
      </w:r>
      <w:r w:rsidR="005C0E76">
        <w:fldChar w:fldCharType="separate"/>
      </w:r>
      <w:r w:rsidRPr="00877390">
        <w:rPr>
          <w:noProof/>
        </w:rPr>
        <w:t>(Schuster, Miesen and van Rij, 2019)</w:t>
      </w:r>
      <w:r w:rsidR="005C0E76">
        <w:fldChar w:fldCharType="end"/>
      </w:r>
      <w:r w:rsidR="00024F30">
        <w:t>, or functional genomics studies in insect species</w:t>
      </w:r>
      <w:r>
        <w:t xml:space="preserve"> </w:t>
      </w:r>
      <w:r w:rsidR="005C0E76">
        <w:fldChar w:fldCharType="begin" w:fldLock="1"/>
      </w:r>
      <w:r w:rsidR="00ED1BE5">
        <w:instrText>ADDIN CSL_CITATION {"citationItems":[{"id":"ITEM-1","itemData":{"DOI":"10.1186/1471-2164-13-506","ISSN":"1471-2164","PMID":"23006893","abstract":"BACKGROUND Genome-scale RNA-interference (RNAi) screens are becoming ever more common gene discovery tools. However, whilst every screen identifies interacting genes, less attention has been given to how factors such as library design and post-screening bioinformatics may be effecting the data generated. RESULTS Here we present a new genome-wide RNAi screen of the Drosophila JAK/STAT signalling pathway undertaken in the Sheffield RNAi Screening Facility (SRSF). This screen was carried out using a second-generation, computationally optimised dsRNA library and analysed using current methods and bioinformatic tools. To examine advances in RNAi screening technology, we compare this screen to a biologically very similar screen undertaken in 2005 with a first-generation library. Both screens used the same cell line, reporters and experimental design, with the SRSF screen identifying 42 putative regulators of JAK/STAT signalling, 22 of which verified in a secondary screen and 16 verified with an independent probe design. Following reanalysis of the original screen data, comparisons of the two gene lists allows us to make estimates of false discovery rates in the SRSF data and to conduct an assessment of off-target effects (OTEs) associated with both libraries. We discuss the differences and similarities between the resulting data sets and examine the relative improvements in gene discovery protocols. CONCLUSIONS Our work represents one of the first direct comparisons between first- and second-generation libraries and shows that modern library designs together with methodological advances have had a significant influence on genome-scale RNAi screens.","author":[{"dropping-particle":"","family":"Fisher","given":"Katherine H","non-dropping-particle":"","parse-names":false,"suffix":""},{"dropping-particle":"","family":"Wright","given":"Victoria M","non-dropping-particle":"","parse-names":false,"suffix":""},{"dropping-particle":"","family":"Taylor","given":"Amy","non-dropping-particle":"","parse-names":false,"suffix":""},{"dropping-particle":"","family":"Zeidler","given":"Martin P","non-dropping-particle":"","parse-names":false,"suffix":""},{"dropping-particle":"","family":"Brown","given":"Stephen","non-dropping-particle":"","parse-names":false,"suffix":""}],"container-title":"BMC genomics","id":"ITEM-1","issue":"1","issued":{"date-parts":[["2012","9","24"]]},"page":"506","title":"Advances in genome-wide RNAi cellular screens: a case study using the Drosophila JAK/STAT pathway.","type":"article-journal","volume":"13"},"uris":["http://www.mendeley.com/documents/?uuid=307c217e-7d93-3a18-8bd3-80949986d4ba"]}],"mendeley":{"formattedCitation":"(Fisher &lt;i&gt;et al.&lt;/i&gt;, 2012a)","plainTextFormattedCitation":"(Fisher et al., 2012a)","previouslyFormattedCitation":"(Fisher &lt;i&gt;et al.&lt;/i&gt;, 2012a)"},"properties":{"noteIndex":0},"schema":"https://github.com/citation-style-language/schema/raw/master/csl-citation.json"}</w:instrText>
      </w:r>
      <w:r w:rsidR="005C0E76">
        <w:fldChar w:fldCharType="separate"/>
      </w:r>
      <w:r w:rsidRPr="00877390">
        <w:rPr>
          <w:noProof/>
        </w:rPr>
        <w:t xml:space="preserve">(Fisher </w:t>
      </w:r>
      <w:r w:rsidRPr="00877390">
        <w:rPr>
          <w:i/>
          <w:noProof/>
        </w:rPr>
        <w:t>et al.</w:t>
      </w:r>
      <w:r w:rsidRPr="00877390">
        <w:rPr>
          <w:noProof/>
        </w:rPr>
        <w:t>, 2012a)</w:t>
      </w:r>
      <w:r w:rsidR="005C0E76">
        <w:fldChar w:fldCharType="end"/>
      </w:r>
      <w:r w:rsidR="00024F30">
        <w:t>.</w:t>
      </w:r>
      <w:r w:rsidR="006A4FEC">
        <w:t xml:space="preserve"> Insecticidal applications also extend beyond crop protection to the neutralisation of insects species which are vectors of human, animal or plant pathogens </w:t>
      </w:r>
      <w:r w:rsidR="005C0E76">
        <w:fldChar w:fldCharType="begin" w:fldLock="1"/>
      </w:r>
      <w:r w:rsidR="006863C0">
        <w:instrText>ADDIN CSL_CITATION {"citationItems":[{"id":"ITEM-1","itemData":{"DOI":"10.1098/rspb.2016.0042","ISBN":"0000000205","ISSN":"0962-8452","PMID":"26911963","abstract":"RNA interference (RNAi) methods for insects are often limited by problems with double-stranded (ds) RNA delivery, which restricts reverse genetics studies and the development of RNAi-based biocides. We therefore delegated to insect symbiotic bacteria the task of: (i) constitutive dsRNA synthesis and (ii) trauma-free delivery. RNaseIII-deficient, dsRNA-expressing bacterial strains were created from the symbionts of two very diverse pest species: a long-lived blood-sucking bug, Rhodnius prolixus, and a short-lived globally invasive polyphagous agricultural pest, western flower thrips (Frankliniella occidentalis). When ingested, the manipulated bacteria colonized the insects, successfully competed with the wild-type microflora, and sustainably mediated systemic knockdown phenotypes that were horizontally transmissible. This represents a significant advance in the ability to deliver RNAi, potentially to a large range of non-model insects.","author":[{"dropping-particle":"","family":"Whitten","given":"Miranda M. A.","non-dropping-particle":"","parse-names":false,"suffix":""},{"dropping-particle":"","family":"Facey","given":"Paul D.","non-dropping-particle":"","parse-names":false,"suffix":""},{"dropping-particle":"","family":"Sol","given":"Ricardo","non-dropping-particle":"Del","parse-names":false,"suffix":""},{"dropping-particle":"","family":"Fernández-Martínez","given":"Lorena T.","non-dropping-particle":"","parse-names":false,"suffix":""},{"dropping-particle":"","family":"Evans","given":"Meirwyn C.","non-dropping-particle":"","parse-names":false,"suffix":""},{"dropping-particle":"","family":"Mitchell","given":"Jacob J.","non-dropping-particle":"","parse-names":false,"suffix":""},{"dropping-particle":"","family":"Bodger","given":"Owen G.","non-dropping-particle":"","parse-names":false,"suffix":""},{"dropping-particle":"","family":"Dyson","given":"Paul J.","non-dropping-particle":"","parse-names":false,"suffix":""}],"container-title":"Proceedings of the Royal Society B: Biological Sciences","id":"ITEM-1","issue":"1825","issued":{"date-parts":[["2016"]]},"page":"20160042","title":"Symbiont-mediated RNA interference in insects","type":"article-journal","volume":"283"},"uris":["http://www.mendeley.com/documents/?uuid=a728933d-847e-40e5-870b-33527b67f1f8"]},{"id":"ITEM-2","itemData":{"DOI":"10.3390/insects8010004","ISBN":"2075-4450","ISSN":"20754450","PMID":"28067782","abstract":"RNA interference (RNAi) is a powerful tool to silence endogenous mosquito and mosquito-borne pathogen genes in vivo. As the number of studies utilizing RNAi in basic research grows, so too does the arsenal of physiological targets that can be developed into products that interrupt mosquito life cycles and behaviors and, thereby, relieve the burden of mosquitoes on human health and well-being. As this technology becomes more viable for use in beneficial and pest insect management in agricultural settings, it is exciting to consider its role in public health entomology. Existing and burgeoning strategies for insecticide delivery could be adapted to function as RNAi trigger delivery systems and thereby expedite transformation of RNAi from the lab to the field for mosquito control. Taken together, development of RNAi-based vector and pathogen management techniques &amp;amp; strategies are within reach. That said, tools for successful RNAi design, studies exploring RNAi in the context of vector control, and studies demonstrating field efficacy of RNAi trigger delivery have yet to be honed and/or developed for mosquito control.","author":[{"dropping-particle":"","family":"Airs","given":"Paul M.","non-dropping-particle":"","parse-names":false,"suffix":""},{"dropping-particle":"","family":"Bartholomay","given":"Lyric C.","non-dropping-particle":"","parse-names":false,"suffix":""}],"container-title":"Insects","id":"ITEM-2","issue":"1","issued":{"date-parts":[["2017"]]},"title":"RNA interference for mosquito and mosquito-borne disease control","type":"article-journal","volume":"8"},"uris":["http://www.mendeley.com/documents/?uuid=2299e73d-8f23-49e3-b24f-82d7fa88d548"]}],"mendeley":{"formattedCitation":"(Whitten &lt;i&gt;et al.&lt;/i&gt;, 2016; Airs and Bartholomay, 2017)","plainTextFormattedCitation":"(Whitten et al., 2016; Airs and Bartholomay, 2017)","previouslyFormattedCitation":"(Whitten &lt;i&gt;et al.&lt;/i&gt;, 2016; Airs and Bartholomay, 2017)"},"properties":{"noteIndex":0},"schema":"https://github.com/citation-style-language/schema/raw/master/csl-citation.json"}</w:instrText>
      </w:r>
      <w:r w:rsidR="005C0E76">
        <w:fldChar w:fldCharType="separate"/>
      </w:r>
      <w:r w:rsidR="006A4FEC" w:rsidRPr="006A4FEC">
        <w:rPr>
          <w:noProof/>
        </w:rPr>
        <w:t xml:space="preserve">(Whitten </w:t>
      </w:r>
      <w:r w:rsidR="006A4FEC" w:rsidRPr="006A4FEC">
        <w:rPr>
          <w:i/>
          <w:noProof/>
        </w:rPr>
        <w:t>et al.</w:t>
      </w:r>
      <w:r w:rsidR="006A4FEC" w:rsidRPr="006A4FEC">
        <w:rPr>
          <w:noProof/>
        </w:rPr>
        <w:t>, 2016; Airs and Bartholomay, 2017)</w:t>
      </w:r>
      <w:r w:rsidR="005C0E76">
        <w:fldChar w:fldCharType="end"/>
      </w:r>
      <w:r w:rsidR="00E42CDC">
        <w:t xml:space="preserve"> such as mosquitoes</w:t>
      </w:r>
      <w:r w:rsidR="006A4FEC">
        <w:t>.</w:t>
      </w:r>
    </w:p>
    <w:p w:rsidR="00C0518B" w:rsidRPr="00C0518B" w:rsidRDefault="00684F22" w:rsidP="000441D9">
      <w:pPr>
        <w:pStyle w:val="ListParagraph"/>
        <w:spacing w:line="360" w:lineRule="auto"/>
        <w:ind w:left="0" w:firstLine="284"/>
      </w:pPr>
      <w:r>
        <w:t xml:space="preserve">Beyond the use of traditional small molecule pesticides as a ‘chemical’ method of pest control, an initial successful ‘biological’ method utilising </w:t>
      </w:r>
      <w:r w:rsidRPr="00684F22">
        <w:rPr>
          <w:i/>
        </w:rPr>
        <w:t>Bacillus thuringiensis</w:t>
      </w:r>
      <w:r>
        <w:t xml:space="preserve"> (</w:t>
      </w:r>
      <w:r w:rsidRPr="00684F22">
        <w:rPr>
          <w:i/>
        </w:rPr>
        <w:t>Bt</w:t>
      </w:r>
      <w:r>
        <w:t>) toxin</w:t>
      </w:r>
      <w:r w:rsidR="00877390">
        <w:t xml:space="preserve">s, either as a sprayable insecticide, or with </w:t>
      </w:r>
      <w:r w:rsidR="00877390" w:rsidRPr="00877390">
        <w:rPr>
          <w:i/>
        </w:rPr>
        <w:t>Bt</w:t>
      </w:r>
      <w:r w:rsidR="00877390">
        <w:t xml:space="preserve"> toxin</w:t>
      </w:r>
      <w:r>
        <w:t xml:space="preserve"> genes engineered into transgenic crop strains</w:t>
      </w:r>
      <w:r w:rsidR="00877390">
        <w:t>,</w:t>
      </w:r>
      <w:r>
        <w:t xml:space="preserve"> has been effective. However </w:t>
      </w:r>
      <w:r w:rsidR="006863C0">
        <w:t xml:space="preserve">many important insect pest species are not susceptible to </w:t>
      </w:r>
      <w:r>
        <w:t xml:space="preserve">this method </w:t>
      </w:r>
      <w:r w:rsidR="006863C0">
        <w:t xml:space="preserve">of control, while other previously susceptible species have developed resistance to </w:t>
      </w:r>
      <w:r w:rsidR="006863C0" w:rsidRPr="006863C0">
        <w:rPr>
          <w:i/>
        </w:rPr>
        <w:t>Bt</w:t>
      </w:r>
      <w:r w:rsidR="006863C0">
        <w:t xml:space="preserve"> toxins </w:t>
      </w:r>
      <w:r w:rsidR="005C0E76">
        <w:fldChar w:fldCharType="begin" w:fldLock="1"/>
      </w:r>
      <w:r w:rsidR="002B5712">
        <w:instrText>ADDIN CSL_CITATION {"citationItems":[{"id":"ITEM-1","itemData":{"DOI":"10.1038/nbt1107-1231","ISBN":"1087-0156 (Print)\\r1087-0156 (Linking)","ISSN":"1087-0156","PMID":"17989682","abstract":"RNA interference induced in insects after ingestion of plant-expressed hairpin RNA offers promise for managing devastating crop pests. © 2007 Nature Publishing Group.","author":[{"dropping-particle":"","family":"Gordon","given":"Karl H J","non-dropping-particle":"","parse-names":false,"suffix":""},{"dropping-particle":"","family":"Waterhouse","given":"Peter M","non-dropping-particle":"","parse-names":false,"suffix":""}],"container-title":"Nature biotechnology","id":"ITEM-1","issue":"11","issued":{"date-parts":[["2007"]]},"page":"1231-1232","title":"RNAi for insect-proof plants.","type":"article-journal","volume":"25"},"uris":["http://www.mendeley.com/documents/?uuid=beae6d4a-e84a-4423-b284-ec8eed315563"]}],"mendeley":{"formattedCitation":"(Gordon and Waterhouse, 2007)","plainTextFormattedCitation":"(Gordon and Waterhouse, 2007)","previouslyFormattedCitation":"(Gordon and Waterhouse, 2007)"},"properties":{"noteIndex":0},"schema":"https://github.com/citation-style-language/schema/raw/master/csl-citation.json"}</w:instrText>
      </w:r>
      <w:r w:rsidR="005C0E76">
        <w:fldChar w:fldCharType="separate"/>
      </w:r>
      <w:r w:rsidR="006863C0" w:rsidRPr="006863C0">
        <w:rPr>
          <w:noProof/>
        </w:rPr>
        <w:t>(Gordon and Waterhouse, 2007)</w:t>
      </w:r>
      <w:r w:rsidR="005C0E76">
        <w:fldChar w:fldCharType="end"/>
      </w:r>
      <w:r w:rsidR="006863C0">
        <w:t xml:space="preserve">. </w:t>
      </w:r>
      <w:r w:rsidR="00C0518B">
        <w:t xml:space="preserve">This and the drivers discussed </w:t>
      </w:r>
      <w:r w:rsidR="00C0518B" w:rsidRPr="00595094">
        <w:t xml:space="preserve">in section </w:t>
      </w:r>
      <w:r w:rsidR="00595094" w:rsidRPr="00595094">
        <w:t>1.1</w:t>
      </w:r>
      <w:r w:rsidR="00C0518B" w:rsidRPr="00595094">
        <w:t xml:space="preserve"> above</w:t>
      </w:r>
      <w:r w:rsidR="00C0518B">
        <w:t>, have lead to investigation of dsRNA</w:t>
      </w:r>
      <w:r w:rsidR="00877390">
        <w:t xml:space="preserve"> based biocontrols</w:t>
      </w:r>
      <w:r w:rsidR="00C0518B">
        <w:t>. The wide range of targets and insects investigated (also see above) have revealed there are significant differences between the susceptibility of different insect orders and species to RNAi.</w:t>
      </w:r>
    </w:p>
    <w:p w:rsidR="0058135C" w:rsidRPr="00D6722B" w:rsidRDefault="0058135C" w:rsidP="000441D9">
      <w:pPr>
        <w:pStyle w:val="ListParagraph"/>
        <w:spacing w:line="360" w:lineRule="auto"/>
        <w:ind w:left="0" w:firstLine="284"/>
      </w:pPr>
    </w:p>
    <w:p w:rsidR="0058135C" w:rsidRPr="00D6722B" w:rsidRDefault="0038054D" w:rsidP="000441D9">
      <w:pPr>
        <w:spacing w:line="360" w:lineRule="auto"/>
        <w:ind w:firstLine="284"/>
      </w:pPr>
      <w:r w:rsidRPr="00D6722B">
        <w:t>Coleoptera</w:t>
      </w:r>
      <w:r w:rsidR="00877390" w:rsidRPr="00D6722B">
        <w:t>n insects</w:t>
      </w:r>
      <w:r w:rsidRPr="00D6722B">
        <w:t xml:space="preserve"> demonstrate the most robust RNAi response, while </w:t>
      </w:r>
      <w:r w:rsidR="0058135C" w:rsidRPr="00D6722B">
        <w:t>Lepidoptera</w:t>
      </w:r>
      <w:r w:rsidR="00877390" w:rsidRPr="00D6722B">
        <w:t xml:space="preserve"> for example,</w:t>
      </w:r>
      <w:r w:rsidR="0058135C" w:rsidRPr="00D6722B">
        <w:t xml:space="preserve"> represent the lower extremity of insect RNAi efficacy</w:t>
      </w:r>
      <w:r w:rsidRPr="00D6722B">
        <w:t>.</w:t>
      </w:r>
      <w:r w:rsidR="0058135C" w:rsidRPr="00D6722B">
        <w:t xml:space="preserve"> </w:t>
      </w:r>
      <w:r w:rsidRPr="00D6722B">
        <w:t>H</w:t>
      </w:r>
      <w:r w:rsidR="0058135C" w:rsidRPr="00D6722B">
        <w:t>owever</w:t>
      </w:r>
      <w:r w:rsidRPr="00D6722B">
        <w:t>,</w:t>
      </w:r>
      <w:r w:rsidR="0058135C" w:rsidRPr="00D6722B">
        <w:t xml:space="preserve"> many other insect orders beside Coleoptera demonstrate robust RNAi responses including Orthoptera (grasshoppers, locusts and crickets) </w:t>
      </w:r>
      <w:r w:rsidR="005C0E76" w:rsidRPr="00D6722B">
        <w:fldChar w:fldCharType="begin" w:fldLock="1"/>
      </w:r>
      <w:r w:rsidR="0058135C" w:rsidRPr="00D6722B">
        <w:instrText>ADDIN CSL_CITATION {"citationItems":[{"id":"ITEM-1","itemData":{"DOI":"10.1186/1472-6750-5-25","ISSN":"14726750","abstract":"Grasshopper serves as important model system in neuroscience, development and evolution. Representatives of this primitive insect group are also highly relevant targets of pest control efforts. Unfortunately, the lack of genetics or gene specific molecular manipulation imposes major limitations to the study of grasshopper biology. We investigated whether juvenile instars of the grasshopper species Schistocerca americana are conducive to gene silencing via the systemic RNAi pathway. Injection of dsRNA corresponding to the eye colour gene vermilion into first instar nymphs triggered suppression of ommochrome formation in the eye lasting through two instars equivalent to 10–14 days in absolute time. QRT-PCR analysis revealed a two fold decrease of target transcript levels in affected animals. Control injections of EGFP dsRNA did not result in detectable phenotypic changes. RT-PCR and in situ hybridization detected ubiquitous expression of the grasshopper homolog of the dsRNA channel protein gene sid-1 in embryos, nymphs and adults. Our results demonstrate that systemic dsRNA application elicits specific and long-term gene silencing in juvenile grasshopper instars. The conservation of systemic RNAi in the grasshopper suggests that this pathway can be exploited for gene specific manipulation of juvenile and adult instars in a wide range of primitive insects.","author":[{"dropping-particle":"","family":"Dong","given":"Ying","non-dropping-particle":"","parse-names":false,"suffix":""},{"dropping-particle":"","family":"Friedrich","given":"Markus","non-dropping-particle":"","parse-names":false,"suffix":""}],"container-title":"BMC Biotechnology","id":"ITEM-1","issue":"1","issued":{"date-parts":[["2005","10","3"]]},"page":"25","publisher":"BioMed Central","title":"Nymphal RNAi: systemic RNAi mediated gene knockdown in juvenile grasshopper","type":"article-journal","volume":"5"},"uris":["http://www.mendeley.com/documents/?uuid=6efe607a-988e-339a-9053-e5f48f75abbe"]},{"id":"ITEM-2","itemData":{"DOI":"10.1016/J.JINSPHYS.2015.02.010","ISSN":"0022-1910","abstract":"In this article, we identify and characterise the miRNA machinery components Drosha, Dicer-1 and Argonaute-1 of the desert locust. By means of phylogenetic analyses, we reveal important insights in the evolutionary context of these components. Our data illustrate that insect Argonaute-1 proteins form a monophyletic group with ALG-1 and ALG-2 of Caenorhabditis elegans and with the four (non-Piwi) Argonaute proteins present in humans. On the other hand, humans apparently lack clear homologues of the insect Argonaute-2 proteins. In addition, we demonstrate that drosha, dicer-1 and argonaute-1 display wide transcript tissue-distribution in adult desert locusts, and that during locust phase transition and feeding of starved locusts the expression levels of the miRNA pathway are regulated at the transcript level.","author":[{"dropping-particle":"","family":"Wynant","given":"Niels","non-dropping-particle":"","parse-names":false,"suffix":""},{"dropping-particle":"","family":"Santos","given":"Dulce","non-dropping-particle":"","parse-names":false,"suffix":""},{"dropping-particle":"","family":"Subramanyam","given":"Sudheendra Hebbar","non-dropping-particle":"","parse-names":false,"suffix":""},{"dropping-particle":"","family":"Verlinden","given":"Heleen","non-dropping-particle":"","parse-names":false,"suffix":""},{"dropping-particle":"","family":"Broeck","given":"Jozef","non-dropping-particle":"Vanden","parse-names":false,"suffix":""}],"container-title":"Journal of Insect Physiology","id":"ITEM-2","issued":{"date-parts":[["2015","4","1"]]},"page":"20-29","publisher":"Pergamon","title":"Drosha, Dicer-1 and Argonaute-1 in the desert locust: Phylogenetic analyses, transcript profiling and regulation during phase transition and feeding","type":"article-journal","volume":"75"},"uris":["http://www.mendeley.com/documents/?uuid=74f8c714-1cc9-3595-b073-ac7142106ae2"]}],"mendeley":{"formattedCitation":"(Dong and Friedrich, 2005; Wynant &lt;i&gt;et al.&lt;/i&gt;, 2015)","plainTextFormattedCitation":"(Dong and Friedrich, 2005; Wynant et al., 2015)","previouslyFormattedCitation":"(Dong and Friedrich, 2005; Wynant &lt;i&gt;et al.&lt;/i&gt;, 2015)"},"properties":{"noteIndex":0},"schema":"https://github.com/citation-style-language/schema/raw/master/csl-citation.json"}</w:instrText>
      </w:r>
      <w:r w:rsidR="005C0E76" w:rsidRPr="00D6722B">
        <w:fldChar w:fldCharType="separate"/>
      </w:r>
      <w:r w:rsidR="0058135C" w:rsidRPr="00D6722B">
        <w:rPr>
          <w:noProof/>
        </w:rPr>
        <w:t xml:space="preserve">(Dong and Friedrich, 2005; Wynant </w:t>
      </w:r>
      <w:r w:rsidR="0058135C" w:rsidRPr="00D6722B">
        <w:rPr>
          <w:i/>
          <w:noProof/>
        </w:rPr>
        <w:t>et al.</w:t>
      </w:r>
      <w:r w:rsidR="0058135C" w:rsidRPr="00D6722B">
        <w:rPr>
          <w:noProof/>
        </w:rPr>
        <w:t>, 2015)</w:t>
      </w:r>
      <w:r w:rsidR="005C0E76" w:rsidRPr="00D6722B">
        <w:fldChar w:fldCharType="end"/>
      </w:r>
      <w:r w:rsidR="006B0920" w:rsidRPr="00D6722B">
        <w:t>,</w:t>
      </w:r>
      <w:r w:rsidR="0058135C" w:rsidRPr="00D6722B">
        <w:t xml:space="preserve"> Hymenoptera (bees, wasps, ants and saw flies) </w:t>
      </w:r>
      <w:r w:rsidR="005C0E76" w:rsidRPr="00D6722B">
        <w:fldChar w:fldCharType="begin" w:fldLock="1"/>
      </w:r>
      <w:r w:rsidR="0058135C" w:rsidRPr="00D6722B">
        <w:instrText>ADDIN CSL_CITATION {"citationItems":[{"id":"ITEM-1","itemData":{"DOI":"10.1186/1472-6750-3-1","ISSN":"14726750","abstract":"The ability to manipulate the genetic networks underlying the physiological and behavioural repertoires of the adult honeybee worker (Apis mellifera) is likely to deepen our understanding of issues such as learning and memory generation, ageing, and the regulatory anatomy of social systems in proximate as well as evolutionary terms. Here we assess two methods for probing gene function by RNA interference (RNAi) in adult honeybees. The vitellogenin gene was chosen as target because its expression is unlikely to have a phenotypic effect until the adult stage in bees. This allowed us to introduce dsRNA in preblastoderm eggs without affecting gene function during development. Of workers reared from eggs injected with dsRNA derived from a 504 bp stretch of the vitellogenin coding sequence, 15% had strongly reduced levels of vitellogenin mRNA. When dsRNA was introduced by intra-abdominal injection in newly emerged bees, almost all individuals (96 %) showed the mutant phenotype. An RNA-fragment with an apparent size similar to the template dsRNA was still present in this group after 15 days. Injection of dsRNA in eggs at the preblastoderm stage seems to allow disruption of gene function in all developmental stages. To dissect gene function in the adult stage, the intra-abdominal injection technique seems superior to egg injection as it gives a much higher penetrance, it is much simpler, and it makes it possible to address genes that are also expressed in the embryonic, larval or pupal stages.","author":[{"dropping-particle":"V","family":"Amdam","given":"Gro","non-dropping-particle":"","parse-names":false,"suffix":""},{"dropping-particle":"","family":"Simões","given":"Zilá LP","non-dropping-particle":"","parse-names":false,"suffix":""},{"dropping-particle":"","family":"Guidugli","given":"Karina R","non-dropping-particle":"","parse-names":false,"suffix":""},{"dropping-particle":"","family":"Norberg","given":"Kari","non-dropping-particle":"","parse-names":false,"suffix":""},{"dropping-particle":"","family":"Omholt","given":"Stig W","non-dropping-particle":"","parse-names":false,"suffix":""}],"container-title":"BMC Biotechnology","id":"ITEM-1","issue":"1","issued":{"date-parts":[["2003","1","20"]]},"page":"1","publisher":"BioMed Central","title":"Disruption of vitellogenin gene function in adult honeybees by intra-abdominal injection of double-stranded RNA","type":"article-journal","volume":"3"},"uris":["http://www.mendeley.com/documents/?uuid=9aee1178-a1c7-3930-af60-3881892b324e"]},{"id":"ITEM-2","itemData":{"DOI":"10.1007/s11262-016-1346-6","ISSN":"0920-8569","author":[{"dropping-particle":"","family":"Zhang","given":"Jianqing","non-dropping-particle":"","parse-names":false,"suffix":""},{"dropping-particle":"","family":"Zhang","given":"Yi","non-dropping-particle":"","parse-names":false,"suffix":""},{"dropping-particle":"","family":"Han","given":"Richou","non-dropping-particle":"","parse-names":false,"suffix":""}],"container-title":"Virus Genes","id":"ITEM-2","issue":"5","issued":{"date-parts":[["2016","10","2"]]},"page":"698-705","publisher":"Springer US","title":"The high-throughput production of dsRNA against sacbrood virus for use in the honey bee Apis cerana (Hymenoptera: Apidae)","type":"article-journal","volume":"52"},"uris":["http://www.mendeley.com/documents/?uuid=6b5920b0-824f-3bc4-8ea8-30eee53c9a96"]},{"id":"ITEM-3","itemData":{"DOI":"10.1016/J.JINSPHYS.2013.01.009","ISSN":"0022-1910","abstract":"RNA interference (RNAi) is a powerful and convenient tool not only for functional analysis of specific genes, but also for large-scale screening of gene function in insects; however, reports on its efficiency throughout development in a single species are limited. We demonstrate here that non-cell autonomous RNAi by injection of double-stranded RNA (dsRNA) knocks down targeting genes in most developmental stages in the sawfly, Athalia rosae. Injection of dsRNA targeting the green fluorescence protein (gfp) gene into eggs of a transgenic strain carrying the constitutively expressing gfp gene resulted in the absence of GFP fluorescence during embryogenesis, while a portion of the gfp dsRNA-injected embryos began exhibiting GFP fluorescence at late embryogenesis. When gfp dsRNA was injected into parental female pupae, the RNAi effect was carried over to all embryos of the next generation and the effect lasted until mid-larval stages. Parental injection of dsRNA was more efficient than embryonic injection in terms of penetrance of the effect and the survival rate. After injection of gfp dsRNA into last instar larvae, the RNAi effect was sustained during prepupal and pupal stages and in adults. The gfp gene transcript markedly decreased in these knockdown phenotypes. It was revealed by employing fluorescence-labeled dsRNA that injected dsRNA was taken up in internal organs. Knockdown of an endogenous gene, Distal-less (Dll), resulted in typical phenotypes represented by the lack and malformation of Dll-expressing organs, such as distal parts of the appendages and wing edges without showing off-target effects. In contrast, RNAi by dsRNA injection seems to be hardly effective in mid- to late-larval stages.","author":[{"dropping-particle":"","family":"Yoshiyama","given":"Naotoshi","non-dropping-particle":"","parse-names":false,"suffix":""},{"dropping-particle":"","family":"Tojo","given":"Koji","non-dropping-particle":"","parse-names":false,"suffix":""},{"dropping-particle":"","family":"Hatakeyama","given":"Masatsugu","non-dropping-particle":"","parse-names":false,"suffix":""}],"container-title":"Journal of Insect Physiology","id":"ITEM-3","issue":"4","issued":{"date-parts":[["2013","4","1"]]},"page":"400-407","publisher":"Pergamon","title":"A survey of the effectiveness of non-cell autonomous RNAi throughout development in the sawfly, Athalia rosae (Hymenoptera)","type":"article-journal","volume":"59"},"uris":["http://www.mendeley.com/documents/?uuid=2d68fe15-a5c8-3a25-aae5-1d2df1a4441a"]}],"mendeley":{"formattedCitation":"(Amdam &lt;i&gt;et al.&lt;/i&gt;, 2003; Yoshiyama, Tojo and Hatakeyama, 2013; Zhang, Zhang and Han, 2016)","plainTextFormattedCitation":"(Amdam et al., 2003; Yoshiyama, Tojo and Hatakeyama, 2013; Zhang, Zhang and Han, 2016)","previouslyFormattedCitation":"(Amdam &lt;i&gt;et al.&lt;/i&gt;, 2003; Yoshiyama, Tojo and Hatakeyama, 2013; Zhang, Zhang and Han, 2016)"},"properties":{"noteIndex":0},"schema":"https://github.com/citation-style-language/schema/raw/master/csl-citation.json"}</w:instrText>
      </w:r>
      <w:r w:rsidR="005C0E76" w:rsidRPr="00D6722B">
        <w:fldChar w:fldCharType="separate"/>
      </w:r>
      <w:r w:rsidR="0058135C" w:rsidRPr="00D6722B">
        <w:rPr>
          <w:noProof/>
        </w:rPr>
        <w:t xml:space="preserve">(Amdam </w:t>
      </w:r>
      <w:r w:rsidR="0058135C" w:rsidRPr="00D6722B">
        <w:rPr>
          <w:i/>
          <w:noProof/>
        </w:rPr>
        <w:t>et al.</w:t>
      </w:r>
      <w:r w:rsidR="0058135C" w:rsidRPr="00D6722B">
        <w:rPr>
          <w:noProof/>
        </w:rPr>
        <w:t>, 2003; Yoshiyama, Tojo and Hatakeyama, 2013; Zhang, Zhang and Han, 2016)</w:t>
      </w:r>
      <w:r w:rsidR="005C0E76" w:rsidRPr="00D6722B">
        <w:fldChar w:fldCharType="end"/>
      </w:r>
      <w:r w:rsidR="006B0920" w:rsidRPr="00D6722B">
        <w:t>, and</w:t>
      </w:r>
      <w:r w:rsidR="00D802E0" w:rsidRPr="00D6722B">
        <w:t xml:space="preserve"> Blattodea (cockroaches and termites) </w:t>
      </w:r>
      <w:r w:rsidR="005C0E76" w:rsidRPr="00D6722B">
        <w:fldChar w:fldCharType="begin" w:fldLock="1"/>
      </w:r>
      <w:r w:rsidR="00D417D2" w:rsidRPr="00D6722B">
        <w:instrText>ADDIN CSL_CITATION {"citationItems":[{"id":"ITEM-1","itemData":{"DOI":"10.1016/j.jinsphys.2005.12.002","ISSN":"00221910","PMID":"16427073","abstract":"Ecdysteroids play a major role during developmental growth in insects. The more active form of these hormones, 20-hydroxyecdysone (20E), acts upon binding to its heterodimeric receptor, formed by the two nuclear receptors, EcR and RXR/USP. Functional characterization of USP has been exclusively conducted on the holometabolous insect Drosophila melanogaster. However, it has been impossible to extend such analysis to primitive-hemimetabolous insects since species of this group are not amenable to genetic analysis. The development of methodologies based on gene silencing using RNA interference (RNAi) after treatment with double-stranded RNA (dsRNA) in vivo has resolved such limitations. In this paper, we show that injection of dsRNA into the haemocoel of nymphs and adults of the cockroach Blattella germanica can be used to silence gene function in vivo. In our initial attempt to test RNAi techniques, we halted the expression of the adult-specific vitellogenin gene. We then used the same technique to silence the expression of the B. germanica RXR/USP (BgRXR) gene in vivo during the last nymphal instar. BgRXR knockdown nymphs progressed through the instar correctly but they arrested development at the end of the stage and were unable to molt into adults. The results described herein suggest that RXR/USP function, in relation to molting, is conserved across the insect Class.","author":[{"dropping-particle":"","family":"Martín","given":"David","non-dropping-particle":"","parse-names":false,"suffix":""},{"dropping-particle":"","family":"Maestro","given":"Oscar","non-dropping-particle":"","parse-names":false,"suffix":""},{"dropping-particle":"","family":"Cruz","given":"Josefa","non-dropping-particle":"","parse-names":false,"suffix":""},{"dropping-particle":"","family":"Mané-Padrós","given":"Daniel","non-dropping-particle":"","parse-names":false,"suffix":""},{"dropping-particle":"","family":"Bellés","given":"Xavier","non-dropping-particle":"","parse-names":false,"suffix":""}],"container-title":"Journal of Insect Physiology","id":"ITEM-1","issue":"4","issued":{"date-parts":[["2006","4"]]},"page":"410-416","title":"RNAi studies reveal a conserved role for RXR in molting in the cockroach Blattella germanica","type":"article-journal","volume":"52"},"uris":["http://www.mendeley.com/documents/?uuid=28546eaa-523c-39b5-a4ef-aded021c263b"]}],"mendeley":{"formattedCitation":"(Martín &lt;i&gt;et al.&lt;/i&gt;, 2006)","plainTextFormattedCitation":"(Martín et al., 2006)","previouslyFormattedCitation":"(Martín &lt;i&gt;et al.&lt;/i&gt;, 2006)"},"properties":{"noteIndex":0},"schema":"https://github.com/citation-style-language/schema/raw/master/csl-citation.json"}</w:instrText>
      </w:r>
      <w:r w:rsidR="005C0E76" w:rsidRPr="00D6722B">
        <w:fldChar w:fldCharType="separate"/>
      </w:r>
      <w:r w:rsidR="00D802E0" w:rsidRPr="00D6722B">
        <w:rPr>
          <w:noProof/>
        </w:rPr>
        <w:t xml:space="preserve">(Martín </w:t>
      </w:r>
      <w:r w:rsidR="00D802E0" w:rsidRPr="00D6722B">
        <w:rPr>
          <w:i/>
          <w:noProof/>
        </w:rPr>
        <w:t>et al.</w:t>
      </w:r>
      <w:r w:rsidR="00D802E0" w:rsidRPr="00D6722B">
        <w:rPr>
          <w:noProof/>
        </w:rPr>
        <w:t>, 2006)</w:t>
      </w:r>
      <w:r w:rsidR="005C0E76" w:rsidRPr="00D6722B">
        <w:fldChar w:fldCharType="end"/>
      </w:r>
      <w:r w:rsidR="0058135C" w:rsidRPr="00D6722B">
        <w:t xml:space="preserve">. </w:t>
      </w:r>
      <w:r w:rsidR="00C9398C" w:rsidRPr="00D6722B">
        <w:t>Some</w:t>
      </w:r>
      <w:r w:rsidR="006B0920" w:rsidRPr="00D6722B">
        <w:t xml:space="preserve"> orders, Diptera and</w:t>
      </w:r>
      <w:r w:rsidR="00C9398C" w:rsidRPr="00D6722B">
        <w:t xml:space="preserve"> Hemiptera</w:t>
      </w:r>
      <w:r w:rsidR="006B0920" w:rsidRPr="00D6722B">
        <w:t xml:space="preserve"> in particular, demonstrate great variability in RNAi efficacy depending on factors such as delivery method of the dsRNA </w:t>
      </w:r>
      <w:r w:rsidR="005C0E76" w:rsidRPr="00D6722B">
        <w:fldChar w:fldCharType="begin" w:fldLock="1"/>
      </w:r>
      <w:r w:rsidR="00D802E0" w:rsidRPr="00D6722B">
        <w:instrText>ADDIN CSL_CITATION {"citationItems":[{"id":"ITEM-1","itemData":{"DOI":"10.1002/ps.5126","ISSN":"1526498X","PMID":"29931761","abstract":"RNA interference (RNAi) is an endogenous, sequence-specific gene-silencing mechanism elicited by small RNA molecules. RNAi is a powerful reverse genetic tool, and is currently being utilized for managing insects and viruses. Widespread implementation of RNAi-based pest management strategies is currently hindered by inefficient and highly variable results when different insect species, strains, developmental stages, tissues, and genes are targeted. Mechanistic studies have shown that double-stranded ribonucleases (dsRNases), endosomal entrapment, deficient function of the core machinery, and inadequate immune stimulation contribute to limited RNAi efficiency. However, a comprehensive understanding of the molecular mechanisms limiting RNAi efficiency remains elusive. Recent advances in dsRNA stability in physiological tissues, dsRNA internalization into cells, the composition and function of the core RNAi machinery, as well as small-interfering RNA/double-stranded RNA amplification and spreading mechanisms are reviewed to establish a global understanding of the obstacles impeding wider understanding of RNAi mechanisms in insects. © 2018 Society of Chemical Industry.","author":[{"dropping-particle":"","family":"Cooper","given":"Anastasia MW","non-dropping-particle":"","parse-names":false,"suffix":""},{"dropping-particle":"","family":"Silver","given":"Kristopher","non-dropping-particle":"","parse-names":false,"suffix":""},{"dropping-particle":"","family":"Zhang","given":"Jianzhen","non-dropping-particle":"","parse-names":false,"suffix":""},{"dropping-particle":"","family":"Park","given":"Yoonseong","non-dropping-particle":"","parse-names":false,"suffix":""},{"dropping-particle":"","family":"Zhu","given":"Kun Yan","non-dropping-particle":"","parse-names":false,"suffix":""}],"container-title":"Pest Management Science","id":"ITEM-1","issue":"1","issued":{"date-parts":[["2019","1"]]},"page":"18-28","title":"Molecular mechanisms influencing efficiency of RNA interference in insects","type":"article-journal","volume":"75"},"uris":["http://www.mendeley.com/documents/?uuid=1370717e-a68d-317e-8add-1ddfdf0c6406"]}],"mendeley":{"formattedCitation":"(Cooper &lt;i&gt;et al.&lt;/i&gt;, 2019)","plainTextFormattedCitation":"(Cooper et al., 2019)","previouslyFormattedCitation":"(Cooper &lt;i&gt;et al.&lt;/i&gt;, 2019)"},"properties":{"noteIndex":0},"schema":"https://github.com/citation-style-language/schema/raw/master/csl-citation.json"}</w:instrText>
      </w:r>
      <w:r w:rsidR="005C0E76" w:rsidRPr="00D6722B">
        <w:fldChar w:fldCharType="separate"/>
      </w:r>
      <w:r w:rsidR="006B0920" w:rsidRPr="00D6722B">
        <w:rPr>
          <w:noProof/>
        </w:rPr>
        <w:t xml:space="preserve">(Cooper </w:t>
      </w:r>
      <w:r w:rsidR="006B0920" w:rsidRPr="00D6722B">
        <w:rPr>
          <w:i/>
          <w:noProof/>
        </w:rPr>
        <w:t>et al.</w:t>
      </w:r>
      <w:r w:rsidR="006B0920" w:rsidRPr="00D6722B">
        <w:rPr>
          <w:noProof/>
        </w:rPr>
        <w:t>, 2019)</w:t>
      </w:r>
      <w:r w:rsidR="005C0E76" w:rsidRPr="00D6722B">
        <w:fldChar w:fldCharType="end"/>
      </w:r>
      <w:r w:rsidR="006B0920" w:rsidRPr="00D6722B">
        <w:t xml:space="preserve">. Examples of successful RNAi experiments in both Hemiptera (true bugs) </w:t>
      </w:r>
      <w:r w:rsidR="005C0E76" w:rsidRPr="00D6722B">
        <w:fldChar w:fldCharType="begin" w:fldLock="1"/>
      </w:r>
      <w:r w:rsidR="006B0920" w:rsidRPr="00D6722B">
        <w:instrText>ADDIN CSL_CITATION {"citationItems":[{"id":"ITEM-1","itemData":{"ISSN":"0950-1991","PMID":"10934013","abstract":"Insects have evolved a large variety of specialized feeding strategies, with a corresponding variability in mouthpart morphology. We have, however, little understanding of the developmental mechanisms that underlie this diversity. Until recently it was difficult to perform any analysis of gene function outside of the genetic model insects Drosophila melanogaster and Tribolium castaneum. In this paper, we report the use of dsRNA-mediated interference (RNAi) to dissect gene function in the development of the milkweed bug Oncopeltus fasciatus, which has specialized suctorial mouthparts. The Hox genes Deformed (Dfd), proboscipedia (pb) and Sex combs reduced (Scr) have previously been shown to be expressed in the gnathal appendages of this species. Strikingly, the milkweed bug was found to have an unusual expression pattern of pb. Here, by analyzing single and combination RNAi depletions, we find that Dfd, pb and Scr are used in the milkweed bug to specify the identity of the mouthparts. The exact roles of the genes, however, are different from what is known in the two genetic model insects. The maxillary appendages in the bug are determined by the activities of the genes Dfd and Scr, rather than Dfd and pb as in the fly and beetle. The mandibular appendages are specified by Dfd, but their unique morphology in Oncopeltus suggests that Dfd's target genes are different. As in flies and beetles, the labium is specified by the combined activities of pb and Scr, but again, the function of pb appears to be different. Additionally, the regulatory control of pb by the other two genes seems to be different in the bug than in either of the other species. These novelties in Hox function, expression pattern and regulatory relationships may have been important for the evolution of the unique Hemipteran head.","author":[{"dropping-particle":"","family":"Hughes","given":"C L","non-dropping-particle":"","parse-names":false,"suffix":""},{"dropping-particle":"","family":"Kaufman","given":"T C","non-dropping-particle":"","parse-names":false,"suffix":""}],"container-title":"Development (Cambridge, England)","id":"ITEM-1","issue":"17","issued":{"date-parts":[["2000","9"]]},"page":"3683-94","title":"RNAi analysis of Deformed, proboscipedia and Sex combs reduced in the milkweed bug Oncopeltus fasciatus: novel roles for Hox genes in the hemipteran head.","type":"article-journal","volume":"127"},"uris":["http://www.mendeley.com/documents/?uuid=b9ee422e-2eee-3a61-a643-7d76c17747f2"]},{"id":"ITEM-2","itemData":{"DOI":"10.1038/s41598-018-22035-z","ISSN":"2045-2322","abstract":"The brown marmorated stink bug (BMSB) is native to Asia and recently invaded the USA. RNA interference (RNAi) is a gene silencing mechanism in which the introduction of double-stranded RNA (dsRNA) inhibits gene function by degrading target mRNA. In dsRNA stability assays, the dsRNases present in the hemolymph and salivary gland secretions of BMSB showed lower activity than those in the hemolymph of Heliothis virescens. We evaluated six housekeeping genes (18S rRNA, EF1-α, Actin, Ubiquitin, 60S RP and β-Tubulin) across dsRNA treatments (injection and feeding) in nymphs and adults of BMSB and identified 18S rRNA and 60S RP as the best genes to use as a reference in reverse-transcriptase quantitative PCR (RT-qPCR). Homologs of 13 genes that were shown to function as effective RNAi targets in other insects were identified and evaluated by injecting dsRNA targeting these homologs into BMSB adults. Five out of 13 dsRNAs tested caused more than 70% mortality by seven days after injection of dsRNA. Feeding dsRNA targeting five of these genes (IAP, ATPase, SNF7, GPCR, and PPI) to nymphs caused more than 70% mortality by three of the five dsRNAs tested. These data suggest that feeding dsRNA causes target gene knockdown and mortality in BMSB.","author":[{"dropping-particle":"","family":"Mogilicherla","given":"Kanakachari","non-dropping-particle":"","parse-names":false,"suffix":""},{"dropping-particle":"","family":"Howell","given":"Jeffrey L.","non-dropping-particle":"","parse-names":false,"suffix":""},{"dropping-particle":"","family":"Palli","given":"Subba Reddy","non-dropping-particle":"","parse-names":false,"suffix":""}],"container-title":"Scientific Reports","id":"ITEM-2","issue":"1","issued":{"date-parts":[["2018","12","27"]]},"page":"3720","publisher":"Nature Publishing Group","title":"Improving RNAi in the Brown Marmorated Stink Bug: Identification of target genes and reference genes for RT-qPCR","type":"article-journal","volume":"8"},"uris":["http://www.mendeley.com/documents/?uuid=af3a352a-9c22-3a20-ac7e-efdb8aad926f"]}],"mendeley":{"formattedCitation":"(Hughes and Kaufman, 2000; Mogilicherla, Howell and Palli, 2018)","plainTextFormattedCitation":"(Hughes and Kaufman, 2000; Mogilicherla, Howell and Palli, 2018)","previouslyFormattedCitation":"(Hughes and Kaufman, 2000; Mogilicherla, Howell and Palli, 2018)"},"properties":{"noteIndex":0},"schema":"https://github.com/citation-style-language/schema/raw/master/csl-citation.json"}</w:instrText>
      </w:r>
      <w:r w:rsidR="005C0E76" w:rsidRPr="00D6722B">
        <w:fldChar w:fldCharType="separate"/>
      </w:r>
      <w:r w:rsidR="006B0920" w:rsidRPr="00D6722B">
        <w:rPr>
          <w:noProof/>
        </w:rPr>
        <w:t>(Hughes and Kaufman, 2000; Mogilicherla, Howell and Palli, 2018)</w:t>
      </w:r>
      <w:r w:rsidR="005C0E76" w:rsidRPr="00D6722B">
        <w:fldChar w:fldCharType="end"/>
      </w:r>
      <w:r w:rsidR="006B0920" w:rsidRPr="00D6722B">
        <w:t xml:space="preserve">, and Diptera (flies) </w:t>
      </w:r>
      <w:r w:rsidR="005C0E76" w:rsidRPr="00D6722B">
        <w:fldChar w:fldCharType="begin" w:fldLock="1"/>
      </w:r>
      <w:r w:rsidR="006B0920" w:rsidRPr="00D6722B">
        <w:instrText>ADDIN CSL_CITATION {"citationItems":[{"id":"ITEM-1","itemData":{"DOI":"10.1016/S0092-8674(00)81725-0","ISSN":"00928674","author":[{"dropping-particle":"","family":"Kennerdell","given":"Jason R","non-dropping-particle":"","parse-names":false,"suffix":""},{"dropping-particle":"","family":"Carthew","given":"Richard W","non-dropping-particle":"","parse-names":false,"suffix":""}],"container-title":"Cell","id":"ITEM-1","issue":"7","issued":{"date-parts":[["1998","12"]]},"page":"1017-1026","title":"Use of dsRNA-Mediated Genetic Interference to Demonstrate that frizzled and frizzled 2 Act in the Wingless Pathway","type":"article-journal","volume":"95"},"uris":["http://www.mendeley.com/documents/?uuid=841d7294-6d7e-3836-b22a-f81295faffc1"]},{"id":"ITEM-2","itemData":{"DOI":"10.1073/pnas.96.4.1451","ISSN":"0027-8424","PMID":"9990044","abstract":"The expression of the MyoD gene homolog, nautilus (nau), in the Drosophila embryo defines a subset of mesodermal cells known as the muscle \"pioneer\" or \"founder\" cells. These cells are thought to establish the future muscle pattern in each hemisegment. Founders appear to recruit fusion-competent mesodermal cells to establish a particular muscle fiber type. In support of this concept every somatic muscle in the embryo is associated with one or more nautilus-positive cells. However, because of the lack of known (isolated) nautilus mutations, no direct test of the founder cell hypothesis has been possible. We now have utilized toxin ablation and genetic interference by double-stranded RNA (RNA interference or RNA-i) to determine both the role of the nautilus-expressing cells and the nautilus gene, respectively, in embryonic muscle formation. In the absence of nautilus-expressing cells muscle formation is severely disrupted or absent. A similar phenotype is observed with the elimination of the nautilus gene product by genetic interference upon injection of nautilus double-stranded RNA. These results define a crucial role for nautilus in embryonic muscle formation. The application of RNA interference to a variety of known Drosophila mutations as controls gave phenotypes essentially indistinguishable from the original mutation. RNA-i provides a powerful approach for the targeted disruption of a given genetic function in Drosophila.","author":[{"dropping-particle":"","family":"Misquitta","given":"L","non-dropping-particle":"","parse-names":false,"suffix":""},{"dropping-particle":"","family":"Paterson","given":"B M","non-dropping-particle":"","parse-names":false,"suffix":""}],"container-title":"Proceedings of the National Academy of Sciences of the United States of America","id":"ITEM-2","issue":"4","issued":{"date-parts":[["1999","2","16"]]},"page":"1451-6","publisher":"National Academy of Sciences","title":"Targeted disruption of gene function in Drosophila by RNA interference (RNA-i): a role for nautilus in embryonic somatic muscle formation.","type":"article-journal","volume":"96"},"uris":["http://www.mendeley.com/documents/?uuid=915261c6-21a3-3f79-8fa7-e8edac3c74ac"]}],"mendeley":{"formattedCitation":"(Kennerdell and Carthew, 1998; Misquitta and Paterson, 1999)","plainTextFormattedCitation":"(Kennerdell and Carthew, 1998; Misquitta and Paterson, 1999)","previouslyFormattedCitation":"(Kennerdell and Carthew, 1998; Misquitta and Paterson, 1999)"},"properties":{"noteIndex":0},"schema":"https://github.com/citation-style-language/schema/raw/master/csl-citation.json"}</w:instrText>
      </w:r>
      <w:r w:rsidR="005C0E76" w:rsidRPr="00D6722B">
        <w:fldChar w:fldCharType="separate"/>
      </w:r>
      <w:r w:rsidR="006B0920" w:rsidRPr="00D6722B">
        <w:rPr>
          <w:noProof/>
        </w:rPr>
        <w:t>(Kennerdell and Carthew, 1998; Misquitta and Paterson, 1999)</w:t>
      </w:r>
      <w:r w:rsidR="005C0E76" w:rsidRPr="00D6722B">
        <w:fldChar w:fldCharType="end"/>
      </w:r>
      <w:r w:rsidR="006B0920" w:rsidRPr="00D6722B">
        <w:t xml:space="preserve"> have been demonstrated however. </w:t>
      </w:r>
      <w:r w:rsidR="00C9398C" w:rsidRPr="00D6722B">
        <w:t xml:space="preserve"> </w:t>
      </w:r>
    </w:p>
    <w:p w:rsidR="00754126" w:rsidRPr="00D6722B" w:rsidRDefault="00754126" w:rsidP="000441D9">
      <w:pPr>
        <w:spacing w:line="360" w:lineRule="auto"/>
        <w:ind w:firstLine="284"/>
      </w:pPr>
      <w:r w:rsidRPr="00D6722B">
        <w:t xml:space="preserve">A number of factors have been </w:t>
      </w:r>
      <w:r w:rsidR="00E456FE" w:rsidRPr="00D6722B">
        <w:t xml:space="preserve">proposed as contributing to the significantly reduced efficacy of RNAi </w:t>
      </w:r>
      <w:r w:rsidR="00C2576A" w:rsidRPr="00D6722B">
        <w:t xml:space="preserve">triggered by oral dsRNA exposure </w:t>
      </w:r>
      <w:r w:rsidR="00E456FE" w:rsidRPr="00D6722B">
        <w:t>in Lepidoptera compared to other orders</w:t>
      </w:r>
      <w:r w:rsidRPr="00D6722B">
        <w:t xml:space="preserve">. Lepidoptera have a high pH in the midgut lumen capable of degrading dsRNA, and the goblet cells responsible for producing the high pH are one of the most alkaline biological systems known </w:t>
      </w:r>
      <w:r w:rsidR="005C0E76" w:rsidRPr="00D6722B">
        <w:fldChar w:fldCharType="begin" w:fldLock="1"/>
      </w:r>
      <w:r w:rsidRPr="00D6722B">
        <w:instrText>ADDIN CSL_CITATION {"citationItems":[{"id":"ITEM-1","itemData":{"ISSN":"1477-9145","PMID":"9874748","abstract":"Lepidopteran larvae demonstrate several remarkable specialisations of the alimentary canal: the most active epithelial transport known; a unique cell type, called a goblet cell; and the highest pH values known to be generated by a biological system. The electrogenic K+ pump in midgut is now known to be energised by a H+-pumping V-ATPase, and net alkali metal transport is achieved by linking it to a nH+/alkali metal exchanger, which recycles H+ into the cytoplasm. Generation of high luminal pH is modelled as a passive (Nernstian) distribution of protons in the electrical field generated by the V-type ATPase. Electrode impalements show that the potential difference across the goblet cavity membrane is extremely high. Measurements of pH gradients generated in vitro confirm that the midgut itself generates such a gradient, that this process relies on metabolic energy, and that the differential ability of midgut subregions to perform acid-base transport maps to their differing morphologies and to the pH profiles observed along the gut in vivo. During larval/larval moults, K+ transport is suppressed. The transepithelial potential difference (PD) across the gut collapses and recovers in phase with the loss and recovery of the gut pH gradient, and with tissue V-ATPase activity, confirming that these processes are intimately linked. Acridine Orange partitions into acidic compartments and might be expected to be concentrated in goblet cavities, as these are the compartments toward which the V-ATPase pumps protons. However, under normal conditions, Acridine Orange is excluded from the cavities. Red metachromasia of the cavities (implying low pH) is only observed when the ion transport status of the tissue is compromised. It thus seems likely that, under physiological conditions, K+/H+ exchange is tight enough to produce a neutral or alkaline, rather than acidic, cavity. Molecular analysis of the 16 000 Mr subunit from Manduca midgut reveals it to be closely similar to other known 16 000 Mr sequences, particularly that from Drosophila brain. It is thus likely to be a true H+ channel, rather than one modified for K+ transport. The cavity can be modelled in two ways: (i) to isolate the site of proton equilibration electrically from the main gut lumen, and thus allow larger pH gradients to develop, or (ii) to buffer the V-ATPase from the alkaline pH in the gut lumen, which would otherwise destroy the gradient driving the exchange of H+ for alkali metal cations. The fi…","author":[{"dropping-particle":"","family":"Dow","given":"","non-dropping-particle":"","parse-names":false,"suffix":""}],"container-title":"The Journal of experimental biology","id":"ITEM-1","issue":"Pt 1","issued":{"date-parts":[["1992","11","1"]]},"page":"355-375","title":"pH GRADIENTS IN LEPIDOPTERAN MIDGUT.","type":"article-journal","volume":"172"},"uris":["http://www.mendeley.com/documents/?uuid=31fb9a8b-4b27-3be9-80f2-b14d5e75d572"]},{"id":"ITEM-2","itemData":{"DOI":"10.1016/J.JINSPHYS.2010.11.006","ISSN":"0022-1910","abstract":"Gene silencing through RNA interference (RNAi) has revolutionized the study of gene function, particularly in non-model insects. However, in Lepidoptera (moths and butterflies) RNAi has many times proven to be difficult to achieve. Most of the negative results have been anecdotal and the positive experiments have not been collected in such a way that they are possible to analyze. In this review, we have collected detailed data from more than 150 experiments including all to date published and many unpublished experiments. Despite a large variation in the data, trends that are found are that RNAi is particularly successful in the family Saturniidae and in genes involved in immunity. On the contrary, gene expression in epidermal tissues seems to be most difficult to silence. In addition, gene silencing by feeding dsRNA requires high concentrations for success. Possible causes for the variability of success in RNAi experiments in Lepidoptera are discussed. The review also points to a need to further investigate the mechanism of RNAi in lepidopteran insects and its possible connection to the innate immune response. Our general understanding of RNAi in Lepidoptera will be further aided in the future as our public database at http://insectacentral.org/RNAi will continue to gather information on RNAi experiments.","author":[{"dropping-particle":"","family":"Terenius","given":"Olle","non-dropping-particle":"","parse-names":false,"suffix":""},{"dropping-particle":"","family":"Papanicolaou","given":"Alexie","non-dropping-particle":"","parse-names":false,"suffix":""},{"dropping-particle":"","family":"Garbutt","given":"Jennie S.","non-dropping-particle":"","parse-names":false,"suffix":""},{"dropping-particle":"","family":"Eleftherianos","given":"Ioannis","non-dropping-particle":"","parse-names":false,"suffix":""},{"dropping-particle":"","family":"Huvenne","given":"Hanneke","non-dropping-particle":"","parse-names":false,"suffix":""},{"dropping-particle":"","family":"Kanginakudru","given":"Sriramana","non-dropping-particle":"","parse-names":false,"suffix":""},{"dropping-particle":"","family":"Albrechtsen","given":"Merete","non-dropping-particle":"","parse-names":false,"suffix":""},{"dropping-particle":"","family":"An","given":"Chunju","non-dropping-particle":"","parse-names":false,"suffix":""},{"dropping-particle":"","family":"Aymeric","given":"Jean-Luc","non-dropping-particle":"","parse-names":false,"suffix":""},{"dropping-particle":"","family":"Barthel","given":"Andrea","non-dropping-particle":"","parse-names":false,"suffix":""},{"dropping-particle":"","family":"Bebas","given":"Piotr","non-dropping-particle":"","parse-names":false,"suffix":""},{"dropping-particle":"","family":"Bitra","given":"Kavita","non-dropping-particle":"","parse-names":false,"suffix":""},{"dropping-particle":"","family":"Bravo","given":"Alejandra","non-dropping-particle":"","parse-names":false,"suffix":""},{"dropping-particle":"","family":"Chevalier","given":"François","non-dropping-particle":"","parse-names":false,"suffix":""},{"dropping-particle":"","family":"Collinge","given":"Derek P.","non-dropping-particle":"","parse-names":false,"suffix":""},{"dropping-particle":"","family":"Crava","given":"Cristina M.","non-dropping-particle":"","parse-names":false,"suffix":""},{"dropping-particle":"","family":"Maagd","given":"Ruud A.","non-dropping-particle":"de","parse-names":false,"suffix":""},{"dropping-particle":"","family":"Duvic","given":"Bernard","non-dropping-particle":"","parse-names":false,"suffix":""},{"dropping-particle":"","family":"Erlandson","given":"Martin","non-dropping-particle":"","parse-names":false,"suffix":""},{"dropping-particle":"","family":"Faye","given":"Ingrid","non-dropping-particle":"","parse-names":false,"suffix":""},{"dropping-particle":"","family":"Felföldi","given":"Gabriella","non-dropping-particle":"","parse-names":false,"suffix":""},{"dropping-particle":"","family":"Fujiwara","given":"Haruhiko","non-dropping-particle":"","parse-names":false,"suffix":""},{"dropping-particle":"","family":"Futahashi","given":"Ryo","non-dropping-particle":"","parse-names":false,"suffix":""},{"dropping-particle":"","family":"Gandhe","given":"Archana S.","non-dropping-particle":"","parse-names":false,"suffix":""},{"dropping-particle":"","family":"Gatehouse","given":"Heather S.","non-dropping-particle":"","parse-names":false,"suffix":""},{"dropping-particle":"","family":"Gatehouse","given":"Laurence N.","non-dropping-particle":"","parse-names":false,"suffix":""},{"dropping-particle":"","family":"Giebultowicz","given":"Jadwiga M.","non-dropping-particle":"","parse-names":false,"suffix":""},{"dropping-particle":"","family":"Gómez","given":"Isabel","non-dropping-particle":"","parse-names":false,"suffix":""},{"dropping-particle":"","family":"Grimmelikhuijzen","given":"Cornelis J.P.","non-dropping-particle":"","parse-names":false,"suffix":""},{"dropping-particle":"","family":"Groot","given":"Astrid T.","non-dropping-particle":"","parse-names":false,"suffix":""},{"dropping-particle":"","family":"Hauser","given":"Frank","non-dropping-particle":"","parse-names":false,"suffix":""},{"dropping-particle":"","family":"Heckel","given":"David G.","non-dropping-particle":"","parse-names":false,"suffix":""},{"dropping-particle":"","family":"Hegedus","given":"Dwayne D.","non-dropping-particle":"","parse-names":false,"suffix":""},{"dropping-particle":"","family":"Hrycaj","given":"Steven","non-dropping-particle":"","parse-names":false,"suffix":""},{"dropping-particle":"","family":"Huang","given":"Lihua","non-dropping-particle":"","parse-names":false,"suffix":""},{"dropping-particle":"","family":"Hull","given":"J. Joe","non-dropping-particle":"","parse-names":false,"suffix":""},{"dropping-particle":"","family":"Iatrou","given":"Kostas","non-dropping-particle":"","parse-names":false,"suffix":""},{"dropping-particle":"","family":"Iga","given":"Masatoshi","non-dropping-particle":"","parse-names":false,"suffix":""},{"dropping-particle":"","family":"Kanost","given":"Michael R.","non-dropping-particle":"","parse-names":false,"suffix":""},{"dropping-particle":"","family":"Kotwica","given":"Joanna","non-dropping-particle":"","parse-names":false,"suffix":""},{"dropping-particle":"","family":"Li","given":"Changyou","non-dropping-particle":"","parse-names":false,"suffix":""},{"dropping-particle":"","family":"Li","given":"Jianghong","non-dropping-particle":"","parse-names":false,"suffix":""},{"dropping-particle":"","family":"Liu","given":"Jisheng","non-dropping-particle":"","parse-names":false,"suffix":""},{"dropping-particle":"","family":"Lundmark","given":"Magnus","non-dropping-particle":"","parse-names":false,"suffix":""},{"dropping-particle":"","family":"Matsumoto","given":"Shogo","non-dropping-particle":"","parse-names":false,"suffix":""},{"dropping-particle":"","family":"Meyering-Vos","given":"Martina","non-dropping-particle":"","parse-names":false,"suffix":""},{"dropping-particle":"","family":"Millichap","given":"Peter J.","non-dropping-particle":"","parse-names":false,"suffix":""},{"dropping-particle":"","family":"Monteiro","given":"Antónia","non-dropping-particle":"","parse-names":false,"suffix":""},{"dropping-particle":"","family":"Mrinal","given":"Nirotpal","non-dropping-particle":"","parse-names":false,"suffix":""},{"dropping-particle":"","family":"Niimi","given":"Teruyuki","non-dropping-particle":"","parse-names":false,"suffix":""},{"dropping-particle":"","family":"Nowara","given":"Daniela","non-dropping-particle":"","parse-names":false,"suffix":""},{"dropping-particle":"","family":"Ohnishi","given":"Atsushi","non-dropping-particle":"","parse-names":false,"suffix":""},{"dropping-particle":"","family":"Oostra","given":"Vicencio","non-dropping-particle":"","parse-names":false,"suffix":""},{"dropping-particle":"","family":"Ozaki","given":"Katsuhisa","non-dropping-particle":"","parse-names":false,"suffix":""},{"dropping-particle":"","family":"Papakonstantinou","given":"Maria","non-dropping-particle":"","parse-names":false,"suffix":""},{"dropping-particle":"","family":"Popadic","given":"Aleksandar","non-dropping-particle":"","parse-names":false,"suffix":""},{"dropping-particle":"V.","family":"Rajam","given":"Manchikatla","non-dropping-particle":"","parse-names":false,"suffix":""},{"dropping-particle":"","family":"Saenko","given":"Suzanne","non-dropping-particle":"","parse-names":false,"suffix":""},{"dropping-particle":"","family":"Simpson","given":"Robert M.","non-dropping-particle":"","parse-names":false,"suffix":""},{"dropping-particle":"","family":"Soberón","given":"Mario","non-dropping-particle":"","parse-names":false,"suffix":""},{"dropping-particle":"","family":"Strand","given":"Michael R.","non-dropping-particle":"","parse-names":false,"suffix":""},{"dropping-particle":"","family":"Tomita","given":"Shuichiro","non-dropping-particle":"","parse-names":false,"suffix":""},{"dropping-particle":"","family":"Toprak","given":"Umut","non-dropping-particle":"","parse-names":false,"suffix":""},{"dropping-particle":"","family":"Wang","given":"Ping","non-dropping-particle":"","parse-names":false,"suffix":""},{"dropping-particle":"","family":"Wee","given":"Choon Wei","non-dropping-particle":"","parse-names":false,"suffix":""},{"dropping-particle":"","family":"Whyard","given":"Steven","non-dropping-particle":"","parse-names":false,"suffix":""},{"dropping-particle":"","family":"Zhang","given":"Wenqing","non-dropping-particle":"","parse-names":false,"suffix":""},{"dropping-particle":"","family":"Nagaraju","given":"Javaregowda","non-dropping-particle":"","parse-names":false,"suffix":""},{"dropping-particle":"","family":"ffrench-Constant","given":"Richard H.","non-dropping-particle":"","parse-names":false,"suffix":""},{"dropping-particle":"","family":"Herrero","given":"Salvador","non-dropping-particle":"","parse-names":false,"suffix":""},{"dropping-particle":"","family":"Gordon","given":"Karl","non-dropping-particle":"","parse-names":false,"suffix":""},{"dropping-particle":"","family":"Swevers","given":"Luc","non-dropping-particle":"","parse-names":false,"suffix":""},{"dropping-particle":"","family":"Smagghe","given":"Guy","non-dropping-particle":"","parse-names":false,"suffix":""}],"container-title":"Journal of Insect Physiology","id":"ITEM-2","issue":"2","issued":{"date-parts":[["2011","2","1"]]},"page":"231-245","publisher":"Pergamon","title":"RNA interference in Lepidoptera: An overview of successful and unsuccessful studies and implications for experimental design","type":"article-journal","volume":"57"},"uris":["http://www.mendeley.com/documents/?uuid=0d7208e2-a447-3641-85af-7efe399a4301"]}],"mendeley":{"formattedCitation":"(Dow, 1992; Terenius &lt;i&gt;et al.&lt;/i&gt;, 2011)","plainTextFormattedCitation":"(Dow, 1992; Terenius et al., 2011)","previouslyFormattedCitation":"(Dow, 1992; Terenius &lt;i&gt;et al.&lt;/i&gt;, 2011)"},"properties":{"noteIndex":0},"schema":"https://github.com/citation-style-language/schema/raw/master/csl-citation.json"}</w:instrText>
      </w:r>
      <w:r w:rsidR="005C0E76" w:rsidRPr="00D6722B">
        <w:fldChar w:fldCharType="separate"/>
      </w:r>
      <w:r w:rsidRPr="00D6722B">
        <w:rPr>
          <w:noProof/>
        </w:rPr>
        <w:t xml:space="preserve">(Dow, 1992; Terenius </w:t>
      </w:r>
      <w:r w:rsidRPr="00D6722B">
        <w:rPr>
          <w:i/>
          <w:noProof/>
        </w:rPr>
        <w:t>et al.</w:t>
      </w:r>
      <w:r w:rsidRPr="00D6722B">
        <w:rPr>
          <w:noProof/>
        </w:rPr>
        <w:t>, 2011)</w:t>
      </w:r>
      <w:r w:rsidR="005C0E76" w:rsidRPr="00D6722B">
        <w:fldChar w:fldCharType="end"/>
      </w:r>
      <w:r w:rsidRPr="00D6722B">
        <w:t xml:space="preserve">. A potent nuclease termed RNAi efficiency-related nuclease (REase) only found in </w:t>
      </w:r>
      <w:r w:rsidRPr="00D6722B">
        <w:lastRenderedPageBreak/>
        <w:t xml:space="preserve">Lepidoptera, is responsible for significant degradation of dsRNA in insect cells </w:t>
      </w:r>
      <w:r w:rsidR="005C0E76" w:rsidRPr="00D6722B">
        <w:fldChar w:fldCharType="begin" w:fldLock="1"/>
      </w:r>
      <w:r w:rsidRPr="00D6722B">
        <w:instrText>ADDIN CSL_CITATION {"citationItems":[{"id":"ITEM-1","itemData":{"DOI":"10.1074/jbc.RA117.001553","ISSN":"0021-9258","PMID":"29500196","abstract":"More than 70% of all agricultural pests are insects in the order Lepidoptera, which, unlike other related insect orders, are not very sensitive to RNAi, limiting genetic studies of this insect group. However, the reason for this distinct lepidopteran characteristic is unknown. Previously, using transcriptome analysis of the Asian corn borer Ostrinia furnacalis, we identified a gene, termed up56, that is up-regulated in response to dsRNA. Here we report that this Lepidoptera-specific gene encodes a nuclease that contributes to RNAi insensitivity in this insect order. Its identity was experimentally validated, and sequence analysis indicated that up56 encodes a previously uncharacterized protein with homologous sequences in seven other lepidopteran species. Its computationally predicted three-dimensional structure revealed a high structural similarity to human exonuclease I. Exposure to dsRNA in O. furnacalis strongly up-regulated this gene's expression, and the protein could digest single-stranded RNA (ssRNA), dsRNA, and dsDNA both in vitro and in vivo Of note, we found that this up-regulation of up56 expression is faster than that of the gene encoding the key RNAi-associated nuclease Dicer. up56 knockdown in O. furnacalis significantly enhanced RNAi efficiency. Moreover, up56 overexpression in Drosophila melanogaster suppressed RNAi efficiency. Finally, up56 knockdown significantly increased the amount and diversity of small RNAs. Therefore, we renamed this protein RNAi efficiency-related nuclease (REase). In conclusion, we propose that REase may explain why lepidopterans are refractory to RNAi and that it represents a target for further research of RNAi efficiency in this insect order.","author":[{"dropping-particle":"","family":"Guan","given":"Ruo-Bing","non-dropping-particle":"","parse-names":false,"suffix":""},{"dropping-particle":"","family":"Li","given":"Hai-Chao","non-dropping-particle":"","parse-names":false,"suffix":""},{"dropping-particle":"","family":"Fan","given":"Yu-Jie","non-dropping-particle":"","parse-names":false,"suffix":""},{"dropping-particle":"","family":"Hu","given":"Shao-Ru","non-dropping-particle":"","parse-names":false,"suffix":""},{"dropping-particle":"","family":"Christiaens","given":"Olivier","non-dropping-particle":"","parse-names":false,"suffix":""},{"dropping-particle":"","family":"Smagghe","given":"Guy","non-dropping-particle":"","parse-names":false,"suffix":""},{"dropping-particle":"","family":"Miao","given":"Xue-Xia","non-dropping-particle":"","parse-names":false,"suffix":""}],"container-title":"Journal of Biological Chemistry","id":"ITEM-1","issue":"16","issued":{"date-parts":[["2018","4","20"]]},"page":"6011-6021","title":"A nuclease specific to lepidopteran insects suppresses RNAi","type":"article-journal","volume":"293"},"uris":["http://www.mendeley.com/documents/?uuid=a04f10d0-590a-3291-a879-f890d7289d7b"]}],"mendeley":{"formattedCitation":"(Guan &lt;i&gt;et al.&lt;/i&gt;, 2018)","plainTextFormattedCitation":"(Guan et al., 2018)","previouslyFormattedCitation":"(Guan &lt;i&gt;et al.&lt;/i&gt;, 2018)"},"properties":{"noteIndex":0},"schema":"https://github.com/citation-style-language/schema/raw/master/csl-citation.json"}</w:instrText>
      </w:r>
      <w:r w:rsidR="005C0E76" w:rsidRPr="00D6722B">
        <w:fldChar w:fldCharType="separate"/>
      </w:r>
      <w:r w:rsidRPr="00D6722B">
        <w:rPr>
          <w:noProof/>
        </w:rPr>
        <w:t xml:space="preserve">(Guan </w:t>
      </w:r>
      <w:r w:rsidRPr="00D6722B">
        <w:rPr>
          <w:i/>
          <w:noProof/>
        </w:rPr>
        <w:t>et al.</w:t>
      </w:r>
      <w:r w:rsidRPr="00D6722B">
        <w:rPr>
          <w:noProof/>
        </w:rPr>
        <w:t>, 2018)</w:t>
      </w:r>
      <w:r w:rsidR="005C0E76" w:rsidRPr="00D6722B">
        <w:fldChar w:fldCharType="end"/>
      </w:r>
      <w:r w:rsidRPr="00D6722B">
        <w:t xml:space="preserve">. Most insects exhibit an upregulation of the RNAi genes Dicer-2 and Argonaute-2 in response to uptake of dsRNA </w:t>
      </w:r>
      <w:r w:rsidR="005C0E76" w:rsidRPr="00D6722B">
        <w:fldChar w:fldCharType="begin" w:fldLock="1"/>
      </w:r>
      <w:r w:rsidRPr="00D6722B">
        <w:instrText>ADDIN CSL_CITATION {"citationItems":[{"id":"ITEM-1","itemData":{"DOI":"10.1016/j.ibmb.2012.05.001","ISSN":"09651748","PMID":"22634162","abstract":"Gene silencing by RNA interference (RNAi) can be a useful reverse genetics tool in eukaryotes. However, some species appear refractory to RNAi. To study the role of the differential expression of RNAi proteins in RNAi, we isolated partial dicer-2, argonaute-2 translin, vasa intronic gene (VIG) and tudor staphylococcus/micrococcal nuclease (TSN) genes from the tobacco hornworm, Manduca sexta, a well-studied insect model which we have found to be variably sensitive to RNAi. We found that the RNAi gene, translin, was expressed at minimal levels in M. sexta tissue and that there is a specific, dose-dependent upregulation of dicer-2 and argonaute-2 expression in response to injection with dsRNA, but no upregulation of the other genes tested. Upregulation of gene expression was rapid and transient. In order to prolong the upregulation we introduced multiple doses of dsRNA, resulting in multiple peaks of dicer-2 gene expression. Our results have implications for the design of RNAi experiments and may help to explain differences in the sensitivity of eukaryotic organisms to RNAi.","author":[{"dropping-particle":"","family":"Garbutt","given":"Jennie S.","non-dropping-particle":"","parse-names":false,"suffix":""},{"dropping-particle":"","family":"Reynolds","given":"Stuart E.","non-dropping-particle":"","parse-names":false,"suffix":""}],"container-title":"Insect Biochemistry and Molecular Biology","id":"ITEM-1","issue":"9","issued":{"date-parts":[["2012","9"]]},"page":"621-628","title":"Induction of RNA interference genes by double-stranded RNA; implications for susceptibility to RNA interference","type":"article-journal","volume":"42"},"uris":["http://www.mendeley.com/documents/?uuid=624b89a6-4111-3e1f-a1b8-48e6e18b5607"]},{"id":"ITEM-2","itemData":{"DOI":"10.1007/s00427-012-0404-x","ISSN":"0949-944X","author":[{"dropping-particle":"","family":"Lozano","given":"Jesus","non-dropping-particle":"","parse-names":false,"suffix":""},{"dropping-particle":"","family":"Gomez-Orte","given":"Eva","non-dropping-particle":"","parse-names":false,"suffix":""},{"dropping-particle":"","family":"Lee","given":"How-Jing","non-dropping-particle":"","parse-names":false,"suffix":""},{"dropping-particle":"","family":"Belles","given":"Xavier","non-dropping-particle":"","parse-names":false,"suffix":""}],"container-title":"Development Genes and Evolution","id":"ITEM-2","issue":"4","issued":{"date-parts":[["2012","7","6"]]},"page":"229-235","publisher":"Springer-Verlag","title":"Super-induction of Dicer-2 expression by alien double-stranded RNAs: an evolutionary ancient response to viral infection?","type":"article-journal","volume":"222"},"uris":["http://www.mendeley.com/documents/?uuid=dafadc04-f8d3-38ea-99c5-e88d09534951"]}],"mendeley":{"formattedCitation":"(Garbutt and Reynolds, 2012; Lozano &lt;i&gt;et al.&lt;/i&gt;, 2012)","plainTextFormattedCitation":"(Garbutt and Reynolds, 2012; Lozano et al., 2012)","previouslyFormattedCitation":"(Garbutt and Reynolds, 2012; Lozano &lt;i&gt;et al.&lt;/i&gt;, 2012)"},"properties":{"noteIndex":0},"schema":"https://github.com/citation-style-language/schema/raw/master/csl-citation.json"}</w:instrText>
      </w:r>
      <w:r w:rsidR="005C0E76" w:rsidRPr="00D6722B">
        <w:fldChar w:fldCharType="separate"/>
      </w:r>
      <w:r w:rsidRPr="00D6722B">
        <w:rPr>
          <w:noProof/>
        </w:rPr>
        <w:t xml:space="preserve">(Garbutt and Reynolds, 2012; Lozano </w:t>
      </w:r>
      <w:r w:rsidRPr="00D6722B">
        <w:rPr>
          <w:i/>
          <w:noProof/>
        </w:rPr>
        <w:t>et al.</w:t>
      </w:r>
      <w:r w:rsidRPr="00D6722B">
        <w:rPr>
          <w:noProof/>
        </w:rPr>
        <w:t>, 2012)</w:t>
      </w:r>
      <w:r w:rsidR="005C0E76" w:rsidRPr="00D6722B">
        <w:fldChar w:fldCharType="end"/>
      </w:r>
      <w:r w:rsidRPr="00D6722B">
        <w:t xml:space="preserve">. However, this response is reduced in Lepidoptera compared to other insects </w:t>
      </w:r>
      <w:r w:rsidR="005C0E76" w:rsidRPr="00D6722B">
        <w:fldChar w:fldCharType="begin" w:fldLock="1"/>
      </w:r>
      <w:r w:rsidRPr="00D6722B">
        <w:instrText>ADDIN CSL_CITATION {"citationItems":[{"id":"ITEM-1","itemData":{"DOI":"10.1146/annurev-ento-112408-085301","ISSN":"0066-4170","PMID":"19961326","abstract":"The increasing availability of insect genomes has revealed a large number of genes with unknown functions and the resulting problem of how to discover these functions. The RNA interference (RNAi) technique, which generates loss-of-function phenotypes by depletion of a chosen transcript, can help to overcome this challenge. RNAi can unveil the functions of new genes, lead to the discovery of new functions for old genes, and find the genes for old functions. Moreover, the possibility of studying the functions of homologous genes in different species can allow comparisons of the genetic networks regulating a given function in different insect groups, thereby facilitating an evolutionary insight into developmental processes. RNAi also has drawbacks and obscure points, however, such as those related to differences in species sensitivity. Disentangling these differences is one of the main challenges in the RNAi field.","author":[{"dropping-particle":"","family":"Bellés","given":"Xavier","non-dropping-particle":"","parse-names":false,"suffix":""}],"container-title":"Annual Review of Entomology","id":"ITEM-1","issue":"1","issued":{"date-parts":[["2010","1"]]},"page":"111-128","title":"Beyond &lt;i&gt;Drosophila:&lt;/i&gt; RNAi In Vivo and Functional Genomics in Insects","type":"article-journal","volume":"55"},"uris":["http://www.mendeley.com/documents/?uuid=f96d49ac-eba3-34db-b0d4-f08a70f30ae4"]}],"mendeley":{"formattedCitation":"(Bellés, 2010)","plainTextFormattedCitation":"(Bellés, 2010)","previouslyFormattedCitation":"(Bellés, 2010)"},"properties":{"noteIndex":0},"schema":"https://github.com/citation-style-language/schema/raw/master/csl-citation.json"}</w:instrText>
      </w:r>
      <w:r w:rsidR="005C0E76" w:rsidRPr="00D6722B">
        <w:fldChar w:fldCharType="separate"/>
      </w:r>
      <w:r w:rsidRPr="00D6722B">
        <w:rPr>
          <w:noProof/>
        </w:rPr>
        <w:t>(Bellés, 2010)</w:t>
      </w:r>
      <w:r w:rsidR="005C0E76" w:rsidRPr="00D6722B">
        <w:fldChar w:fldCharType="end"/>
      </w:r>
      <w:r w:rsidRPr="00D6722B">
        <w:t>, and upregulation of the REase</w:t>
      </w:r>
      <w:r w:rsidRPr="00754126">
        <w:rPr>
          <w:color w:val="00B050"/>
        </w:rPr>
        <w:t xml:space="preserve"> </w:t>
      </w:r>
      <w:r w:rsidRPr="00D6722B">
        <w:t xml:space="preserve">protein in response to detection of dsRNA is faster than the upregulation of Dicer-2 </w:t>
      </w:r>
      <w:r w:rsidR="005C0E76" w:rsidRPr="00D6722B">
        <w:fldChar w:fldCharType="begin" w:fldLock="1"/>
      </w:r>
      <w:r w:rsidRPr="00D6722B">
        <w:instrText>ADDIN CSL_CITATION {"citationItems":[{"id":"ITEM-1","itemData":{"DOI":"10.1074/jbc.RA117.001553","ISSN":"0021-9258","PMID":"29500196","abstract":"More than 70% of all agricultural pests are insects in the order Lepidoptera, which, unlike other related insect orders, are not very sensitive to RNAi, limiting genetic studies of this insect group. However, the reason for this distinct lepidopteran characteristic is unknown. Previously, using transcriptome analysis of the Asian corn borer Ostrinia furnacalis, we identified a gene, termed up56, that is up-regulated in response to dsRNA. Here we report that this Lepidoptera-specific gene encodes a nuclease that contributes to RNAi insensitivity in this insect order. Its identity was experimentally validated, and sequence analysis indicated that up56 encodes a previously uncharacterized protein with homologous sequences in seven other lepidopteran species. Its computationally predicted three-dimensional structure revealed a high structural similarity to human exonuclease I. Exposure to dsRNA in O. furnacalis strongly up-regulated this gene's expression, and the protein could digest single-stranded RNA (ssRNA), dsRNA, and dsDNA both in vitro and in vivo Of note, we found that this up-regulation of up56 expression is faster than that of the gene encoding the key RNAi-associated nuclease Dicer. up56 knockdown in O. furnacalis significantly enhanced RNAi efficiency. Moreover, up56 overexpression in Drosophila melanogaster suppressed RNAi efficiency. Finally, up56 knockdown significantly increased the amount and diversity of small RNAs. Therefore, we renamed this protein RNAi efficiency-related nuclease (REase). In conclusion, we propose that REase may explain why lepidopterans are refractory to RNAi and that it represents a target for further research of RNAi efficiency in this insect order.","author":[{"dropping-particle":"","family":"Guan","given":"Ruo-Bing","non-dropping-particle":"","parse-names":false,"suffix":""},{"dropping-particle":"","family":"Li","given":"Hai-Chao","non-dropping-particle":"","parse-names":false,"suffix":""},{"dropping-particle":"","family":"Fan","given":"Yu-Jie","non-dropping-particle":"","parse-names":false,"suffix":""},{"dropping-particle":"","family":"Hu","given":"Shao-Ru","non-dropping-particle":"","parse-names":false,"suffix":""},{"dropping-particle":"","family":"Christiaens","given":"Olivier","non-dropping-particle":"","parse-names":false,"suffix":""},{"dropping-particle":"","family":"Smagghe","given":"Guy","non-dropping-particle":"","parse-names":false,"suffix":""},{"dropping-particle":"","family":"Miao","given":"Xue-Xia","non-dropping-particle":"","parse-names":false,"suffix":""}],"container-title":"Journal of Biological Chemistry","id":"ITEM-1","issue":"16","issued":{"date-parts":[["2018","4","20"]]},"page":"6011-6021","title":"A nuclease specific to lepidopteran insects suppresses RNAi","type":"article-journal","volume":"293"},"uris":["http://www.mendeley.com/documents/?uuid=a04f10d0-590a-3291-a879-f890d7289d7b"]}],"mendeley":{"formattedCitation":"(Guan &lt;i&gt;et al.&lt;/i&gt;, 2018)","plainTextFormattedCitation":"(Guan et al., 2018)","previouslyFormattedCitation":"(Guan &lt;i&gt;et al.&lt;/i&gt;, 2018)"},"properties":{"noteIndex":0},"schema":"https://github.com/citation-style-language/schema/raw/master/csl-citation.json"}</w:instrText>
      </w:r>
      <w:r w:rsidR="005C0E76" w:rsidRPr="00D6722B">
        <w:fldChar w:fldCharType="separate"/>
      </w:r>
      <w:r w:rsidRPr="00D6722B">
        <w:rPr>
          <w:noProof/>
        </w:rPr>
        <w:t xml:space="preserve">(Guan </w:t>
      </w:r>
      <w:r w:rsidRPr="00D6722B">
        <w:rPr>
          <w:i/>
          <w:noProof/>
        </w:rPr>
        <w:t>et al.</w:t>
      </w:r>
      <w:r w:rsidRPr="00D6722B">
        <w:rPr>
          <w:noProof/>
        </w:rPr>
        <w:t>, 2018)</w:t>
      </w:r>
      <w:r w:rsidR="005C0E76" w:rsidRPr="00D6722B">
        <w:fldChar w:fldCharType="end"/>
      </w:r>
      <w:r w:rsidRPr="00D6722B">
        <w:t>.</w:t>
      </w:r>
    </w:p>
    <w:p w:rsidR="00754126" w:rsidRPr="00D6722B" w:rsidRDefault="005C0E76" w:rsidP="000441D9">
      <w:pPr>
        <w:spacing w:line="360" w:lineRule="auto"/>
        <w:ind w:firstLine="284"/>
      </w:pPr>
      <w:r w:rsidRPr="00D6722B">
        <w:fldChar w:fldCharType="begin" w:fldLock="1"/>
      </w:r>
      <w:r w:rsidR="00C57A7E">
        <w:instrText>ADDIN CSL_CITATION {"citationItems":[{"id":"ITEM-1","itemData":{"DOI":"10.1080/15476286.2016.1191728","ISSN":"1547-6286","abstract":"ABSTRACTRNA interference (RNAi) has become a widely used reverse genetic tool to study gene function in eukaryotic organisms and is being developed as a technology for insect pest management. The e...","author":[{"dropping-particle":"","family":"Shukla","given":"Jayendra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Biology","id":"ITEM-1","issue":"7","issued":{"date-parts":[["2016","7","2"]]},"page":"656-669","publisher":"Taylor &amp; Francis","title":"Reduced stability and intracellular transport of dsRNA contribute to poor RNAi response in lepidopteran insects","type":"article-journal","volume":"13"},"uris":["http://www.mendeley.com/documents/?uuid=623de80b-b2d6-3e82-9fe5-c06c5cedb3b8"]}],"mendeley":{"formattedCitation":"(Shukla &lt;i&gt;et al.&lt;/i&gt;, 2016a)","manualFormatting":"Shukla et al., ","plainTextFormattedCitation":"(Shukla et al., 2016a)","previouslyFormattedCitation":"(Shukla &lt;i&gt;et al.&lt;/i&gt;, 2016)"},"properties":{"noteIndex":0},"schema":"https://github.com/citation-style-language/schema/raw/master/csl-citation.json"}</w:instrText>
      </w:r>
      <w:r w:rsidRPr="00D6722B">
        <w:fldChar w:fldCharType="separate"/>
      </w:r>
      <w:r w:rsidR="00754126" w:rsidRPr="00D6722B">
        <w:rPr>
          <w:noProof/>
        </w:rPr>
        <w:t xml:space="preserve">Shukla </w:t>
      </w:r>
      <w:r w:rsidR="00754126" w:rsidRPr="00D6722B">
        <w:rPr>
          <w:i/>
          <w:noProof/>
        </w:rPr>
        <w:t>et al.</w:t>
      </w:r>
      <w:r w:rsidR="00754126" w:rsidRPr="00D6722B">
        <w:rPr>
          <w:noProof/>
        </w:rPr>
        <w:t xml:space="preserve">, </w:t>
      </w:r>
      <w:r w:rsidRPr="00D6722B">
        <w:fldChar w:fldCharType="end"/>
      </w:r>
      <w:r w:rsidR="00754126" w:rsidRPr="00D6722B">
        <w:t xml:space="preserve">directly compared several factors affecting RNAi efficiency </w:t>
      </w:r>
      <w:r w:rsidR="00C2576A" w:rsidRPr="00D6722B">
        <w:t xml:space="preserve">after ingestion of dsRNA </w:t>
      </w:r>
      <w:r w:rsidR="00754126" w:rsidRPr="00D6722B">
        <w:t>between Coleoptera and Lepidoptera, such as dsRNA uptake, dsRNA degradation and processing of dsRNA to siRNAs (</w:t>
      </w:r>
      <w:r w:rsidRPr="00D6722B">
        <w:fldChar w:fldCharType="begin" w:fldLock="1"/>
      </w:r>
      <w:r w:rsidR="00C57A7E">
        <w:instrText>ADDIN CSL_CITATION {"citationItems":[{"id":"ITEM-1","itemData":{"DOI":"10.1080/15476286.2016.1191728","ISSN":"1547-6286","abstract":"ABSTRACTRNA interference (RNAi) has become a widely used reverse genetic tool to study gene function in eukaryotic organisms and is being developed as a technology for insect pest management. The e...","author":[{"dropping-particle":"","family":"Shukla","given":"Jayendra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Biology","id":"ITEM-1","issue":"7","issued":{"date-parts":[["2016","7","2"]]},"page":"656-669","publisher":"Taylor &amp; Francis","title":"Reduced stability and intracellular transport of dsRNA contribute to poor RNAi response in lepidopteran insects","type":"article-journal","volume":"13"},"uris":["http://www.mendeley.com/documents/?uuid=623de80b-b2d6-3e82-9fe5-c06c5cedb3b8"]}],"mendeley":{"formattedCitation":"(Shukla &lt;i&gt;et al.&lt;/i&gt;, 2016a)","manualFormatting":"Shukla et al., (2016)","plainTextFormattedCitation":"(Shukla et al., 2016a)","previouslyFormattedCitation":"(Shukla &lt;i&gt;et al.&lt;/i&gt;, 2016)"},"properties":{"noteIndex":0},"schema":"https://github.com/citation-style-language/schema/raw/master/csl-citation.json"}</w:instrText>
      </w:r>
      <w:r w:rsidRPr="00D6722B">
        <w:fldChar w:fldCharType="separate"/>
      </w:r>
      <w:r w:rsidR="00754126" w:rsidRPr="00D6722B">
        <w:rPr>
          <w:noProof/>
        </w:rPr>
        <w:t xml:space="preserve">Shukla </w:t>
      </w:r>
      <w:r w:rsidR="00754126" w:rsidRPr="00D6722B">
        <w:rPr>
          <w:i/>
          <w:noProof/>
        </w:rPr>
        <w:t>et al.</w:t>
      </w:r>
      <w:r w:rsidR="00754126" w:rsidRPr="00D6722B">
        <w:rPr>
          <w:noProof/>
        </w:rPr>
        <w:t>, (2016)</w:t>
      </w:r>
      <w:r w:rsidRPr="00D6722B">
        <w:fldChar w:fldCharType="end"/>
      </w:r>
      <w:r w:rsidR="00754126" w:rsidRPr="00D6722B">
        <w:t>). The results showed that cells of both insect</w:t>
      </w:r>
      <w:r w:rsidR="00E42CDC">
        <w:t xml:space="preserve"> order</w:t>
      </w:r>
      <w:r w:rsidR="00754126" w:rsidRPr="00D6722B">
        <w:t xml:space="preserve">s efficiently uptake dsRNA. However, while coleopteran cells process the dsRNA to siRNAs, the dsRNA in lepidopteran cells remains in the endosomes and is not processed into siRNAs. </w:t>
      </w:r>
    </w:p>
    <w:p w:rsidR="00754126" w:rsidRPr="00754126" w:rsidRDefault="00754126" w:rsidP="000441D9">
      <w:pPr>
        <w:spacing w:line="360" w:lineRule="auto"/>
        <w:ind w:firstLine="284"/>
        <w:rPr>
          <w:color w:val="FF0000"/>
        </w:rPr>
      </w:pPr>
      <w:r w:rsidRPr="00D6722B">
        <w:t>Certain species of Lepidoptera do demonstrate successful</w:t>
      </w:r>
      <w:r w:rsidR="00C2576A" w:rsidRPr="00D6722B">
        <w:t xml:space="preserve"> induction of </w:t>
      </w:r>
      <w:r w:rsidRPr="00D6722B">
        <w:t xml:space="preserve">RNAi, though many of these successful studies utilise delivery methods other than ingestion of naked dsRNA. These include injection of dsRNA into embryos </w:t>
      </w:r>
      <w:r w:rsidR="005C0E76" w:rsidRPr="00D6722B">
        <w:fldChar w:fldCharType="begin" w:fldLock="1"/>
      </w:r>
      <w:r w:rsidRPr="00D6722B">
        <w:instrText>ADDIN CSL_CITATION {"citationItems":[{"id":"ITEM-1","itemData":{"ISSN":"0962-1075","PMID":"12000640","abstract":"Injection of double-stranded RNA (dsRNA) corresponding to the silkworm white gene (Bmwh3) into preblastoderm eggs of the wild-type silkworm induced phenotypes similar to those observed with mutants of the white egg 3 locus (10-19.6). The induced phenotypes were characterized by the presence of white eggs and translucent larval skin. Northern analysis showed that the expression of the endogenous Bmwh3 gene in the injected embryos was distinctly depressed. Furthermore, the injection of the GFP dsRNA inhibited the expression of the GFP gene from a plasmid co-injected with the dsRNA but did not depress the expression of the Bmwh3 gene. These findings demonstrate that sequence-specific RNA interference occurred in the silkworm. We conclude from the results that the RNA interference can be applied as a tool for the analysis of the gene function in the lepidopteran insects.","author":[{"dropping-particle":"","family":"Quan","given":"G X","non-dropping-particle":"","parse-names":false,"suffix":""},{"dropping-particle":"","family":"Kanda","given":"T","non-dropping-particle":"","parse-names":false,"suffix":""},{"dropping-particle":"","family":"Tamura","given":"T","non-dropping-particle":"","parse-names":false,"suffix":""}],"container-title":"Insect molecular biology","id":"ITEM-1","issue":"3","issued":{"date-parts":[["2002","6"]]},"page":"217-22","title":"Induction of the white egg 3 mutant phenotype by injection of the double-stranded RNA of the silkworm white gene.","type":"article-journal","volume":"11"},"uris":["http://www.mendeley.com/documents/?uuid=83dc2e3c-10e6-3a3c-94a1-3b57be60bf4d"]}],"mendeley":{"formattedCitation":"(Quan, Kanda and Tamura, 2002)","plainTextFormattedCitation":"(Quan, Kanda and Tamura, 2002)","previouslyFormattedCitation":"(Quan, Kanda and Tamura, 2002)"},"properties":{"noteIndex":0},"schema":"https://github.com/citation-style-language/schema/raw/master/csl-citation.json"}</w:instrText>
      </w:r>
      <w:r w:rsidR="005C0E76" w:rsidRPr="00D6722B">
        <w:fldChar w:fldCharType="separate"/>
      </w:r>
      <w:r w:rsidRPr="00D6722B">
        <w:rPr>
          <w:noProof/>
        </w:rPr>
        <w:t>(Quan, Kanda and Tamura, 2002)</w:t>
      </w:r>
      <w:r w:rsidR="005C0E76" w:rsidRPr="00D6722B">
        <w:fldChar w:fldCharType="end"/>
      </w:r>
      <w:r w:rsidRPr="00D6722B">
        <w:t xml:space="preserve">, and expression of hairpin RNAs in plants ingested by the insects </w:t>
      </w:r>
      <w:r w:rsidR="005C0E76" w:rsidRPr="00D6722B">
        <w:fldChar w:fldCharType="begin" w:fldLock="1"/>
      </w:r>
      <w:r w:rsidRPr="00D6722B">
        <w:instrText>ADDIN CSL_CITATION {"citationItems":[{"id":"ITEM-1","itemData":{"DOI":"10.1038/nbt1352","ISBN":"1087-0156","ISSN":"10870156","PMID":"17982444","abstract":"We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Biotechnology","id":"ITEM-1","issue":"11","issued":{"date-parts":[["2007"]]},"page":"1307-1313","title":"Silencing a cotton bollworm P450 monooxygenase gene by plant-mediated RNAi impairs larval tolerance of gossypol","type":"article-journal","volume":"25"},"uris":["http://www.mendeley.com/documents/?uuid=30f4c137-f223-4428-b6ca-02cdb2aba4ea"]}],"mendeley":{"formattedCitation":"(Mao &lt;i&gt;et al.&lt;/i&gt;, 2007)","plainTextFormattedCitation":"(Mao et al., 2007)","previouslyFormattedCitation":"(Mao &lt;i&gt;et al.&lt;/i&gt;, 2007)"},"properties":{"noteIndex":0},"schema":"https://github.com/citation-style-language/schema/raw/master/csl-citation.json"}</w:instrText>
      </w:r>
      <w:r w:rsidR="005C0E76" w:rsidRPr="00D6722B">
        <w:fldChar w:fldCharType="separate"/>
      </w:r>
      <w:r w:rsidRPr="00D6722B">
        <w:rPr>
          <w:noProof/>
        </w:rPr>
        <w:t xml:space="preserve">(Mao </w:t>
      </w:r>
      <w:r w:rsidRPr="00D6722B">
        <w:rPr>
          <w:i/>
          <w:noProof/>
        </w:rPr>
        <w:t>et al.</w:t>
      </w:r>
      <w:r w:rsidRPr="00D6722B">
        <w:rPr>
          <w:noProof/>
        </w:rPr>
        <w:t>, 2007)</w:t>
      </w:r>
      <w:r w:rsidR="005C0E76" w:rsidRPr="00D6722B">
        <w:fldChar w:fldCharType="end"/>
      </w:r>
      <w:r w:rsidRPr="00D6722B">
        <w:t xml:space="preserve">. Successful RNAi responses triggered by dsRNA have been demonstrated in many other insect orders, as reviewed </w:t>
      </w:r>
      <w:r w:rsidR="00595094">
        <w:t>above.</w:t>
      </w:r>
    </w:p>
    <w:p w:rsidR="00956B4A" w:rsidRPr="00956B4A" w:rsidRDefault="00C0518B" w:rsidP="000441D9">
      <w:pPr>
        <w:spacing w:line="360" w:lineRule="auto"/>
        <w:ind w:firstLine="284"/>
      </w:pPr>
      <w:r>
        <w:t xml:space="preserve">Factors such as </w:t>
      </w:r>
      <w:r w:rsidR="00956B4A">
        <w:t xml:space="preserve">delivery of dsRNA, </w:t>
      </w:r>
      <w:r>
        <w:t>nucleas</w:t>
      </w:r>
      <w:r w:rsidR="00956B4A">
        <w:t>e</w:t>
      </w:r>
      <w:r>
        <w:t xml:space="preserve"> resistance </w:t>
      </w:r>
      <w:r w:rsidR="00956B4A">
        <w:t>of dsRNA, uptake of dsRNA and RNAi efficacy of dsRNA all impact the overall efficacy of a dsRNA</w:t>
      </w:r>
      <w:r w:rsidR="00C2576A">
        <w:t xml:space="preserve"> based biocontrol</w:t>
      </w:r>
      <w:r w:rsidR="00956B4A">
        <w:t xml:space="preserve">. All of these factors are </w:t>
      </w:r>
      <w:r w:rsidR="00956B4A" w:rsidRPr="00D6722B">
        <w:t xml:space="preserve">liable to be affected by dsRNA chemical modifications. </w:t>
      </w:r>
      <w:r w:rsidRPr="00D6722B">
        <w:t xml:space="preserve">How efficacious chemically modified dsRNA will be at inducing RNAi in any insect order is unknown, and results from assays </w:t>
      </w:r>
      <w:r w:rsidR="00956B4A" w:rsidRPr="00D6722B">
        <w:t>in one order or system, such as in</w:t>
      </w:r>
      <w:r w:rsidRPr="00D6722B">
        <w:t xml:space="preserve"> </w:t>
      </w:r>
      <w:r w:rsidRPr="00D6722B">
        <w:rPr>
          <w:i/>
        </w:rPr>
        <w:t>Drosophila</w:t>
      </w:r>
      <w:r w:rsidRPr="00D6722B">
        <w:t xml:space="preserve"> cell lines (Diptera)</w:t>
      </w:r>
      <w:r w:rsidR="00956B4A" w:rsidRPr="00D6722B">
        <w:t>,</w:t>
      </w:r>
      <w:r w:rsidRPr="00D6722B">
        <w:t xml:space="preserve"> may not be in agreement with results from assays in</w:t>
      </w:r>
      <w:r w:rsidR="0038054D" w:rsidRPr="00D6722B">
        <w:t xml:space="preserve"> live insects from other orders, as is the case for unmodified dsRNA.</w:t>
      </w:r>
      <w:r w:rsidR="00956B4A" w:rsidRPr="00D6722B">
        <w:t xml:space="preserve"> Understanding</w:t>
      </w:r>
      <w:r w:rsidR="00956B4A">
        <w:t xml:space="preserve"> of the background on uptake and delivery of unmodified dsRNA in insects</w:t>
      </w:r>
      <w:r w:rsidR="002108CC">
        <w:t xml:space="preserve"> (reviewed below) is therefore critical</w:t>
      </w:r>
      <w:r w:rsidR="00956B4A">
        <w:t xml:space="preserve">. Research into nuclease resistance of dsRNA is reviewed in the introduction </w:t>
      </w:r>
      <w:r w:rsidR="00956B4A" w:rsidRPr="00595094">
        <w:t>to chapter 4.</w:t>
      </w:r>
    </w:p>
    <w:p w:rsidR="00394C62" w:rsidRDefault="00394C62" w:rsidP="000441D9">
      <w:pPr>
        <w:pStyle w:val="Heading3"/>
        <w:spacing w:line="360" w:lineRule="auto"/>
      </w:pPr>
      <w:bookmarkStart w:id="19" w:name="_Toc35333921"/>
      <w:r>
        <w:t xml:space="preserve">Uptake </w:t>
      </w:r>
      <w:r w:rsidR="00AB1EFB">
        <w:t>of dsRNA in insects</w:t>
      </w:r>
      <w:bookmarkEnd w:id="19"/>
    </w:p>
    <w:p w:rsidR="00BB5FE8" w:rsidRPr="00595094" w:rsidRDefault="00EA7FFB" w:rsidP="000441D9">
      <w:pPr>
        <w:pStyle w:val="ListParagraph"/>
        <w:spacing w:line="360" w:lineRule="auto"/>
        <w:ind w:left="0" w:firstLine="284"/>
      </w:pPr>
      <w:r w:rsidRPr="00D6722B">
        <w:t xml:space="preserve">While many lab techniques utilising RNAi in insects rely on injection of dsRNA </w:t>
      </w:r>
      <w:r w:rsidR="005C0E76" w:rsidRPr="00D6722B">
        <w:fldChar w:fldCharType="begin" w:fldLock="1"/>
      </w:r>
      <w:r w:rsidRPr="00D6722B">
        <w:instrText>ADDIN CSL_CITATION {"citationItems":[{"id":"ITEM-1","itemData":{"DOI":"10.1186/1472-6750-3-1","ISSN":"14726750","abstract":"The ability to manipulate the genetic networks underlying the physiological and behavioural repertoires of the adult honeybee worker (Apis mellifera) is likely to deepen our understanding of issues such as learning and memory generation, ageing, and the regulatory anatomy of social systems in proximate as well as evolutionary terms. Here we assess two methods for probing gene function by RNA interference (RNAi) in adult honeybees. The vitellogenin gene was chosen as target because its expression is unlikely to have a phenotypic effect until the adult stage in bees. This allowed us to introduce dsRNA in preblastoderm eggs without affecting gene function during development. Of workers reared from eggs injected with dsRNA derived from a 504 bp stretch of the vitellogenin coding sequence, 15% had strongly reduced levels of vitellogenin mRNA. When dsRNA was introduced by intra-abdominal injection in newly emerged bees, almost all individuals (96 %) showed the mutant phenotype. An RNA-fragment with an apparent size similar to the template dsRNA was still present in this group after 15 days. Injection of dsRNA in eggs at the preblastoderm stage seems to allow disruption of gene function in all developmental stages. To dissect gene function in the adult stage, the intra-abdominal injection technique seems superior to egg injection as it gives a much higher penetrance, it is much simpler, and it makes it possible to address genes that are also expressed in the embryonic, larval or pupal stages.","author":[{"dropping-particle":"V","family":"Amdam","given":"Gro","non-dropping-particle":"","parse-names":false,"suffix":""},{"dropping-particle":"","family":"Simões","given":"Zilá LP","non-dropping-particle":"","parse-names":false,"suffix":""},{"dropping-particle":"","family":"Guidugli","given":"Karina R","non-dropping-particle":"","parse-names":false,"suffix":""},{"dropping-particle":"","family":"Norberg","given":"Kari","non-dropping-particle":"","parse-names":false,"suffix":""},{"dropping-particle":"","family":"Omholt","given":"Stig W","non-dropping-particle":"","parse-names":false,"suffix":""}],"container-title":"BMC Biotechnology","id":"ITEM-1","issue":"1","issued":{"date-parts":[["2003","1","20"]]},"page":"1","publisher":"BioMed Central","title":"Disruption of vitellogenin gene function in adult honeybees by intra-abdominal injection of double-stranded RNA","type":"article-journal","volume":"3"},"uris":["http://www.mendeley.com/documents/?uuid=9aee1178-a1c7-3930-af60-3881892b324e"]},{"id":"ITEM-2","itemData":{"DOI":"10.1073/pnas.96.4.1451","ISSN":"0027-8424","PMID":"9990044","abstract":"The expression of the MyoD gene homolog, nautilus (nau), in the Drosophila embryo defines a subset of mesodermal cells known as the muscle \"pioneer\" or \"founder\" cells. These cells are thought to establish the future muscle pattern in each hemisegment. Founders appear to recruit fusion-competent mesodermal cells to establish a particular muscle fiber type. In support of this concept every somatic muscle in the embryo is associated with one or more nautilus-positive cells. However, because of the lack of known (isolated) nautilus mutations, no direct test of the founder cell hypothesis has been possible. We now have utilized toxin ablation and genetic interference by double-stranded RNA (RNA interference or RNA-i) to determine both the role of the nautilus-expressing cells and the nautilus gene, respectively, in embryonic muscle formation. In the absence of nautilus-expressing cells muscle formation is severely disrupted or absent. A similar phenotype is observed with the elimination of the nautilus gene product by genetic interference upon injection of nautilus double-stranded RNA. These results define a crucial role for nautilus in embryonic muscle formation. The application of RNA interference to a variety of known Drosophila mutations as controls gave phenotypes essentially indistinguishable from the original mutation. RNA-i provides a powerful approach for the targeted disruption of a given genetic function in Drosophila.","author":[{"dropping-particle":"","family":"Misquitta","given":"L","non-dropping-particle":"","parse-names":false,"suffix":""},{"dropping-particle":"","family":"Paterson","given":"B M","non-dropping-particle":"","parse-names":false,"suffix":""}],"container-title":"Proceedings of the National Academy of Sciences of the United States of America","id":"ITEM-2","issue":"4","issued":{"date-parts":[["1999","2","16"]]},"page":"1451-6","publisher":"National Academy of Sciences","title":"Targeted disruption of gene function in Drosophila by RNA interference (RNA-i): a role for nautilus in embryonic somatic muscle formation.","type":"article-journal","volume":"96"},"uris":["http://www.mendeley.com/documents/?uuid=915261c6-21a3-3f79-8fa7-e8edac3c74ac"]},{"id":"ITEM-3","itemData":{"DOI":"10.1186/1472-6750-5-25","ISSN":"14726750","abstract":"Grasshopper serves as important model system in neuroscience, development and evolution. Representatives of this primitive insect group are also highly relevant targets of pest control efforts. Unfortunately, the lack of genetics or gene specific molecular manipulation imposes major limitations to the study of grasshopper biology. We investigated whether juvenile instars of the grasshopper species Schistocerca americana are conducive to gene silencing via the systemic RNAi pathway. Injection of dsRNA corresponding to the eye colour gene vermilion into first instar nymphs triggered suppression of ommochrome formation in the eye lasting through two instars equivalent to 10–14 days in absolute time. QRT-PCR analysis revealed a two fold decrease of target transcript levels in affected animals. Control injections of EGFP dsRNA did not result in detectable phenotypic changes. RT-PCR and in situ hybridization detected ubiquitous expression of the grasshopper homolog of the dsRNA channel protein gene sid-1 in embryos, nymphs and adults. Our results demonstrate that systemic dsRNA application elicits specific and long-term gene silencing in juvenile grasshopper instars. The conservation of systemic RNAi in the grasshopper suggests that this pathway can be exploited for gene specific manipulation of juvenile and adult instars in a wide range of primitive insects.","author":[{"dropping-particle":"","family":"Dong","given":"Ying","non-dropping-particle":"","parse-names":false,"suffix":""},{"dropping-particle":"","family":"Friedrich","given":"Markus","non-dropping-particle":"","parse-names":false,"suffix":""}],"container-title":"BMC Biotechnology","id":"ITEM-3","issue":"1","issued":{"date-parts":[["2005","10","3"]]},"page":"25","publisher":"BioMed Central","title":"Nymphal RNAi: systemic RNAi mediated gene knockdown in juvenile grasshopper","type":"article-journal","volume":"5"},"uris":["http://www.mendeley.com/documents/?uuid=6efe607a-988e-339a-9053-e5f48f75abbe"]},{"id":"ITEM-4","itemData":{"DOI":"10.1038/s41598-018-22035-z","ISSN":"2045-2322","abstract":"The brown marmorated stink bug (BMSB) is native to Asia and recently invaded the USA. RNA interference (RNAi) is a gene silencing mechanism in which the introduction of double-stranded RNA (dsRNA) inhibits gene function by degrading target mRNA. In dsRNA stability assays, the dsRNases present in the hemolymph and salivary gland secretions of BMSB showed lower activity than those in the hemolymph of Heliothis virescens. We evaluated six housekeeping genes (18S rRNA, EF1-α, Actin, Ubiquitin, 60S RP and β-Tubulin) across dsRNA treatments (injection and feeding) in nymphs and adults of BMSB and identified 18S rRNA and 60S RP as the best genes to use as a reference in reverse-transcriptase quantitative PCR (RT-qPCR). Homologs of 13 genes that were shown to function as effective RNAi targets in other insects were identified and evaluated by injecting dsRNA targeting these homologs into BMSB adults. Five out of 13 dsRNAs tested caused more than 70% mortality by seven days after injection of dsRNA. Feeding dsRNA targeting five of these genes (IAP, ATPase, SNF7, GPCR, and PPI) to nymphs caused more than 70% mortality by three of the five dsRNAs tested. These data suggest that feeding dsRNA causes target gene knockdown and mortality in BMSB.","author":[{"dropping-particle":"","family":"Mogilicherla","given":"Kanakachari","non-dropping-particle":"","parse-names":false,"suffix":""},{"dropping-particle":"","family":"Howell","given":"Jeffrey L.","non-dropping-particle":"","parse-names":false,"suffix":""},{"dropping-particle":"","family":"Palli","given":"Subba Reddy","non-dropping-particle":"","parse-names":false,"suffix":""}],"container-title":"Scientific Reports","id":"ITEM-4","issue":"1","issued":{"date-parts":[["2018","12","27"]]},"page":"3720","publisher":"Nature Publishing Group","title":"Improving RNAi in the Brown Marmorated Stink Bug: Identification of target genes and reference genes for RT-qPCR","type":"article-journal","volume":"8"},"uris":["http://www.mendeley.com/documents/?uuid=af3a352a-9c22-3a20-ac7e-efdb8aad926f"]},{"id":"ITEM-5","itemData":{"ISSN":"0962-1075","PMID":"12000640","abstract":"Injection of double-stranded RNA (dsRNA) corresponding to the silkworm white gene (Bmwh3) into preblastoderm eggs of the wild-type silkworm induced phenotypes similar to those observed with mutants of the white egg 3 locus (10-19.6). The induced phenotypes were characterized by the presence of white eggs and translucent larval skin. Northern analysis showed that the expression of the endogenous Bmwh3 gene in the injected embryos was distinctly depressed. Furthermore, the injection of the GFP dsRNA inhibited the expression of the GFP gene from a plasmid co-injected with the dsRNA but did not depress the expression of the Bmwh3 gene. These findings demonstrate that sequence-specific RNA interference occurred in the silkworm. We conclude from the results that the RNA interference can be applied as a tool for the analysis of the gene function in the lepidopteran insects.","author":[{"dropping-particle":"","family":"Quan","given":"G X","non-dropping-particle":"","parse-names":false,"suffix":""},{"dropping-particle":"","family":"Kanda","given":"T","non-dropping-particle":"","parse-names":false,"suffix":""},{"dropping-particle":"","family":"Tamura","given":"T","non-dropping-particle":"","parse-names":false,"suffix":""}],"container-title":"Insect molecular biology","id":"ITEM-5","issue":"3","issued":{"date-parts":[["2002","6"]]},"page":"217-22","title":"Induction of the white egg 3 mutant phenotype by injection of the double-stranded RNA of the silkworm white gene.","type":"article-journal","volume":"11"},"uris":["http://www.mendeley.com/documents/?uuid=83dc2e3c-10e6-3a3c-94a1-3b57be60bf4d"]}],"mendeley":{"formattedCitation":"(Misquitta and Paterson, 1999; Quan, Kanda and Tamura, 2002; Amdam &lt;i&gt;et al.&lt;/i&gt;, 2003; Dong and Friedrich, 2005; Mogilicherla, Howell and Palli, 2018)","plainTextFormattedCitation":"(Misquitta and Paterson, 1999; Quan, Kanda and Tamura, 2002; Amdam et al., 2003; Dong and Friedrich, 2005; Mogilicherla, Howell and Palli, 2018)","previouslyFormattedCitation":"(Misquitta and Paterson, 1999; Quan, Kanda and Tamura, 2002; Amdam &lt;i&gt;et al.&lt;/i&gt;, 2003; Dong and Friedrich, 2005; Mogilicherla, Howell and Palli, 2018)"},"properties":{"noteIndex":0},"schema":"https://github.com/citation-style-language/schema/raw/master/csl-citation.json"}</w:instrText>
      </w:r>
      <w:r w:rsidR="005C0E76" w:rsidRPr="00D6722B">
        <w:fldChar w:fldCharType="separate"/>
      </w:r>
      <w:r w:rsidRPr="00D6722B">
        <w:rPr>
          <w:noProof/>
        </w:rPr>
        <w:t xml:space="preserve">(Misquitta and Paterson, 1999; Quan, Kanda and Tamura, 2002; Amdam </w:t>
      </w:r>
      <w:r w:rsidRPr="00D6722B">
        <w:rPr>
          <w:i/>
          <w:noProof/>
        </w:rPr>
        <w:t>et al.</w:t>
      </w:r>
      <w:r w:rsidRPr="00D6722B">
        <w:rPr>
          <w:noProof/>
        </w:rPr>
        <w:t>, 2003; Dong and Friedrich, 2005; Mogilicherla, Howell and Palli, 2018)</w:t>
      </w:r>
      <w:r w:rsidR="005C0E76" w:rsidRPr="00D6722B">
        <w:fldChar w:fldCharType="end"/>
      </w:r>
      <w:r w:rsidRPr="00D6722B">
        <w:t xml:space="preserve">, a dsRNA </w:t>
      </w:r>
      <w:r w:rsidR="00754AD5" w:rsidRPr="00D6722B">
        <w:t>based biocontrol</w:t>
      </w:r>
      <w:r w:rsidRPr="00D6722B">
        <w:t xml:space="preserve"> must be ingested orally in order to function successfully. Following ingestion, u</w:t>
      </w:r>
      <w:r w:rsidR="000D4C5F" w:rsidRPr="00D6722B">
        <w:t>ptake of dsRNA by</w:t>
      </w:r>
      <w:r w:rsidRPr="00D6722B">
        <w:t xml:space="preserve"> the</w:t>
      </w:r>
      <w:r w:rsidR="000D4C5F" w:rsidRPr="00D6722B">
        <w:t xml:space="preserve"> insect is an essential step for</w:t>
      </w:r>
      <w:r w:rsidRPr="00D6722B">
        <w:t xml:space="preserve"> a</w:t>
      </w:r>
      <w:r w:rsidR="000D4C5F" w:rsidRPr="00D6722B">
        <w:t xml:space="preserve"> dsRNA </w:t>
      </w:r>
      <w:r w:rsidR="00C2576A" w:rsidRPr="00D6722B">
        <w:t>based biocontrol</w:t>
      </w:r>
      <w:r w:rsidRPr="00D6722B">
        <w:t xml:space="preserve"> to work</w:t>
      </w:r>
      <w:r w:rsidR="000D4C5F" w:rsidRPr="00D6722B">
        <w:t xml:space="preserve">, and differences in uptake between different insect species may be a leading cause of differences in RNAi efficiency of exogenous dsRNA in insects </w:t>
      </w:r>
      <w:r w:rsidR="005C0E76" w:rsidRPr="00D6722B">
        <w:fldChar w:fldCharType="begin" w:fldLock="1"/>
      </w:r>
      <w:r w:rsidR="000D4C5F" w:rsidRPr="00D6722B">
        <w:instrText>ADDIN CSL_CITATION {"citationItems":[{"id":"ITEM-1","itemData":{"DOI":"10.1016/j.jinsphys.2009.10.004","ISBN":"1879-1611 (Electronic)\\n0022-1910 (Linking)","ISSN":"00221910","PMID":"19837076","abstract":"RNA interference already proved its usefulness in functional genomic research on insects, but it also has considerable potential for the control of pest insects. For this purpose, the insect should be able to autonomously take up the dsRNA, for example through feeding and digestion in its midgut. In this review we bring together current knowledge on the uptake mechanisms of dsRNA in insects and the potential of RNAi to affect pest insects. At least two pathways for dsRNA uptake in insects are described: the transmembrane channel-mediated uptake mechanism based on Caenorhabditis elegans' SID-1 protein and an 'alternative' endocytosis-mediated uptake mechanism. In the second part of the review dsRNA feeding experiments on insects are brought together for the first time, highlighting the achievement of implementing RNAi in insect control with the first successful experiments in transgenic plants and the diversity of successfully tested insect orders/species and target genes. We conclude with points of discussion and concerns regarding further research on dsRNA uptake mechanisms and the promising application possibilities for RNAi in insect control. © 2009 Elsevier Ltd. All rights reserved.","author":[{"dropping-particle":"","family":"Huvenne","given":"Hanneke","non-dropping-particle":"","parse-names":false,"suffix":""},{"dropping-particle":"","family":"Smagghe","given":"Guy","non-dropping-particle":"","parse-names":false,"suffix":""}],"container-title":"Journal of Insect Physiology","id":"ITEM-1","issue":"3","issued":{"date-parts":[["2010"]]},"page":"227-235","publisher":"Elsevier Ltd","title":"Mechanisms of dsRNA uptake in insects and potential of RNAi for pest control: A review","type":"article-journal","volume":"56"},"uris":["http://www.mendeley.com/documents/?uuid=f8e25a73-7fed-4f80-ae52-3493935f4286"]}],"mendeley":{"formattedCitation":"(Huvenne and Smagghe, 2010)","plainTextFormattedCitation":"(Huvenne and Smagghe, 2010)","previouslyFormattedCitation":"(Huvenne and Smagghe, 2010)"},"properties":{"noteIndex":0},"schema":"https://github.com/citation-style-language/schema/raw/master/csl-citation.json"}</w:instrText>
      </w:r>
      <w:r w:rsidR="005C0E76" w:rsidRPr="00D6722B">
        <w:fldChar w:fldCharType="separate"/>
      </w:r>
      <w:r w:rsidR="000D4C5F" w:rsidRPr="00D6722B">
        <w:rPr>
          <w:noProof/>
        </w:rPr>
        <w:t>(Huvenne and Smagghe, 2010)</w:t>
      </w:r>
      <w:r w:rsidR="005C0E76" w:rsidRPr="00D6722B">
        <w:fldChar w:fldCharType="end"/>
      </w:r>
      <w:r w:rsidR="000D4C5F" w:rsidRPr="00D6722B">
        <w:t xml:space="preserve">. </w:t>
      </w:r>
      <w:r w:rsidR="002C2DB4" w:rsidRPr="00D6722B">
        <w:t xml:space="preserve">For a dsRNA insecticide to work effectively the target insect must be capable of </w:t>
      </w:r>
      <w:r w:rsidR="00BB5FE8" w:rsidRPr="00D6722B">
        <w:t>spontaneously</w:t>
      </w:r>
      <w:r w:rsidR="002C2DB4" w:rsidRPr="00D6722B">
        <w:t xml:space="preserve"> transporting </w:t>
      </w:r>
      <w:r w:rsidR="00BB5FE8" w:rsidRPr="00D6722B">
        <w:t xml:space="preserve">dsRNA from its gut lumen into </w:t>
      </w:r>
      <w:r w:rsidR="00BB5FE8" w:rsidRPr="00595094">
        <w:t>gut epithelial cells, and preferably out into its hemolymph</w:t>
      </w:r>
      <w:r w:rsidR="00661FF1" w:rsidRPr="00595094">
        <w:t xml:space="preserve"> and other tissue types for a systemic response</w:t>
      </w:r>
      <w:r w:rsidR="000C5621" w:rsidRPr="00595094">
        <w:t xml:space="preserve"> (see figure 1.3)</w:t>
      </w:r>
      <w:r w:rsidR="00661FF1" w:rsidRPr="00595094">
        <w:t>.</w:t>
      </w:r>
      <w:r w:rsidR="00BB5FE8" w:rsidRPr="00595094">
        <w:t xml:space="preserve"> </w:t>
      </w:r>
    </w:p>
    <w:p w:rsidR="002108CC" w:rsidRDefault="004534AC" w:rsidP="002108CC">
      <w:pPr>
        <w:keepNext/>
        <w:spacing w:line="360" w:lineRule="auto"/>
        <w:ind w:firstLine="426"/>
        <w:jc w:val="center"/>
      </w:pPr>
      <w:r>
        <w:rPr>
          <w:noProof/>
          <w:lang w:eastAsia="en-GB"/>
        </w:rPr>
        <w:lastRenderedPageBreak/>
        <w:drawing>
          <wp:inline distT="0" distB="0" distL="0" distR="0">
            <wp:extent cx="4140264" cy="6850380"/>
            <wp:effectExtent l="19050" t="0" r="0" b="0"/>
            <wp:docPr id="8" name="Picture 7"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6" cstate="print"/>
                    <a:stretch>
                      <a:fillRect/>
                    </a:stretch>
                  </pic:blipFill>
                  <pic:spPr>
                    <a:xfrm>
                      <a:off x="0" y="0"/>
                      <a:ext cx="4145299" cy="6858711"/>
                    </a:xfrm>
                    <a:prstGeom prst="rect">
                      <a:avLst/>
                    </a:prstGeom>
                  </pic:spPr>
                </pic:pic>
              </a:graphicData>
            </a:graphic>
          </wp:inline>
        </w:drawing>
      </w:r>
    </w:p>
    <w:p w:rsidR="00717CC7" w:rsidRDefault="002108CC" w:rsidP="00717CC7">
      <w:pPr>
        <w:pStyle w:val="Caption"/>
        <w:spacing w:after="120"/>
        <w:rPr>
          <w:color w:val="auto"/>
        </w:rPr>
      </w:pPr>
      <w:bookmarkStart w:id="20" w:name="_Toc20411628"/>
      <w:r w:rsidRPr="002108CC">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1</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3</w:t>
      </w:r>
      <w:r w:rsidR="005C0E76">
        <w:rPr>
          <w:color w:val="auto"/>
        </w:rPr>
        <w:fldChar w:fldCharType="end"/>
      </w:r>
      <w:r w:rsidRPr="002108CC">
        <w:rPr>
          <w:color w:val="auto"/>
        </w:rPr>
        <w:t xml:space="preserve"> Proposed route of dsRNA from application to RNAi.</w:t>
      </w:r>
      <w:bookmarkEnd w:id="20"/>
      <w:r w:rsidRPr="002108CC">
        <w:rPr>
          <w:color w:val="auto"/>
        </w:rPr>
        <w:t xml:space="preserve"> </w:t>
      </w:r>
    </w:p>
    <w:p w:rsidR="002108CC" w:rsidRPr="002108CC" w:rsidRDefault="002108CC" w:rsidP="00717CC7">
      <w:pPr>
        <w:pStyle w:val="Caption"/>
        <w:spacing w:after="120"/>
        <w:rPr>
          <w:color w:val="auto"/>
        </w:rPr>
      </w:pPr>
      <w:r w:rsidRPr="002108CC">
        <w:rPr>
          <w:b w:val="0"/>
          <w:color w:val="auto"/>
        </w:rPr>
        <w:t>Schematic demonstrating the ingestion of a dsRNA based biocontrol by an insect, followed by uptake of the dsRNA from the gut lumen by endocytosis. dsRNA may then escape the endosome to induce RNAi in GW bodies, or be trafficked to other cells to elicit RNAi there.</w:t>
      </w:r>
    </w:p>
    <w:p w:rsidR="002108CC" w:rsidRDefault="002108CC" w:rsidP="000441D9">
      <w:pPr>
        <w:spacing w:line="360" w:lineRule="auto"/>
        <w:ind w:firstLine="284"/>
      </w:pPr>
    </w:p>
    <w:p w:rsidR="00EA7FFB" w:rsidRPr="00D6722B" w:rsidRDefault="000D4C5F" w:rsidP="000441D9">
      <w:pPr>
        <w:spacing w:line="360" w:lineRule="auto"/>
        <w:ind w:firstLine="284"/>
      </w:pPr>
      <w:r w:rsidRPr="00D6722B">
        <w:t xml:space="preserve">The major uptake mechanism responsible for entry of dsRNA into insect cells is </w:t>
      </w:r>
      <w:r w:rsidR="002C2DB4" w:rsidRPr="00D6722B">
        <w:t xml:space="preserve">scavenger receptor-mediated </w:t>
      </w:r>
      <w:r w:rsidRPr="00D6722B">
        <w:t>endocytosis</w:t>
      </w:r>
      <w:r w:rsidR="00595094">
        <w:t xml:space="preserve"> (see figure 1.3</w:t>
      </w:r>
      <w:r w:rsidR="004D4132" w:rsidRPr="00D6722B">
        <w:t>)</w:t>
      </w:r>
      <w:r w:rsidRPr="00D6722B">
        <w:t>, and this has been confirmed</w:t>
      </w:r>
      <w:r w:rsidR="002C2DB4" w:rsidRPr="00D6722B">
        <w:t xml:space="preserve"> experimentally for a range of insect models</w:t>
      </w:r>
      <w:r w:rsidRPr="00D6722B">
        <w:t xml:space="preserve"> </w:t>
      </w:r>
      <w:r w:rsidR="002C2DB4" w:rsidRPr="00D6722B">
        <w:t>including</w:t>
      </w:r>
      <w:r w:rsidRPr="00D6722B">
        <w:t xml:space="preserve"> </w:t>
      </w:r>
      <w:r w:rsidR="002C2DB4" w:rsidRPr="00D6722B">
        <w:rPr>
          <w:i/>
        </w:rPr>
        <w:t>Drosophila</w:t>
      </w:r>
      <w:r w:rsidRPr="00D6722B">
        <w:t xml:space="preserve"> S2 cells </w:t>
      </w:r>
      <w:r w:rsidR="005C0E76" w:rsidRPr="00D6722B">
        <w:fldChar w:fldCharType="begin" w:fldLock="1"/>
      </w:r>
      <w:r w:rsidR="002C2DB4" w:rsidRPr="00D6722B">
        <w:instrText>ADDIN CSL_CITATION {"citationItems":[{"id":"ITEM-1","itemData":{"DOI":"10.1074/jbc.M513868200","ISSN":"0021-9258","PMID":"16531407","abstract":"Double-stranded RNA (dsRNA) fragments are readily internalized and processed by Drosophila S2 cells, making these cells a widely used tool for the analysis of gene function by gene silencing through RNA interference (RNAi). The underlying mechanisms are insufficiently understood. To identify components of the RNAi pathway in S2 cells, we developed a screen based on rescue from RNAi-induced lethality. We identified Argonaute 2, a core component of the RNAi machinery, and three gene products previously unknown to be involved in RNAi in Drosophila: DEAD-box RNA helicase Belle, 26 S proteasome regulatory subunit 8 (Pros45), and clathrin heavy chain, a component of the endocytic machinery. Blocking endocytosis in S2 cells impaired RNAi, suggesting that dsRNA fragments are internalized by receptor-mediated endocytosis. Indeed, using a candidate gene approach, we identified two Drosophila scavenger receptors, SR-CI and Eater, which together accounted for more than 90% of the dsRNA uptake into S2 cells. When expressed in mammalian cells, SR-CI was sufficient to mediate internalization of dsRNA fragments. Our data provide insight into the mechanism of dsRNA internalization by Drosophila cells. These results have implications for dsRNA delivery into mammalian cells.","author":[{"dropping-particle":"","family":"Ulvila","given":"Johanna","non-dropping-particle":"","parse-names":false,"suffix":""},{"dropping-particle":"","family":"Parikka","given":"Mataleena","non-dropping-particle":"","parse-names":false,"suffix":""},{"dropping-particle":"","family":"Kleino","given":"Anni","non-dropping-particle":"","parse-names":false,"suffix":""},{"dropping-particle":"","family":"Sormunen","given":"Raija","non-dropping-particle":"","parse-names":false,"suffix":""},{"dropping-particle":"","family":"Ezekowitz","given":"R. Alan","non-dropping-particle":"","parse-names":false,"suffix":""},{"dropping-particle":"","family":"Kocks","given":"Christine","non-dropping-particle":"","parse-names":false,"suffix":""},{"dropping-particle":"","family":"Rämet","given":"Mika","non-dropping-particle":"","parse-names":false,"suffix":""}],"container-title":"Journal of Biological Chemistry","id":"ITEM-1","issue":"20","issued":{"date-parts":[["2006","5","19"]]},"page":"14370-14375","title":"Double-stranded RNA Is Internalized by Scavenger Receptor-mediated Endocytosis in &lt;i&gt;Drosophila&lt;/i&gt; S2 Cells","type":"article-journal","volume":"281"},"uris":["http://www.mendeley.com/documents/?uuid=c8bee7d0-f53f-3ba6-9c6f-e65da5f55ba4"]}],"mendeley":{"formattedCitation":"(Ulvila &lt;i&gt;et al.&lt;/i&gt;, 2006)","plainTextFormattedCitation":"(Ulvila et al., 2006)","previouslyFormattedCitation":"(Ulvila &lt;i&gt;et al.&lt;/i&gt;, 2006)"},"properties":{"noteIndex":0},"schema":"https://github.com/citation-style-language/schema/raw/master/csl-citation.json"}</w:instrText>
      </w:r>
      <w:r w:rsidR="005C0E76" w:rsidRPr="00D6722B">
        <w:fldChar w:fldCharType="separate"/>
      </w:r>
      <w:r w:rsidRPr="00D6722B">
        <w:rPr>
          <w:noProof/>
        </w:rPr>
        <w:t xml:space="preserve">(Ulvila </w:t>
      </w:r>
      <w:r w:rsidRPr="00D6722B">
        <w:rPr>
          <w:i/>
          <w:noProof/>
        </w:rPr>
        <w:t>et al.</w:t>
      </w:r>
      <w:r w:rsidRPr="00D6722B">
        <w:rPr>
          <w:noProof/>
        </w:rPr>
        <w:t>, 2006)</w:t>
      </w:r>
      <w:r w:rsidR="005C0E76" w:rsidRPr="00D6722B">
        <w:fldChar w:fldCharType="end"/>
      </w:r>
      <w:r w:rsidR="002C2DB4" w:rsidRPr="00D6722B">
        <w:t xml:space="preserve">, the red flour beetle </w:t>
      </w:r>
      <w:r w:rsidR="002C2DB4" w:rsidRPr="00D6722B">
        <w:rPr>
          <w:i/>
        </w:rPr>
        <w:t>Tribolium castaneum</w:t>
      </w:r>
      <w:r w:rsidR="002C2DB4" w:rsidRPr="00D6722B">
        <w:t xml:space="preserve"> </w:t>
      </w:r>
      <w:r w:rsidR="005C0E76" w:rsidRPr="00D6722B">
        <w:fldChar w:fldCharType="begin" w:fldLock="1"/>
      </w:r>
      <w:r w:rsidR="002C2DB4" w:rsidRPr="00D6722B">
        <w:instrText>ADDIN CSL_CITATION {"citationItems":[{"id":"ITEM-1","itemData":{"DOI":"10.1016/J.IBMB.2015.03.009","ISSN":"0965-1748","abstract":"RNA interference (RNAi) is a highly conserved gene regulatory mechanism in eukaryotic organisms; however, an understanding of mechanisms of cellular uptake of double-stranded RNA (dsRNA) in different organisms remains elusive. By using pharmacological inhibitors of different endocytic pathways in conjunction with RNAi of a marker gene (lethal giant larvae, TcLgl) in the red flour beetle (Tribolium castaneum), we demonstrated that two inhibitors (chlorpromazine and bafilomycin-A1) of clathrin-dependent endocytosis can nearly abolish or significantly diminish RNAi of TcLgl, whereas methyl-β-cyclodextrin and cytochalasin-D, known to inhibit other endocytic pathways, showed no effect on RNAi of TcLgl. By using Cy3-labeled TcLgl dsRNA, we observed significantly reduced cellular uptake of TcLgl dsRNA in midgut cells after larvae were injected with each of the two clathrin-dependent endocytosis inhibitors. By using an “RNAi of RNAi” strategy, we further demonstrated that suppression of each transcript of the four key genes encoding clathrin heavy chain (TcChc), clathrin coat assembly protein AP50 (TcAP50), vacuolar (H+)-ATPase subunit H (TcVhaSFD) and a ras-related protein (TcRab7) in clathrin-dependent endocytosis by RNAi can significantly impair RNAi of TcLgl. These results support our conclusion that clathrin-dependent endocytosis is a major mechanism in cellular uptake of dsRNA in T. castaneum. Our study also provides new insights into improving RNAi efficiency by enhancing dsRNA endosomal release.","author":[{"dropping-particle":"","family":"Xiao","given":"Da","non-dropping-particle":"","parse-names":false,"suffix":""},{"dropping-particle":"","family":"Gao","given":"Xiwu","non-dropping-particle":"","parse-names":false,"suffix":""},{"dropping-particle":"","family":"Xu","given":"Jiaping","non-dropping-particle":"","parse-names":false,"suffix":""},{"dropping-particle":"","family":"Liang","given":"Xiao","non-dropping-particle":"","parse-names":false,"suffix":""},{"dropping-particle":"","family":"Li","given":"Qingqing","non-dropping-particle":"","parse-names":false,"suffix":""},{"dropping-particle":"","family":"Yao","given":"Jianxiu","non-dropping-particle":"","parse-names":false,"suffix":""},{"dropping-particle":"","family":"Zhu","given":"Kun Yan","non-dropping-particle":"","parse-names":false,"suffix":""}],"container-title":"Insect Biochemistry and Molecular Biology","id":"ITEM-1","issued":{"date-parts":[["2015","5","1"]]},"page":"68-77","publisher":"Pergamon","title":"Clathrin-dependent endocytosis plays a predominant role in cellular uptake of double-stranded RNA in the red flour beetle","type":"article-journal","volume":"60"},"uris":["http://www.mendeley.com/documents/?uuid=0601246f-e811-3912-957e-28ebec56a150"]}],"mendeley":{"formattedCitation":"(Xiao &lt;i&gt;et al.&lt;/i&gt;, 2015)","plainTextFormattedCitation":"(Xiao et al., 2015)","previouslyFormattedCitation":"(Xiao &lt;i&gt;et al.&lt;/i&gt;, 2015)"},"properties":{"noteIndex":0},"schema":"https://github.com/citation-style-language/schema/raw/master/csl-citation.json"}</w:instrText>
      </w:r>
      <w:r w:rsidR="005C0E76" w:rsidRPr="00D6722B">
        <w:fldChar w:fldCharType="separate"/>
      </w:r>
      <w:r w:rsidR="002C2DB4" w:rsidRPr="00D6722B">
        <w:rPr>
          <w:noProof/>
        </w:rPr>
        <w:t xml:space="preserve">(Xiao </w:t>
      </w:r>
      <w:r w:rsidR="002C2DB4" w:rsidRPr="00D6722B">
        <w:rPr>
          <w:i/>
          <w:noProof/>
        </w:rPr>
        <w:t>et al.</w:t>
      </w:r>
      <w:r w:rsidR="002C2DB4" w:rsidRPr="00D6722B">
        <w:rPr>
          <w:noProof/>
        </w:rPr>
        <w:t>, 2015)</w:t>
      </w:r>
      <w:r w:rsidR="005C0E76" w:rsidRPr="00D6722B">
        <w:fldChar w:fldCharType="end"/>
      </w:r>
      <w:r w:rsidR="002C2DB4" w:rsidRPr="00D6722B">
        <w:t xml:space="preserve">, and the desert locust </w:t>
      </w:r>
      <w:r w:rsidR="002C2DB4" w:rsidRPr="00D6722B">
        <w:rPr>
          <w:i/>
        </w:rPr>
        <w:t>Schistocerca gregaria</w:t>
      </w:r>
      <w:r w:rsidR="002C2DB4" w:rsidRPr="00D6722B">
        <w:t xml:space="preserve"> </w:t>
      </w:r>
      <w:r w:rsidR="005C0E76" w:rsidRPr="00D6722B">
        <w:fldChar w:fldCharType="begin" w:fldLock="1"/>
      </w:r>
      <w:r w:rsidR="004534AC">
        <w:instrText>ADDIN CSL_CITATION {"citationItems":[{"id":"ITEM-1","itemData":{"DOI":"10.1111/imb.12083","ISSN":"09621075","PMID":"24528536","abstract":"RNA interference (RNAi) has become a widely used loss-of-function tool in eukaryotes; however, the delivery of double-stranded (ds)RNA) to the target cells remains a major challenge when exploiting the RNAi-technology. In insects, the efficiency of RNAi is highly species-dependent. Yet, the mechanism of cell entry in insects has only been characterized in a cell line of the fruit fly, Drosophila melanogaster, a species that is well known to be poorly amenable to environmental RNAi. In the present paper, we demonstrate that silencing vacuolar H-ATPase 16 (vha16) and clathrin heavy chain (clath), two components of the Clathrin-dependent endocytosis pathway, together with pharmacological inhibition of scavenger receptors with polyinosine and dextran sulphate, can significantly attenuate the highly robust RNAi response in the desert locust, Schistocerca gregaria.","author":[{"dropping-particle":"","family":"Wynant","given":"N.","non-dropping-particle":"","parse-names":false,"suffix":""},{"dropping-particle":"","family":"Santos","given":"D.","non-dropping-particle":"","parse-names":false,"suffix":""},{"dropping-particle":"","family":"Wielendaele","given":"P.","non-dropping-particle":"Van","parse-names":false,"suffix":""},{"dropping-particle":"","family":"Broeck","given":"J.","non-dropping-particle":"Vanden","parse-names":false,"suffix":""}],"container-title":"Insect Molecular Biology","id":"ITEM-1","issue":"3","issued":{"date-parts":[["2014","3"]]},"page":"n/a-n/a","title":"Scavenger receptor-mediated endocytosis facilitates RNA interference in the desert locust, &lt;i&gt;Schistocerca gregaria&lt;/i&gt;","type":"article-journal","volume":"23"},"uris":["http://www.mendeley.com/documents/?uuid=18115a86-57ff-31a0-8d24-c5130ac46267"]}],"mendeley":{"formattedCitation":"(N. Wynant &lt;i&gt;et al.&lt;/i&gt;, 2014)","manualFormatting":"(Wynant et al., 2014)","plainTextFormattedCitation":"(N. Wynant et al., 2014)","previouslyFormattedCitation":"(N. Wynant &lt;i&gt;et al.&lt;/i&gt;, 2014)"},"properties":{"noteIndex":0},"schema":"https://github.com/citation-style-language/schema/raw/master/csl-citation.json"}</w:instrText>
      </w:r>
      <w:r w:rsidR="005C0E76" w:rsidRPr="00D6722B">
        <w:fldChar w:fldCharType="separate"/>
      </w:r>
      <w:r w:rsidR="004534AC">
        <w:rPr>
          <w:noProof/>
        </w:rPr>
        <w:t>(</w:t>
      </w:r>
      <w:r w:rsidR="00937031" w:rsidRPr="00D6722B">
        <w:rPr>
          <w:noProof/>
        </w:rPr>
        <w:t xml:space="preserve">Wynant </w:t>
      </w:r>
      <w:r w:rsidR="00937031" w:rsidRPr="00D6722B">
        <w:rPr>
          <w:i/>
          <w:noProof/>
        </w:rPr>
        <w:t>et al.</w:t>
      </w:r>
      <w:r w:rsidR="00937031" w:rsidRPr="00D6722B">
        <w:rPr>
          <w:noProof/>
        </w:rPr>
        <w:t xml:space="preserve">, </w:t>
      </w:r>
      <w:r w:rsidR="00937031" w:rsidRPr="00D6722B">
        <w:rPr>
          <w:noProof/>
        </w:rPr>
        <w:lastRenderedPageBreak/>
        <w:t>2014)</w:t>
      </w:r>
      <w:r w:rsidR="005C0E76" w:rsidRPr="00D6722B">
        <w:fldChar w:fldCharType="end"/>
      </w:r>
      <w:r w:rsidR="00BB5FE8" w:rsidRPr="00D6722B">
        <w:t>.</w:t>
      </w:r>
      <w:r w:rsidR="00EA7FFB" w:rsidRPr="00D6722B">
        <w:t xml:space="preserve"> The </w:t>
      </w:r>
      <w:r w:rsidR="00EA7FFB" w:rsidRPr="00D6722B">
        <w:rPr>
          <w:i/>
        </w:rPr>
        <w:t>Drosophila melanogaster</w:t>
      </w:r>
      <w:r w:rsidR="00EA7FFB" w:rsidRPr="00D6722B">
        <w:t xml:space="preserve"> scavenger receptors SR-CI and Eater account for more than 90% of dsRNA uptake by S2 cells </w:t>
      </w:r>
      <w:r w:rsidR="005C0E76" w:rsidRPr="00D6722B">
        <w:fldChar w:fldCharType="begin" w:fldLock="1"/>
      </w:r>
      <w:r w:rsidR="00EA7FFB" w:rsidRPr="00D6722B">
        <w:instrText>ADDIN CSL_CITATION {"citationItems":[{"id":"ITEM-1","itemData":{"DOI":"10.1016/j.jinsphys.2009.10.004","ISBN":"1879-1611 (Electronic)\\n0022-1910 (Linking)","ISSN":"00221910","PMID":"19837076","abstract":"RNA interference already proved its usefulness in functional genomic research on insects, but it also has considerable potential for the control of pest insects. For this purpose, the insect should be able to autonomously take up the dsRNA, for example through feeding and digestion in its midgut. In this review we bring together current knowledge on the uptake mechanisms of dsRNA in insects and the potential of RNAi to affect pest insects. At least two pathways for dsRNA uptake in insects are described: the transmembrane channel-mediated uptake mechanism based on Caenorhabditis elegans' SID-1 protein and an 'alternative' endocytosis-mediated uptake mechanism. In the second part of the review dsRNA feeding experiments on insects are brought together for the first time, highlighting the achievement of implementing RNAi in insect control with the first successful experiments in transgenic plants and the diversity of successfully tested insect orders/species and target genes. We conclude with points of discussion and concerns regarding further research on dsRNA uptake mechanisms and the promising application possibilities for RNAi in insect control. © 2009 Elsevier Ltd. All rights reserved.","author":[{"dropping-particle":"","family":"Huvenne","given":"Hanneke","non-dropping-particle":"","parse-names":false,"suffix":""},{"dropping-particle":"","family":"Smagghe","given":"Guy","non-dropping-particle":"","parse-names":false,"suffix":""}],"container-title":"Journal of Insect Physiology","id":"ITEM-1","issue":"3","issued":{"date-parts":[["2010"]]},"page":"227-235","publisher":"Elsevier Ltd","title":"Mechanisms of dsRNA uptake in insects and potential of RNAi for pest control: A review","type":"article-journal","volume":"56"},"uris":["http://www.mendeley.com/documents/?uuid=f8e25a73-7fed-4f80-ae52-3493935f4286"]},{"id":"ITEM-2","itemData":{"DOI":"10.1074/jbc.M513868200","ISSN":"0021-9258","PMID":"16531407","abstract":"Double-stranded RNA (dsRNA) fragments are readily internalized and processed by Drosophila S2 cells, making these cells a widely used tool for the analysis of gene function by gene silencing through RNA interference (RNAi). The underlying mechanisms are insufficiently understood. To identify components of the RNAi pathway in S2 cells, we developed a screen based on rescue from RNAi-induced lethality. We identified Argonaute 2, a core component of the RNAi machinery, and three gene products previously unknown to be involved in RNAi in Drosophila: DEAD-box RNA helicase Belle, 26 S proteasome regulatory subunit 8 (Pros45), and clathrin heavy chain, a component of the endocytic machinery. Blocking endocytosis in S2 cells impaired RNAi, suggesting that dsRNA fragments are internalized by receptor-mediated endocytosis. Indeed, using a candidate gene approach, we identified two Drosophila scavenger receptors, SR-CI and Eater, which together accounted for more than 90% of the dsRNA uptake into S2 cells. When expressed in mammalian cells, SR-CI was sufficient to mediate internalization of dsRNA fragments. Our data provide insight into the mechanism of dsRNA internalization by Drosophila cells. These results have implications for dsRNA delivery into mammalian cells.","author":[{"dropping-particle":"","family":"Ulvila","given":"Johanna","non-dropping-particle":"","parse-names":false,"suffix":""},{"dropping-particle":"","family":"Parikka","given":"Mataleena","non-dropping-particle":"","parse-names":false,"suffix":""},{"dropping-particle":"","family":"Kleino","given":"Anni","non-dropping-particle":"","parse-names":false,"suffix":""},{"dropping-particle":"","family":"Sormunen","given":"Raija","non-dropping-particle":"","parse-names":false,"suffix":""},{"dropping-particle":"","family":"Ezekowitz","given":"R. Alan","non-dropping-particle":"","parse-names":false,"suffix":""},{"dropping-particle":"","family":"Kocks","given":"Christine","non-dropping-particle":"","parse-names":false,"suffix":""},{"dropping-particle":"","family":"Rämet","given":"Mika","non-dropping-particle":"","parse-names":false,"suffix":""}],"container-title":"Journal of Biological Chemistry","id":"ITEM-2","issue":"20","issued":{"date-parts":[["2006","5","19"]]},"page":"14370-14375","title":"Double-stranded RNA Is Internalized by Scavenger Receptor-mediated Endocytosis in &lt;i&gt;Drosophila&lt;/i&gt; S2 Cells","type":"article-journal","volume":"281"},"uris":["http://www.mendeley.com/documents/?uuid=c8bee7d0-f53f-3ba6-9c6f-e65da5f55ba4"]}],"mendeley":{"formattedCitation":"(Ulvila &lt;i&gt;et al.&lt;/i&gt;, 2006; Huvenne and Smagghe, 2010)","plainTextFormattedCitation":"(Ulvila et al., 2006; Huvenne and Smagghe, 2010)","previouslyFormattedCitation":"(Ulvila &lt;i&gt;et al.&lt;/i&gt;, 2006; Huvenne and Smagghe, 2010)"},"properties":{"noteIndex":0},"schema":"https://github.com/citation-style-language/schema/raw/master/csl-citation.json"}</w:instrText>
      </w:r>
      <w:r w:rsidR="005C0E76" w:rsidRPr="00D6722B">
        <w:fldChar w:fldCharType="separate"/>
      </w:r>
      <w:r w:rsidR="00EA7FFB" w:rsidRPr="00D6722B">
        <w:rPr>
          <w:noProof/>
        </w:rPr>
        <w:t xml:space="preserve">(Ulvila </w:t>
      </w:r>
      <w:r w:rsidR="00EA7FFB" w:rsidRPr="00D6722B">
        <w:rPr>
          <w:i/>
          <w:noProof/>
        </w:rPr>
        <w:t>et al.</w:t>
      </w:r>
      <w:r w:rsidR="00EA7FFB" w:rsidRPr="00D6722B">
        <w:rPr>
          <w:noProof/>
        </w:rPr>
        <w:t>, 2006; Huvenne and Smagghe, 2010)</w:t>
      </w:r>
      <w:r w:rsidR="005C0E76" w:rsidRPr="00D6722B">
        <w:fldChar w:fldCharType="end"/>
      </w:r>
      <w:r w:rsidR="00EA7FFB" w:rsidRPr="00D6722B">
        <w:t xml:space="preserve">.  </w:t>
      </w:r>
    </w:p>
    <w:p w:rsidR="00132D43" w:rsidRPr="00D6722B" w:rsidRDefault="00196605" w:rsidP="000441D9">
      <w:pPr>
        <w:spacing w:line="360" w:lineRule="auto"/>
        <w:ind w:firstLine="284"/>
      </w:pPr>
      <w:r w:rsidRPr="00D6722B">
        <w:t xml:space="preserve">There is a length requirement for the dsRNA to be effectively uptaken, with naked delivery of siRNAs and short dsRNAs to S2 cells resulting in low RNAi efficiency, with </w:t>
      </w:r>
      <w:r w:rsidR="00C2576A" w:rsidRPr="00D6722B">
        <w:t xml:space="preserve">mRNA </w:t>
      </w:r>
      <w:r w:rsidRPr="00D6722B">
        <w:t xml:space="preserve">knockdown dropping rapidly from 80% for a 50 bp dsRNA to less than 60% for a 31 bp dsRNA, and there being no clear difference from a control dsRNA for a 21 bp targeting siRNA </w:t>
      </w:r>
      <w:r w:rsidR="005C0E76" w:rsidRPr="00D6722B">
        <w:fldChar w:fldCharType="begin" w:fldLock="1"/>
      </w:r>
      <w:r w:rsidR="00132D43" w:rsidRPr="00D6722B">
        <w:instrText>ADDIN CSL_CITATION {"citationItems":[{"id":"ITEM-1","itemData":{"DOI":"10.1038/ncb1439","ISSN":"1465-7392","PMID":"16862146","abstract":"Many metazoan cells can take up exogenous double-stranded (ds) RNA and use it to initiate an RNA silencing response, however, the mechanism for this uptake is ill-defined. Here, we identify the pathway for dsRNA uptake in Drosophila melanogaster S2 cells. Biochemical and cell biological analyses, and a genome-wide screen for components of the dsRNA-uptake machinery, indicated that dsRNA is taken up by an active process involving receptor-mediated endocytosis. Pharmacological inhibition of endocytic pathways disrupted exogenous dsRNA entry and the induction of gene silencing. This dsRNA uptake mechanism seems to be evolutionarily conserved, as knockdown of orthologues in Caenorhabditis elegans inactivated the RNA interference response in worms. Thus, this entry pathway is required for systemic RNA silencing in whole organisms. In Drosophila cells, pharmacological evidence suggests that dsRNA entry is mediated by pattern-recognition receptors. The possible role of these receptors in dsRNA entry may link RNA interference (RNAi) silencing to other innate immune responses.","author":[{"dropping-particle":"","family":"Saleh","given":"Maria-Carla","non-dropping-particle":"","parse-names":false,"suffix":""},{"dropping-particle":"","family":"Rij","given":"Ronald P","non-dropping-particle":"van","parse-names":false,"suffix":""},{"dropping-particle":"","family":"Hekele","given":"Armin","non-dropping-particle":"","parse-names":false,"suffix":""},{"dropping-particle":"","family":"Gillis","given":"Amethyst","non-dropping-particle":"","parse-names":false,"suffix":""},{"dropping-particle":"","family":"Foley","given":"Edan","non-dropping-particle":"","parse-names":false,"suffix":""},{"dropping-particle":"","family":"O'Farrell","given":"Patrick H","non-dropping-particle":"","parse-names":false,"suffix":""},{"dropping-particle":"","family":"Andino","given":"Raul","non-dropping-particle":"","parse-names":false,"suffix":""}],"container-title":"Nature cell biology","id":"ITEM-1","issue":"8","issued":{"date-parts":[["2006","8"]]},"page":"793-802","publisher":"NIH Public Access","title":"The endocytic pathway mediates cell entry of dsRNA to induce RNAi silencing.","type":"article-journal","volume":"8"},"uris":["http://www.mendeley.com/documents/?uuid=ab13e65d-1986-3961-be2f-6e0cd4e698cc"]}],"mendeley":{"formattedCitation":"(Saleh, Ronald P van Rij, &lt;i&gt;et al.&lt;/i&gt;, 2006)","plainTextFormattedCitation":"(Saleh, Ronald P van Rij, et al., 2006)","previouslyFormattedCitation":"(Saleh, Ronald P van Rij, &lt;i&gt;et al.&lt;/i&gt;, 2006)"},"properties":{"noteIndex":0},"schema":"https://github.com/citation-style-language/schema/raw/master/csl-citation.json"}</w:instrText>
      </w:r>
      <w:r w:rsidR="005C0E76" w:rsidRPr="00D6722B">
        <w:fldChar w:fldCharType="separate"/>
      </w:r>
      <w:r w:rsidRPr="00D6722B">
        <w:rPr>
          <w:noProof/>
        </w:rPr>
        <w:t xml:space="preserve">(Saleh, Ronald P van Rij, </w:t>
      </w:r>
      <w:r w:rsidRPr="00D6722B">
        <w:rPr>
          <w:i/>
          <w:noProof/>
        </w:rPr>
        <w:t>et al.</w:t>
      </w:r>
      <w:r w:rsidRPr="00D6722B">
        <w:rPr>
          <w:noProof/>
        </w:rPr>
        <w:t>, 2006)</w:t>
      </w:r>
      <w:r w:rsidR="005C0E76" w:rsidRPr="00D6722B">
        <w:fldChar w:fldCharType="end"/>
      </w:r>
      <w:r w:rsidRPr="00D6722B">
        <w:t>. In the same study</w:t>
      </w:r>
      <w:r w:rsidR="00132D43" w:rsidRPr="00D6722B">
        <w:t xml:space="preserve">, </w:t>
      </w:r>
      <w:r w:rsidRPr="00D6722B">
        <w:t>the highest levels of knockdown</w:t>
      </w:r>
      <w:r w:rsidR="00E42CDC">
        <w:t xml:space="preserve"> were</w:t>
      </w:r>
      <w:r w:rsidRPr="00D6722B">
        <w:t xml:space="preserve"> only achieved by dsRNAs over 200 bp</w:t>
      </w:r>
      <w:r w:rsidR="00132D43" w:rsidRPr="00D6722B">
        <w:t xml:space="preserve">. Studies in live Colorado potato beetles revealed a slightly greater length requirement, determining that 297 bp dsRNA resulted in greater mortality (96%) than a 208 bp dsRNA (35%) </w:t>
      </w:r>
      <w:r w:rsidR="005C0E76" w:rsidRPr="00D6722B">
        <w:fldChar w:fldCharType="begin" w:fldLock="1"/>
      </w:r>
      <w:r w:rsidR="007D2DB3" w:rsidRPr="00D6722B">
        <w:instrText>ADDIN CSL_CITATION {"citationItems":[{"id":"ITEM-1","itemData":{"DOI":"10.1002/ps.4056","ISSN":"1526498X","author":[{"dropping-particle":"","family":"San Miguel","given":"Keri","non-dropping-particle":"","parse-names":false,"suffix":""},{"dropping-particle":"","family":"Scott","given":"Jeffrey G","non-dropping-particle":"","parse-names":false,"suffix":""}],"container-title":"Pest Management Science","id":"ITEM-1","issue":"February","issued":{"date-parts":[["2015"]]},"page":"n/a-n/a","title":"The next generation of insecticides: dsRNA is stable as a foliar-applied insecticide","type":"article-journal"},"uris":["http://www.mendeley.com/documents/?uuid=0e666d3c-1776-452f-ae6b-c802a97ac443"]}],"mendeley":{"formattedCitation":"(San Miguel and Scott, 2015)","plainTextFormattedCitation":"(San Miguel and Scott, 2015)","previouslyFormattedCitation":"(San Miguel and Scott, 2015)"},"properties":{"noteIndex":0},"schema":"https://github.com/citation-style-language/schema/raw/master/csl-citation.json"}</w:instrText>
      </w:r>
      <w:r w:rsidR="005C0E76" w:rsidRPr="00D6722B">
        <w:fldChar w:fldCharType="separate"/>
      </w:r>
      <w:r w:rsidR="00132D43" w:rsidRPr="00D6722B">
        <w:rPr>
          <w:noProof/>
        </w:rPr>
        <w:t>(Miguel and Scott, 2015)</w:t>
      </w:r>
      <w:r w:rsidR="005C0E76" w:rsidRPr="00D6722B">
        <w:fldChar w:fldCharType="end"/>
      </w:r>
      <w:r w:rsidR="00132D43" w:rsidRPr="00D6722B">
        <w:t>. dsRNAs shorter than 208 bp showed no mortality after seven days, though did result in a failure of the larvae to mature, with a 102 bp dsRNA preventing 55% of larvae from molting to the fourth instar larval stage. A 50 bp dsRNA did not prevent any of the larvae reaching fourth instar stage, though resulted in a reduced average weight of 51.7 mg compared to the average of 70.1 mg for the control group.</w:t>
      </w:r>
    </w:p>
    <w:p w:rsidR="00132D43" w:rsidRPr="00256BC4" w:rsidRDefault="00132D43" w:rsidP="000441D9">
      <w:pPr>
        <w:pStyle w:val="ListParagraph"/>
        <w:spacing w:line="360" w:lineRule="auto"/>
        <w:ind w:left="0" w:firstLine="284"/>
        <w:rPr>
          <w:color w:val="0070C0"/>
        </w:rPr>
      </w:pPr>
    </w:p>
    <w:p w:rsidR="00D417D2" w:rsidRDefault="002C2DB4" w:rsidP="000441D9">
      <w:pPr>
        <w:pStyle w:val="ListParagraph"/>
        <w:spacing w:line="360" w:lineRule="auto"/>
        <w:ind w:left="0" w:firstLine="284"/>
      </w:pPr>
      <w:r>
        <w:t xml:space="preserve"> </w:t>
      </w:r>
      <w:r w:rsidR="00132D43">
        <w:t>While the initial uptake mechanism of dsRNA in insects has been investigated,</w:t>
      </w:r>
      <w:r w:rsidR="00661FF1">
        <w:t xml:space="preserve"> the cellular machinery required for a systemic response in insects is not </w:t>
      </w:r>
      <w:r w:rsidR="00D417D2">
        <w:t xml:space="preserve">fully </w:t>
      </w:r>
      <w:r w:rsidR="00661FF1">
        <w:t xml:space="preserve">understood </w:t>
      </w:r>
      <w:r w:rsidR="005C0E76">
        <w:fldChar w:fldCharType="begin" w:fldLock="1"/>
      </w:r>
      <w:r w:rsidR="00661FF1">
        <w:instrText>ADDIN CSL_CITATION {"citationItems":[{"id":"ITEM-1","itemData":{"DOI":"10.3389/fphys.2016.00553","ISSN":"1664042X","PMID":"27909411","abstract":"In recent years, the research on the potential of using RNA interference (RNAi) to suppress crop pests has made an outstanding growth. However, given the variability of RNAi efficiency that is observed in many insects, the development of novel approaches toward insect pest management using RNAi requires first to unravel factors behind the efficiency of dsRNA-mediated gene silencing. In this review, we explore essential implications and possibilities to increase RNAi efficiency by delivery of dsRNA through non-transformative methods. We discuss factors influencing the RNAi mechanism in insects and systemic properties of dsRNA. Finally, novel strategies to deliver dsRNA are discussed, including delivery by symbionts, plant viruses, trunk injections, root soaking, and transplastomic plants.","author":[{"dropping-particle":"","family":"Joga","given":"Mallikarjuna R.","non-dropping-particle":"","parse-names":false,"suffix":""},{"dropping-particle":"","family":"Zotti","given":"Moises J.","non-dropping-particle":"","parse-names":false,"suffix":""},{"dropping-particle":"","family":"Smagghe","given":"Guy","non-dropping-particle":"","parse-names":false,"suffix":""},{"dropping-particle":"","family":"Christiaens","given":"Olivier","non-dropping-particle":"","parse-names":false,"suffix":""}],"container-title":"Frontiers in Physiology","id":"ITEM-1","issue":"NOV","issued":{"date-parts":[["2016"]]},"page":"1-14","title":"RNAi efficiency, systemic properties, and novel delivery methods for pest insect control: What we know so far","type":"article-journal","volume":"7"},"uris":["http://www.mendeley.com/documents/?uuid=b9ac6d29-fda1-40b1-b002-9fceb6a4e6f6"]}],"mendeley":{"formattedCitation":"(Joga &lt;i&gt;et al.&lt;/i&gt;, 2016)","plainTextFormattedCitation":"(Joga et al., 2016)","previouslyFormattedCitation":"(Joga &lt;i&gt;et al.&lt;/i&gt;, 2016)"},"properties":{"noteIndex":0},"schema":"https://github.com/citation-style-language/schema/raw/master/csl-citation.json"}</w:instrText>
      </w:r>
      <w:r w:rsidR="005C0E76">
        <w:fldChar w:fldCharType="separate"/>
      </w:r>
      <w:r w:rsidR="00661FF1" w:rsidRPr="00661FF1">
        <w:rPr>
          <w:noProof/>
        </w:rPr>
        <w:t xml:space="preserve">(Joga </w:t>
      </w:r>
      <w:r w:rsidR="00661FF1" w:rsidRPr="00661FF1">
        <w:rPr>
          <w:i/>
          <w:noProof/>
        </w:rPr>
        <w:t>et al.</w:t>
      </w:r>
      <w:r w:rsidR="00661FF1" w:rsidRPr="00661FF1">
        <w:rPr>
          <w:noProof/>
        </w:rPr>
        <w:t>, 2016)</w:t>
      </w:r>
      <w:r w:rsidR="005C0E76">
        <w:fldChar w:fldCharType="end"/>
      </w:r>
      <w:r w:rsidR="00661FF1">
        <w:t xml:space="preserve">. It is known that insect systemic RNAi does not function by the same mechanism as </w:t>
      </w:r>
      <w:r w:rsidR="00661FF1" w:rsidRPr="00E42CDC">
        <w:rPr>
          <w:i/>
        </w:rPr>
        <w:t>C. elegans</w:t>
      </w:r>
      <w:r w:rsidR="00661FF1">
        <w:t xml:space="preserve"> systemic RNAi. </w:t>
      </w:r>
      <w:r w:rsidR="00661FF1" w:rsidRPr="00661FF1">
        <w:rPr>
          <w:i/>
        </w:rPr>
        <w:t>C. elegans</w:t>
      </w:r>
      <w:r w:rsidR="00661FF1">
        <w:t xml:space="preserve"> </w:t>
      </w:r>
      <w:r w:rsidR="00736E68">
        <w:t xml:space="preserve">dsRNA uptake and subsequent </w:t>
      </w:r>
      <w:r w:rsidR="00661FF1">
        <w:t xml:space="preserve">systemic RNAi involves transport of dsRNA by two sets of multispan transmembrane proteins termed SID-receptors </w:t>
      </w:r>
      <w:r w:rsidR="005C0E76">
        <w:fldChar w:fldCharType="begin" w:fldLock="1"/>
      </w:r>
      <w:r w:rsidR="0078042F">
        <w:instrText>ADDIN CSL_CITATION {"citationItems":[{"id":"ITEM-1","itemData":{"DOI":"10.1016/j.jinsphys.2009.10.004","ISBN":"1879-1611 (Electronic)\\n0022-1910 (Linking)","ISSN":"00221910","PMID":"19837076","abstract":"RNA interference already proved its usefulness in functional genomic research on insects, but it also has considerable potential for the control of pest insects. For this purpose, the insect should be able to autonomously take up the dsRNA, for example through feeding and digestion in its midgut. In this review we bring together current knowledge on the uptake mechanisms of dsRNA in insects and the potential of RNAi to affect pest insects. At least two pathways for dsRNA uptake in insects are described: the transmembrane channel-mediated uptake mechanism based on Caenorhabditis elegans' SID-1 protein and an 'alternative' endocytosis-mediated uptake mechanism. In the second part of the review dsRNA feeding experiments on insects are brought together for the first time, highlighting the achievement of implementing RNAi in insect control with the first successful experiments in transgenic plants and the diversity of successfully tested insect orders/species and target genes. We conclude with points of discussion and concerns regarding further research on dsRNA uptake mechanisms and the promising application possibilities for RNAi in insect control. © 2009 Elsevier Ltd. All rights reserved.","author":[{"dropping-particle":"","family":"Huvenne","given":"Hanneke","non-dropping-particle":"","parse-names":false,"suffix":""},{"dropping-particle":"","family":"Smagghe","given":"Guy","non-dropping-particle":"","parse-names":false,"suffix":""}],"container-title":"Journal of Insect Physiology","id":"ITEM-1","issue":"3","issued":{"date-parts":[["2010"]]},"page":"227-235","publisher":"Elsevier Ltd","title":"Mechanisms of dsRNA uptake in insects and potential of RNAi for pest control: A review","type":"article-journal","volume":"56"},"uris":["http://www.mendeley.com/documents/?uuid=f8e25a73-7fed-4f80-ae52-3493935f4286"]},{"id":"ITEM-2","itemData":{"DOI":"10.3389/fphys.2016.00553","ISSN":"1664042X","PMID":"27909411","abstract":"In recent years, the research on the potential of using RNA interference (RNAi) to suppress crop pests has made an outstanding growth. However, given the variability of RNAi efficiency that is observed in many insects, the development of novel approaches toward insect pest management using RNAi requires first to unravel factors behind the efficiency of dsRNA-mediated gene silencing. In this review, we explore essential implications and possibilities to increase RNAi efficiency by delivery of dsRNA through non-transformative methods. We discuss factors influencing the RNAi mechanism in insects and systemic properties of dsRNA. Finally, novel strategies to deliver dsRNA are discussed, including delivery by symbionts, plant viruses, trunk injections, root soaking, and transplastomic plants.","author":[{"dropping-particle":"","family":"Joga","given":"Mallikarjuna R.","non-dropping-particle":"","parse-names":false,"suffix":""},{"dropping-particle":"","family":"Zotti","given":"Moises J.","non-dropping-particle":"","parse-names":false,"suffix":""},{"dropping-particle":"","family":"Smagghe","given":"Guy","non-dropping-particle":"","parse-names":false,"suffix":""},{"dropping-particle":"","family":"Christiaens","given":"Olivier","non-dropping-particle":"","parse-names":false,"suffix":""}],"container-title":"Frontiers in Physiology","id":"ITEM-2","issue":"NOV","issued":{"date-parts":[["2016"]]},"page":"1-14","title":"RNAi efficiency, systemic properties, and novel delivery methods for pest insect control: What we know so far","type":"article-journal","volume":"7"},"uris":["http://www.mendeley.com/documents/?uuid=b9ac6d29-fda1-40b1-b002-9fceb6a4e6f6"]}],"mendeley":{"formattedCitation":"(Huvenne and Smagghe, 2010; Joga &lt;i&gt;et al.&lt;/i&gt;, 2016)","plainTextFormattedCitation":"(Huvenne and Smagghe, 2010; Joga et al., 2016)","previouslyFormattedCitation":"(Huvenne and Smagghe, 2010; Joga &lt;i&gt;et al.&lt;/i&gt;, 2016)"},"properties":{"noteIndex":0},"schema":"https://github.com/citation-style-language/schema/raw/master/csl-citation.json"}</w:instrText>
      </w:r>
      <w:r w:rsidR="005C0E76">
        <w:fldChar w:fldCharType="separate"/>
      </w:r>
      <w:r w:rsidR="00661FF1" w:rsidRPr="00661FF1">
        <w:rPr>
          <w:noProof/>
        </w:rPr>
        <w:t xml:space="preserve">(Huvenne and Smagghe, 2010; Joga </w:t>
      </w:r>
      <w:r w:rsidR="00661FF1" w:rsidRPr="00661FF1">
        <w:rPr>
          <w:i/>
          <w:noProof/>
        </w:rPr>
        <w:t>et al.</w:t>
      </w:r>
      <w:r w:rsidR="00661FF1" w:rsidRPr="00661FF1">
        <w:rPr>
          <w:noProof/>
        </w:rPr>
        <w:t>, 2016)</w:t>
      </w:r>
      <w:r w:rsidR="005C0E76">
        <w:fldChar w:fldCharType="end"/>
      </w:r>
      <w:r w:rsidR="0078042F">
        <w:t xml:space="preserve">. SID-2 receptors transport dsRNA from the gut lumen into gut epithelial cells, and SID-1 receptors relay the dsRNA on to neighbouring cells </w:t>
      </w:r>
      <w:r w:rsidR="005C0E76">
        <w:fldChar w:fldCharType="begin" w:fldLock="1"/>
      </w:r>
      <w:r w:rsidR="00510D9A">
        <w:instrText>ADDIN CSL_CITATION {"citationItems":[{"id":"ITEM-1","itemData":{"DOI":"10.1016/j.tig.2008.03.007","ISSN":"01689525","PMID":"18450316","abstract":"The discovery of RNA interference (RNAi), the process of sequence-specific gene silencing initiated by double-stranded RNA (dsRNA), has broadened our understanding of gene regulation and has revolutionized methods for genetic analysis. A remarkable property of RNAi in the nematode Caenorhabditis elegans and in some other multicellular organisms is its systemic nature: silencing signals can cross cellular boundaries and spread between cells and tissues. Furthermore, C. elegans and some other organisms can also perform environmental RNAi: sequence-specific gene silencing in response to environmentally encountered dsRNA. This phenomenon has facilitated significant technological advances in diverse fields including functional genomics and agricultural pest control. Here, we describe the characterization and current understanding of environmental RNAi and discuss its potential applications.","author":[{"dropping-particle":"","family":"Whangbo","given":"Jennifer S.","non-dropping-particle":"","parse-names":false,"suffix":""},{"dropping-particle":"","family":"Hunter","given":"Craig P.","non-dropping-particle":"","parse-names":false,"suffix":""}],"container-title":"Trends in Genetics","id":"ITEM-1","issue":"6","issued":{"date-parts":[["2008","6"]]},"page":"297-305","title":"Environmental RNA interference","type":"article-journal","volume":"24"},"uris":["http://www.mendeley.com/documents/?uuid=7751ccd3-dfb1-3272-a4bf-8d53807e04e7"]},{"id":"ITEM-2","itemData":{"DOI":"10.1016/j.molcel.2012.07.014","ISSN":"1097-4164","PMID":"22902558","abstract":"Ingested dsRNAs trigger RNA interference (RNAi) in many invertebrates, including the nematode Caenorhabditis elegans. Here we show that the C. elegans apical intestinal membrane protein SID-2 is required in C. elegans for the import of ingested dsRNA and that, when expressed in Drosophila S2 cells, SID-2 enables the uptake of dsRNAs. SID-2-dependent dsRNA transport requires an acidic extracellular environment and is selective for dsRNAs with at least 50 base pairs. Through structure-function analysis, we identify several SID-2 regions required for this activity, including three extracellular, positively charged histidines. Finally, we find that SID-2-dependent transport is inhibited by drugs that interfere with vesicle transport. Therefore, we propose that environmental dsRNAs are imported from the acidic intestinal lumen by SID-2 via endocytosis and are released from internalized vesicles in a secondary step mediated by the dsRNA channel SID-1. Similar multistep mechanisms may underlie the widespread observations of environmental RNAi.","author":[{"dropping-particle":"","family":"McEwan","given":"Deborah L","non-dropping-particle":"","parse-names":false,"suffix":""},{"dropping-particle":"","family":"Weisman","given":"Alexandra S","non-dropping-particle":"","parse-names":false,"suffix":""},{"dropping-particle":"","family":"Hunter","given":"Craig P","non-dropping-particle":"","parse-names":false,"suffix":""}],"container-title":"Molecular cell","id":"ITEM-2","issue":"5","issued":{"date-parts":[["2012","9","14"]]},"page":"746-54","publisher":"Elsevier","title":"Uptake of extracellular double-stranded RNA by SID-2.","type":"article-journal","volume":"47"},"uris":["http://www.mendeley.com/documents/?uuid=387252b6-9d65-3d2f-a577-97dfa91b30d6"]}],"mendeley":{"formattedCitation":"(Whangbo and Hunter, 2008; McEwan, Weisman and Hunter, 2012)","plainTextFormattedCitation":"(Whangbo and Hunter, 2008; McEwan, Weisman and Hunter, 2012)","previouslyFormattedCitation":"(Whangbo and Hunter, 2008; McEwan, Weisman and Hunter, 2012)"},"properties":{"noteIndex":0},"schema":"https://github.com/citation-style-language/schema/raw/master/csl-citation.json"}</w:instrText>
      </w:r>
      <w:r w:rsidR="005C0E76">
        <w:fldChar w:fldCharType="separate"/>
      </w:r>
      <w:r w:rsidR="0078042F" w:rsidRPr="0078042F">
        <w:rPr>
          <w:noProof/>
        </w:rPr>
        <w:t>(Whangbo and Hunter, 2008; McEwan, Weisman and Hunter, 2012)</w:t>
      </w:r>
      <w:r w:rsidR="005C0E76">
        <w:fldChar w:fldCharType="end"/>
      </w:r>
      <w:r w:rsidR="0078042F">
        <w:t xml:space="preserve">. Most insects have </w:t>
      </w:r>
      <w:r w:rsidR="0078042F" w:rsidRPr="0078042F">
        <w:rPr>
          <w:i/>
        </w:rPr>
        <w:t>sid-1</w:t>
      </w:r>
      <w:r w:rsidR="0078042F">
        <w:t xml:space="preserve"> but not </w:t>
      </w:r>
      <w:r w:rsidR="0078042F" w:rsidRPr="0078042F">
        <w:rPr>
          <w:i/>
        </w:rPr>
        <w:t>sid-2</w:t>
      </w:r>
      <w:r w:rsidR="0078042F">
        <w:t xml:space="preserve"> genes, although the insect </w:t>
      </w:r>
      <w:r w:rsidR="0078042F" w:rsidRPr="0078042F">
        <w:rPr>
          <w:i/>
        </w:rPr>
        <w:t>sid-1</w:t>
      </w:r>
      <w:r w:rsidR="0078042F">
        <w:t xml:space="preserve"> </w:t>
      </w:r>
      <w:r w:rsidR="00510D9A">
        <w:t>genes are not necessarily</w:t>
      </w:r>
      <w:r w:rsidR="0078042F">
        <w:t xml:space="preserve"> orthologue</w:t>
      </w:r>
      <w:r w:rsidR="00510D9A">
        <w:t xml:space="preserve">s of C. elegans </w:t>
      </w:r>
      <w:r w:rsidR="00510D9A" w:rsidRPr="00510D9A">
        <w:rPr>
          <w:i/>
        </w:rPr>
        <w:t>sid-1</w:t>
      </w:r>
      <w:r w:rsidR="00510D9A">
        <w:t xml:space="preserve"> and are closer to other </w:t>
      </w:r>
      <w:r w:rsidR="00510D9A" w:rsidRPr="00510D9A">
        <w:rPr>
          <w:i/>
        </w:rPr>
        <w:t xml:space="preserve">C. elegans </w:t>
      </w:r>
      <w:r w:rsidR="00510D9A">
        <w:t>genes</w:t>
      </w:r>
      <w:r w:rsidR="00510D9A">
        <w:rPr>
          <w:i/>
        </w:rPr>
        <w:t xml:space="preserve"> </w:t>
      </w:r>
      <w:r w:rsidR="005C0E76">
        <w:rPr>
          <w:i/>
        </w:rPr>
        <w:fldChar w:fldCharType="begin" w:fldLock="1"/>
      </w:r>
      <w:r w:rsidR="00510D9A">
        <w:rPr>
          <w:i/>
        </w:rPr>
        <w:instrText>ADDIN CSL_CITATION {"citationItems":[{"id":"ITEM-1","itemData":{"DOI":"10.3389/fphys.2016.00553","ISSN":"1664042X","PMID":"27909411","abstract":"In recent years, the research on the potential of using RNA interference (RNAi) to suppress crop pests has made an outstanding growth. However, given the variability of RNAi efficiency that is observed in many insects, the development of novel approaches toward insect pest management using RNAi requires first to unravel factors behind the efficiency of dsRNA-mediated gene silencing. In this review, we explore essential implications and possibilities to increase RNAi efficiency by delivery of dsRNA through non-transformative methods. We discuss factors influencing the RNAi mechanism in insects and systemic properties of dsRNA. Finally, novel strategies to deliver dsRNA are discussed, including delivery by symbionts, plant viruses, trunk injections, root soaking, and transplastomic plants.","author":[{"dropping-particle":"","family":"Joga","given":"Mallikarjuna R.","non-dropping-particle":"","parse-names":false,"suffix":""},{"dropping-particle":"","family":"Zotti","given":"Moises J.","non-dropping-particle":"","parse-names":false,"suffix":""},{"dropping-particle":"","family":"Smagghe","given":"Guy","non-dropping-particle":"","parse-names":false,"suffix":""},{"dropping-particle":"","family":"Christiaens","given":"Olivier","non-dropping-particle":"","parse-names":false,"suffix":""}],"container-title":"Frontiers in Physiology","id":"ITEM-1","issue":"NOV","issued":{"date-parts":[["2016"]]},"page":"1-14","title":"RNAi efficiency, systemic properties, and novel delivery methods for pest insect control: What we know so far","type":"article-journal","volume":"7"},"uris":["http://www.mendeley.com/documents/?uuid=b9ac6d29-fda1-40b1-b002-9fceb6a4e6f6"]}],"mendeley":{"formattedCitation":"(Joga &lt;i&gt;et al.&lt;/i&gt;, 2016)","plainTextFormattedCitation":"(Joga et al., 2016)","previouslyFormattedCitation":"(Joga &lt;i&gt;et al.&lt;/i&gt;, 2016)"},"properties":{"noteIndex":0},"schema":"https://github.com/citation-style-language/schema/raw/master/csl-citation.json"}</w:instrText>
      </w:r>
      <w:r w:rsidR="005C0E76">
        <w:rPr>
          <w:i/>
        </w:rPr>
        <w:fldChar w:fldCharType="separate"/>
      </w:r>
      <w:r w:rsidR="00510D9A" w:rsidRPr="00510D9A">
        <w:rPr>
          <w:noProof/>
        </w:rPr>
        <w:t xml:space="preserve">(Joga </w:t>
      </w:r>
      <w:r w:rsidR="00510D9A" w:rsidRPr="00510D9A">
        <w:rPr>
          <w:i/>
          <w:noProof/>
        </w:rPr>
        <w:t>et al.</w:t>
      </w:r>
      <w:r w:rsidR="00510D9A" w:rsidRPr="00510D9A">
        <w:rPr>
          <w:noProof/>
        </w:rPr>
        <w:t>, 2016)</w:t>
      </w:r>
      <w:r w:rsidR="005C0E76">
        <w:rPr>
          <w:i/>
        </w:rPr>
        <w:fldChar w:fldCharType="end"/>
      </w:r>
      <w:r w:rsidR="00510D9A">
        <w:t xml:space="preserve">. There are suggestions these “SID-like” genes may have a </w:t>
      </w:r>
      <w:r w:rsidR="004E0252">
        <w:t xml:space="preserve">minor </w:t>
      </w:r>
      <w:r w:rsidR="00510D9A">
        <w:t>rol</w:t>
      </w:r>
      <w:r w:rsidR="004E0252">
        <w:t>e</w:t>
      </w:r>
      <w:r w:rsidR="00510D9A">
        <w:t xml:space="preserve"> in dsRNA uptake in </w:t>
      </w:r>
      <w:r w:rsidR="004E0252">
        <w:t xml:space="preserve">some </w:t>
      </w:r>
      <w:r w:rsidR="00510D9A">
        <w:t>insects</w:t>
      </w:r>
      <w:r w:rsidR="004E0252">
        <w:t xml:space="preserve"> including western corn rootworm </w:t>
      </w:r>
      <w:r w:rsidR="005C0E76">
        <w:fldChar w:fldCharType="begin" w:fldLock="1"/>
      </w:r>
      <w:r w:rsidR="004E0252">
        <w:instrText>ADDIN CSL_CITATION {"citationItems":[{"id":"ITEM-1","itemData":{"DOI":"10.1002/ps.5126","ISSN":"1526498X","PMID":"29931761","abstract":"RNA interference (RNAi) is an endogenous, sequence-specific gene-silencing mechanism elicited by small RNA molecules. RNAi is a powerful reverse genetic tool, and is currently being utilized for managing insects and viruses. Widespread implementation of RNAi-based pest management strategies is currently hindered by inefficient and highly variable results when different insect species, strains, developmental stages, tissues, and genes are targeted. Mechanistic studies have shown that double-stranded ribonucleases (dsRNases), endosomal entrapment, deficient function of the core machinery, and inadequate immune stimulation contribute to limited RNAi efficiency. However, a comprehensive understanding of the molecular mechanisms limiting RNAi efficiency remains elusive. Recent advances in dsRNA stability in physiological tissues, dsRNA internalization into cells, the composition and function of the core RNAi machinery, as well as small-interfering RNA/double-stranded RNA amplification and spreading mechanisms are reviewed to establish a global understanding of the obstacles impeding wider understanding of RNAi mechanisms in insects. © 2018 Society of Chemical Industry.","author":[{"dropping-particle":"","family":"Cooper","given":"Anastasia MW","non-dropping-particle":"","parse-names":false,"suffix":""},{"dropping-particle":"","family":"Silver","given":"Kristopher","non-dropping-particle":"","parse-names":false,"suffix":""},{"dropping-particle":"","family":"Zhang","given":"Jianzhen","non-dropping-particle":"","parse-names":false,"suffix":""},{"dropping-particle":"","family":"Park","given":"Yoonseong","non-dropping-particle":"","parse-names":false,"suffix":""},{"dropping-particle":"","family":"Zhu","given":"Kun Yan","non-dropping-particle":"","parse-names":false,"suffix":""}],"container-title":"Pest Management Science","id":"ITEM-1","issue":"1","issued":{"date-parts":[["2019","1"]]},"page":"18-28","title":"Molecular mechanisms influencing efficiency of RNA interference in insects","type":"article-journal","volume":"75"},"uris":["http://www.mendeley.com/documents/?uuid=1370717e-a68d-317e-8add-1ddfdf0c6406"]}],"mendeley":{"formattedCitation":"(Cooper &lt;i&gt;et al.&lt;/i&gt;, 2019)","plainTextFormattedCitation":"(Cooper et al., 2019)","previouslyFormattedCitation":"(Cooper &lt;i&gt;et al.&lt;/i&gt;, 2019)"},"properties":{"noteIndex":0},"schema":"https://github.com/citation-style-language/schema/raw/master/csl-citation.json"}</w:instrText>
      </w:r>
      <w:r w:rsidR="005C0E76">
        <w:fldChar w:fldCharType="separate"/>
      </w:r>
      <w:r w:rsidR="004E0252" w:rsidRPr="004E0252">
        <w:rPr>
          <w:noProof/>
        </w:rPr>
        <w:t xml:space="preserve">(Cooper </w:t>
      </w:r>
      <w:r w:rsidR="004E0252" w:rsidRPr="004E0252">
        <w:rPr>
          <w:i/>
          <w:noProof/>
        </w:rPr>
        <w:t>et al.</w:t>
      </w:r>
      <w:r w:rsidR="004E0252" w:rsidRPr="004E0252">
        <w:rPr>
          <w:noProof/>
        </w:rPr>
        <w:t>, 2019)</w:t>
      </w:r>
      <w:r w:rsidR="005C0E76">
        <w:fldChar w:fldCharType="end"/>
      </w:r>
      <w:r w:rsidR="00510D9A">
        <w:t xml:space="preserve">, but they have been determined to not be essential </w:t>
      </w:r>
      <w:r w:rsidR="005C0E76">
        <w:fldChar w:fldCharType="begin" w:fldLock="1"/>
      </w:r>
      <w:r w:rsidR="00510D9A">
        <w:instrText>ADDIN CSL_CITATION {"citationItems":[{"id":"ITEM-1","itemData":{"DOI":"10.1186/gb-2008-9-1-r10","ISSN":"1465-6906","PMID":"18201385","abstract":"BACKGROUND RNA interference (RNAi) is a highly conserved cellular mechanism. In some organisms, such as Caenorhabditis elegans, the RNAi response can be transmitted systemically. Some insects also exhibit a systemic RNAi response. However, Drosophila, the leading insect model organism, does not show a robust systemic RNAi response, necessitating another model system to study the molecular mechanism of systemic RNAi in insects. RESULTS We used Tribolium, which exhibits robust systemic RNAi, as an alternative model system. We have identified the core RNAi genes, as well as genes potentially involved in systemic RNAi, from the Tribolium genome. Both phylogenetic and functional analyses suggest that Tribolium has a somewhat larger inventory of core component genes than Drosophila, perhaps allowing a more sensitive response to double-stranded RNA (dsRNA). We also identified three Tribolium homologs of C. elegans sid-1, which encodes a possible dsRNA channel. However, detailed sequence analysis has revealed that these Tribolium homologs share more identity with another C. elegans gene, tag-130. We analyzed tag-130 mutants, and found that this gene does not have a function in systemic RNAi in C. elegans. Likewise, the Tribolium sid-like genes do not seem to be required for systemic RNAi. These results suggest that insect sid-1-like genes have a different function than dsRNA uptake. Moreover, Tribolium lacks homologs of several genes important for RNAi in C. elegans. CONCLUSION Although both Tribolium and C. elegans show a robust systemic RNAi response, our genome-wide survey reveals significant differences between the RNAi mechanisms of these organisms. Thus, insects may use an alternative mechanism for the systemic RNAi response. Understanding this process would assist with rendering other insects amenable to systemic RNAi, and may influence pest control approaches.","author":[{"dropping-particle":"","family":"Tomoyasu","given":"Yoshinori","non-dropping-particle":"","parse-names":false,"suffix":""},{"dropping-particle":"","family":"Miller","given":"Sherry C","non-dropping-particle":"","parse-names":false,"suffix":""},{"dropping-particle":"","family":"Tomita","given":"Shuichiro","non-dropping-particle":"","parse-names":false,"suffix":""},{"dropping-particle":"","family":"Schoppmeier","given":"Michael","non-dropping-particle":"","parse-names":false,"suffix":""},{"dropping-particle":"","family":"Grossmann","given":"Daniela","non-dropping-particle":"","parse-names":false,"suffix":""},{"dropping-particle":"","family":"Bucher","given":"Gregor","non-dropping-particle":"","parse-names":false,"suffix":""}],"container-title":"Genome Biology","id":"ITEM-1","issue":"1","issued":{"date-parts":[["2008","1","17"]]},"page":"R10","title":"Exploring systemic RNA interference in insects: a genome-wide survey for RNAi genes in Tribolium","type":"article-journal","volume":"9"},"uris":["http://www.mendeley.com/documents/?uuid=8d2500e2-514a-3d6f-94b9-3aaecc781ee5"]}],"mendeley":{"formattedCitation":"(Tomoyasu &lt;i&gt;et al.&lt;/i&gt;, 2008)","plainTextFormattedCitation":"(Tomoyasu et al., 2008)","previouslyFormattedCitation":"(Tomoyasu &lt;i&gt;et al.&lt;/i&gt;, 2008)"},"properties":{"noteIndex":0},"schema":"https://github.com/citation-style-language/schema/raw/master/csl-citation.json"}</w:instrText>
      </w:r>
      <w:r w:rsidR="005C0E76">
        <w:fldChar w:fldCharType="separate"/>
      </w:r>
      <w:r w:rsidR="00510D9A" w:rsidRPr="00510D9A">
        <w:rPr>
          <w:noProof/>
        </w:rPr>
        <w:t xml:space="preserve">(Tomoyasu </w:t>
      </w:r>
      <w:r w:rsidR="00510D9A" w:rsidRPr="00510D9A">
        <w:rPr>
          <w:i/>
          <w:noProof/>
        </w:rPr>
        <w:t>et al.</w:t>
      </w:r>
      <w:r w:rsidR="00510D9A" w:rsidRPr="00510D9A">
        <w:rPr>
          <w:noProof/>
        </w:rPr>
        <w:t>, 2008)</w:t>
      </w:r>
      <w:r w:rsidR="005C0E76">
        <w:fldChar w:fldCharType="end"/>
      </w:r>
      <w:r w:rsidR="00510D9A">
        <w:t>.</w:t>
      </w:r>
      <w:r w:rsidR="00AB1EFB">
        <w:t xml:space="preserve"> Some insects lack anything resembling SID genes altogether, yet still exhibit robust uptake of dsRNA. For example</w:t>
      </w:r>
      <w:r w:rsidR="00AB1EFB" w:rsidRPr="00956B4A">
        <w:t>, sequencing of the transcriptome of the brown marmorated stink bug (</w:t>
      </w:r>
      <w:r w:rsidR="00AB1EFB" w:rsidRPr="00956B4A">
        <w:rPr>
          <w:i/>
        </w:rPr>
        <w:t>Halyomorpha halys</w:t>
      </w:r>
      <w:r w:rsidR="00AB1EFB" w:rsidRPr="00956B4A">
        <w:t xml:space="preserve">) revealed a lack of genes for SID or SID-like proteins </w:t>
      </w:r>
      <w:r w:rsidR="005C0E76" w:rsidRPr="00956B4A">
        <w:fldChar w:fldCharType="begin" w:fldLock="1"/>
      </w:r>
      <w:r w:rsidR="00AB1EFB" w:rsidRPr="00956B4A">
        <w:instrText>ADDIN CSL_CITATION {"citationItems":[{"id":"ITEM-1","itemData":{"DOI":"10.1371/journal.pone.0111646","ISSN":"1932-6203","abstract":"Halyomorpha halys (Stål) (Heteroptera: Pentatomidae), the brown marmorated stink bug, is an invasive agricultural and nuisance pest rapidly expanding its incidence in North America. This voracious pest poses a significant threat to rural and urban agriculture, especially to specialty crops such as apples, grapes and ornamentals, as well as staple crops including soybean and corn. The object of this study was to generate transcript sequence resources for H. halys. RNA-seq libraries derived from distinct developmental stages and sexes were sequenced and assembled into 248,569 putatively unique transcripts (PUTs). PUTs were segmented into three disjoint tiers of varying reliability, with 4,794 classified as gold tier (highest quality), 16,878 as silver, and 14,357 as bronze. The gold-tier PUTs associated with 2,580 distinct non-redundant protein sequences from the NCBI NR database—1,785 of these (69%) mapped to annotated UniProtKB database proteins, from which 1,273 unique Pfam families and 459 unique Molecular Function GO terms were encountered. Of the silver tier's 6,527 PUTs associated with unique proteins, 4,193 mapped to UniProtKB (64%), from which 1,941 and 640 unique Pfam and Molecular Function GO terms were extracted. H. halys PUTs related to important life processes like immunity, endocrinology, reproduction, development, behavior, neurotransmission, neurotoxicity, olfaction, and small RNA pathways were validated through quantitative Real-Time PCR (qRT-PCR) for differential expression during distinct life stages (eggs, 2nd instar nymphs, 4th instar nymphs, female adults, male adults). PUTs similar to hypothetical proteins identified in symbiont microbes, including Pantoea and Nosema species, were more abundantly expressed in adults versus nymphs. These comprehensive H. halys transcriptomic resources can be utilized to aid development of novel control methodologies to disrupt life processes; to conduct reverse genetic screens to determine host gene function; and to design environmentally unobtrusive means to control host populations or target specific H. halys life stages, such as molecular biopesticides.","author":[{"dropping-particle":"","family":"Sparks","given":"Michael E.","non-dropping-particle":"","parse-names":false,"suffix":""},{"dropping-particle":"","family":"Shelby","given":"Kent S.","non-dropping-particle":"","parse-names":false,"suffix":""},{"dropping-particle":"","family":"Kuhar","given":"Daniel","non-dropping-particle":"","parse-names":false,"suffix":""},{"dropping-particle":"","family":"Gundersen-Rindal","given":"Dawn E.","non-dropping-particle":"","parse-names":false,"suffix":""}],"container-title":"PLoS ONE","editor":[{"dropping-particle":"","family":"Mittapalli","given":"Omprakash","non-dropping-particle":"","parse-names":false,"suffix":""}],"id":"ITEM-1","issue":"11","issued":{"date-parts":[["2014","11","11"]]},"page":"e111646","publisher":"Public Library of Science","title":"Transcriptome of the Invasive Brown Marmorated Stink Bug, Halyomorpha halys (Stål) (Heteroptera: Pentatomidae)","type":"article-journal","volume":"9"},"uris":["http://www.mendeley.com/documents/?uuid=17d1455e-07c9-3008-80b4-eedf9e722496"]}],"mendeley":{"formattedCitation":"(Sparks &lt;i&gt;et al.&lt;/i&gt;, 2014)","plainTextFormattedCitation":"(Sparks et al., 2014)","previouslyFormattedCitation":"(Sparks &lt;i&gt;et al.&lt;/i&gt;, 2014)"},"properties":{"noteIndex":0},"schema":"https://github.com/citation-style-language/schema/raw/master/csl-citation.json"}</w:instrText>
      </w:r>
      <w:r w:rsidR="005C0E76" w:rsidRPr="00956B4A">
        <w:fldChar w:fldCharType="separate"/>
      </w:r>
      <w:r w:rsidR="00AB1EFB" w:rsidRPr="00956B4A">
        <w:rPr>
          <w:noProof/>
        </w:rPr>
        <w:t xml:space="preserve">(Sparks </w:t>
      </w:r>
      <w:r w:rsidR="00AB1EFB" w:rsidRPr="00956B4A">
        <w:rPr>
          <w:i/>
          <w:noProof/>
        </w:rPr>
        <w:t>et al.</w:t>
      </w:r>
      <w:r w:rsidR="00AB1EFB" w:rsidRPr="00956B4A">
        <w:rPr>
          <w:noProof/>
        </w:rPr>
        <w:t>, 2014)</w:t>
      </w:r>
      <w:r w:rsidR="005C0E76" w:rsidRPr="00956B4A">
        <w:fldChar w:fldCharType="end"/>
      </w:r>
      <w:r w:rsidR="00AB1EFB" w:rsidRPr="00956B4A">
        <w:t>.</w:t>
      </w:r>
      <w:r w:rsidR="004E0252">
        <w:t xml:space="preserve"> It has also been suggested but not investigated, that SID-like proteins may facilitate escape of dsRNA from endosomes </w:t>
      </w:r>
      <w:r w:rsidR="005C0E76">
        <w:fldChar w:fldCharType="begin" w:fldLock="1"/>
      </w:r>
      <w:r w:rsidR="004E0252">
        <w:instrText>ADDIN CSL_CITATION {"citationItems":[{"id":"ITEM-1","itemData":{"DOI":"10.1002/ps.5126","ISSN":"1526498X","PMID":"29931761","abstract":"RNA interference (RNAi) is an endogenous, sequence-specific gene-silencing mechanism elicited by small RNA molecules. RNAi is a powerful reverse genetic tool, and is currently being utilized for managing insects and viruses. Widespread implementation of RNAi-based pest management strategies is currently hindered by inefficient and highly variable results when different insect species, strains, developmental stages, tissues, and genes are targeted. Mechanistic studies have shown that double-stranded ribonucleases (dsRNases), endosomal entrapment, deficient function of the core machinery, and inadequate immune stimulation contribute to limited RNAi efficiency. However, a comprehensive understanding of the molecular mechanisms limiting RNAi efficiency remains elusive. Recent advances in dsRNA stability in physiological tissues, dsRNA internalization into cells, the composition and function of the core RNAi machinery, as well as small-interfering RNA/double-stranded RNA amplification and spreading mechanisms are reviewed to establish a global understanding of the obstacles impeding wider understanding of RNAi mechanisms in insects. © 2018 Society of Chemical Industry.","author":[{"dropping-particle":"","family":"Cooper","given":"Anastasia MW","non-dropping-particle":"","parse-names":false,"suffix":""},{"dropping-particle":"","family":"Silver","given":"Kristopher","non-dropping-particle":"","parse-names":false,"suffix":""},{"dropping-particle":"","family":"Zhang","given":"Jianzhen","non-dropping-particle":"","parse-names":false,"suffix":""},{"dropping-particle":"","family":"Park","given":"Yoonseong","non-dropping-particle":"","parse-names":false,"suffix":""},{"dropping-particle":"","family":"Zhu","given":"Kun Yan","non-dropping-particle":"","parse-names":false,"suffix":""}],"container-title":"Pest Management Science","id":"ITEM-1","issue":"1","issued":{"date-parts":[["2019","1"]]},"page":"18-28","title":"Molecular mechanisms influencing efficiency of RNA interference in insects","type":"article-journal","volume":"75"},"uris":["http://www.mendeley.com/documents/?uuid=1370717e-a68d-317e-8add-1ddfdf0c6406"]}],"mendeley":{"formattedCitation":"(Cooper &lt;i&gt;et al.&lt;/i&gt;, 2019)","plainTextFormattedCitation":"(Cooper et al., 2019)","previouslyFormattedCitation":"(Cooper &lt;i&gt;et al.&lt;/i&gt;, 2019)"},"properties":{"noteIndex":0},"schema":"https://github.com/citation-style-language/schema/raw/master/csl-citation.json"}</w:instrText>
      </w:r>
      <w:r w:rsidR="005C0E76">
        <w:fldChar w:fldCharType="separate"/>
      </w:r>
      <w:r w:rsidR="004E0252" w:rsidRPr="004E0252">
        <w:rPr>
          <w:noProof/>
        </w:rPr>
        <w:t xml:space="preserve">(Cooper </w:t>
      </w:r>
      <w:r w:rsidR="004E0252" w:rsidRPr="004E0252">
        <w:rPr>
          <w:i/>
          <w:noProof/>
        </w:rPr>
        <w:t>et al.</w:t>
      </w:r>
      <w:r w:rsidR="004E0252" w:rsidRPr="004E0252">
        <w:rPr>
          <w:noProof/>
        </w:rPr>
        <w:t>, 2019)</w:t>
      </w:r>
      <w:r w:rsidR="005C0E76">
        <w:fldChar w:fldCharType="end"/>
      </w:r>
      <w:r w:rsidR="004E0252">
        <w:t>.</w:t>
      </w:r>
    </w:p>
    <w:p w:rsidR="000C5621" w:rsidRDefault="000C5621" w:rsidP="000C5621">
      <w:pPr>
        <w:pStyle w:val="ListParagraph"/>
        <w:spacing w:line="360" w:lineRule="auto"/>
        <w:ind w:left="0"/>
        <w:jc w:val="center"/>
      </w:pPr>
    </w:p>
    <w:p w:rsidR="000C5621" w:rsidRDefault="000C5621" w:rsidP="000441D9">
      <w:pPr>
        <w:pStyle w:val="ListParagraph"/>
        <w:spacing w:line="360" w:lineRule="auto"/>
        <w:ind w:left="0" w:firstLine="284"/>
      </w:pPr>
    </w:p>
    <w:p w:rsidR="00D417D2" w:rsidRDefault="00D417D2" w:rsidP="000441D9">
      <w:pPr>
        <w:pStyle w:val="ListParagraph"/>
        <w:spacing w:line="360" w:lineRule="auto"/>
        <w:ind w:left="0" w:firstLine="284"/>
      </w:pPr>
      <w:r>
        <w:lastRenderedPageBreak/>
        <w:t xml:space="preserve">Furthermore, our understanding of systemic RNAi is hindered by a lack of knowledge regarding how uptake mechanisms of dsRNA differ between different tissue types </w:t>
      </w:r>
      <w:r w:rsidR="005C0E76">
        <w:fldChar w:fldCharType="begin" w:fldLock="1"/>
      </w:r>
      <w:r w:rsidR="00937031">
        <w:instrText>ADDIN CSL_CITATION {"citationItems":[{"id":"ITEM-1","itemData":{"DOI":"10.1002/ps.5126","ISSN":"1526498X","PMID":"29931761","abstract":"RNA interference (RNAi) is an endogenous, sequence-specific gene-silencing mechanism elicited by small RNA molecules. RNAi is a powerful reverse genetic tool, and is currently being utilized for managing insects and viruses. Widespread implementation of RNAi-based pest management strategies is currently hindered by inefficient and highly variable results when different insect species, strains, developmental stages, tissues, and genes are targeted. Mechanistic studies have shown that double-stranded ribonucleases (dsRNases), endosomal entrapment, deficient function of the core machinery, and inadequate immune stimulation contribute to limited RNAi efficiency. However, a comprehensive understanding of the molecular mechanisms limiting RNAi efficiency remains elusive. Recent advances in dsRNA stability in physiological tissues, dsRNA internalization into cells, the composition and function of the core RNAi machinery, as well as small-interfering RNA/double-stranded RNA amplification and spreading mechanisms are reviewed to establish a global understanding of the obstacles impeding wider understanding of RNAi mechanisms in insects. © 2018 Society of Chemical Industry.","author":[{"dropping-particle":"","family":"Cooper","given":"Anastasia MW","non-dropping-particle":"","parse-names":false,"suffix":""},{"dropping-particle":"","family":"Silver","given":"Kristopher","non-dropping-particle":"","parse-names":false,"suffix":""},{"dropping-particle":"","family":"Zhang","given":"Jianzhen","non-dropping-particle":"","parse-names":false,"suffix":""},{"dropping-particle":"","family":"Park","given":"Yoonseong","non-dropping-particle":"","parse-names":false,"suffix":""},{"dropping-particle":"","family":"Zhu","given":"Kun Yan","non-dropping-particle":"","parse-names":false,"suffix":""}],"container-title":"Pest Management Science","id":"ITEM-1","issue":"1","issued":{"date-parts":[["2019","1"]]},"page":"18-28","title":"Molecular mechanisms influencing efficiency of RNA interference in insects","type":"article-journal","volume":"75"},"uris":["http://www.mendeley.com/documents/?uuid=1370717e-a68d-317e-8add-1ddfdf0c6406"]}],"mendeley":{"formattedCitation":"(Cooper &lt;i&gt;et al.&lt;/i&gt;, 2019)","plainTextFormattedCitation":"(Cooper et al., 2019)","previouslyFormattedCitation":"(Cooper &lt;i&gt;et al.&lt;/i&gt;, 2019)"},"properties":{"noteIndex":0},"schema":"https://github.com/citation-style-language/schema/raw/master/csl-citation.json"}</w:instrText>
      </w:r>
      <w:r w:rsidR="005C0E76">
        <w:fldChar w:fldCharType="separate"/>
      </w:r>
      <w:r w:rsidRPr="00D417D2">
        <w:rPr>
          <w:noProof/>
        </w:rPr>
        <w:t xml:space="preserve">(Cooper </w:t>
      </w:r>
      <w:r w:rsidRPr="00D417D2">
        <w:rPr>
          <w:i/>
          <w:noProof/>
        </w:rPr>
        <w:t>et al.</w:t>
      </w:r>
      <w:r w:rsidRPr="00D417D2">
        <w:rPr>
          <w:noProof/>
        </w:rPr>
        <w:t>, 2019)</w:t>
      </w:r>
      <w:r w:rsidR="005C0E76">
        <w:fldChar w:fldCharType="end"/>
      </w:r>
      <w:r>
        <w:t xml:space="preserve">. Various reports from different insect species have suggested different potential mechanisms for systemic RNAi in insects. These include nanotube-like structures observed in </w:t>
      </w:r>
      <w:r w:rsidRPr="00D417D2">
        <w:rPr>
          <w:i/>
        </w:rPr>
        <w:t>Drosophila</w:t>
      </w:r>
      <w:r>
        <w:t xml:space="preserve"> cell cultures which allow short distance transport of dsRNA as well as components of the RISC between nearby cells </w:t>
      </w:r>
      <w:r w:rsidR="005C0E76">
        <w:fldChar w:fldCharType="begin" w:fldLock="1"/>
      </w:r>
      <w:r w:rsidR="00937031">
        <w:instrText>ADDIN CSL_CITATION {"citationItems":[{"id":"ITEM-1","itemData":{"DOI":"10.1038/srep27085","ISSN":"2045-2322","PMID":"27255932","abstract":"Tunnelling nanotubes and cytonemes function as highways for the transport of organelles, cytosolic and membrane-bound molecules, and pathogens between cells. During viral infection in the model organism Drosophila melanogaster, a systemic RNAi antiviral response is established presumably through the transport of a silencing signal from one cell to another via an unknown mechanism. Because of their role in cell-cell communication, we investigated whether nanotube-like structures could be a mediator of the silencing signal. Here, we describe for the first time in the context of a viral infection the presence of nanotube-like structures in different Drosophila cell types. These tubules, made of actin and tubulin, were associated with components of the RNAi machinery, including Argonaute 2, double-stranded RNA, and CG4572. Moreover, they were more abundant during viral, but not bacterial, infection. Super resolution structured illumination microscopy showed that Argonaute 2 and tubulin reside inside the tubules. We propose that nanotube-like structures are one of the mechanisms by which Argonaute 2, as part of the antiviral RNAi machinery, is transported between infected and non-infected cells to trigger systemic antiviral immunity in Drosophila.","author":[{"dropping-particle":"","family":"Karlikow","given":"Margot","non-dropping-particle":"","parse-names":false,"suffix":""},{"dropping-particle":"","family":"Goic","given":"Bertsy","non-dropping-particle":"","parse-names":false,"suffix":""},{"dropping-particle":"","family":"Mongelli","given":"Vanesa","non-dropping-particle":"","parse-names":false,"suffix":""},{"dropping-particle":"","family":"Salles","given":"Audrey","non-dropping-particle":"","parse-names":false,"suffix":""},{"dropping-particle":"","family":"Schmitt","given":"Christine","non-dropping-particle":"","parse-names":false,"suffix":""},{"dropping-particle":"","family":"Bonne","given":"Isabelle","non-dropping-particle":"","parse-names":false,"suffix":""},{"dropping-particle":"","family":"Zurzolo","given":"Chiara","non-dropping-particle":"","parse-names":false,"suffix":""},{"dropping-particle":"","family":"Saleh","given":"Maria-Carla","non-dropping-particle":"","parse-names":false,"suffix":""}],"container-title":"Scientific Reports","id":"ITEM-1","issue":"1","issued":{"date-parts":[["2016","7","3"]]},"page":"27085","title":"Drosophila cells use nanotube-like structures to transfer dsRNA and RNAi machinery between cells","type":"article-journal","volume":"6"},"uris":["http://www.mendeley.com/documents/?uuid=d556be7b-eaca-3ace-97ea-049d286ca149"]}],"mendeley":{"formattedCitation":"(Karlikow &lt;i&gt;et al.&lt;/i&gt;, 2016)","plainTextFormattedCitation":"(Karlikow et al., 2016)","previouslyFormattedCitation":"(Karlikow &lt;i&gt;et al.&lt;/i&gt;, 2016)"},"properties":{"noteIndex":0},"schema":"https://github.com/citation-style-language/schema/raw/master/csl-citation.json"}</w:instrText>
      </w:r>
      <w:r w:rsidR="005C0E76">
        <w:fldChar w:fldCharType="separate"/>
      </w:r>
      <w:r w:rsidR="00937031" w:rsidRPr="00937031">
        <w:rPr>
          <w:noProof/>
        </w:rPr>
        <w:t xml:space="preserve">(Karlikow </w:t>
      </w:r>
      <w:r w:rsidR="00937031" w:rsidRPr="00937031">
        <w:rPr>
          <w:i/>
          <w:noProof/>
        </w:rPr>
        <w:t>et al.</w:t>
      </w:r>
      <w:r w:rsidR="00937031" w:rsidRPr="00937031">
        <w:rPr>
          <w:noProof/>
        </w:rPr>
        <w:t>, 2016)</w:t>
      </w:r>
      <w:r w:rsidR="005C0E76">
        <w:fldChar w:fldCharType="end"/>
      </w:r>
      <w:r w:rsidR="00937031">
        <w:t xml:space="preserve">. A second mechanism, also demonstrated in </w:t>
      </w:r>
      <w:r w:rsidR="00937031" w:rsidRPr="00937031">
        <w:rPr>
          <w:i/>
        </w:rPr>
        <w:t>Drosophila</w:t>
      </w:r>
      <w:r w:rsidR="00937031">
        <w:t>, implicates</w:t>
      </w:r>
      <w:r w:rsidR="00937031" w:rsidRPr="00937031">
        <w:t xml:space="preserve"> hemocyte-derived exosome-like vesicles </w:t>
      </w:r>
      <w:r w:rsidR="00937031">
        <w:t>in</w:t>
      </w:r>
      <w:r w:rsidR="00937031" w:rsidRPr="00937031">
        <w:t xml:space="preserve"> systemically spread</w:t>
      </w:r>
      <w:r w:rsidR="00937031">
        <w:t xml:space="preserve">ing antiviral </w:t>
      </w:r>
      <w:r w:rsidR="00937031" w:rsidRPr="00937031">
        <w:t>siRNA</w:t>
      </w:r>
      <w:r w:rsidR="00937031">
        <w:t>s derived from dsRNAs</w:t>
      </w:r>
      <w:r w:rsidR="00E42CDC">
        <w:t xml:space="preserve"> via the hemolymph</w:t>
      </w:r>
      <w:r w:rsidR="00937031">
        <w:t xml:space="preserve"> </w:t>
      </w:r>
      <w:r w:rsidR="005C0E76">
        <w:fldChar w:fldCharType="begin" w:fldLock="1"/>
      </w:r>
      <w:r w:rsidR="00937031">
        <w:instrText>ADDIN CSL_CITATION {"citationItems":[{"id":"ITEM-1","itemData":{"DOI":"10.1016/j.cell.2017.03.033","ISSN":"00928674","PMID":"28388413","abstract":"Effective antiviral protection in multicellular organisms relies on both cell-autonomous and systemic immunity. Systemic immunity mediates the spread of antiviral signals from infection sites to distant uninfected tissues. In arthropods, RNA interference (RNAi) is responsible for antiviral defense. Here, we show that flies have a sophisticated systemic RNAi-based immunity mediated by macrophage-like haemocytes. Haemocytes take up dsRNA from infected cells and, through endogenous transposon reverse transcriptases, produce virus-derived complementary DNAs (vDNA). These vDNAs template de novo synthesis of secondary viral siRNAs (vsRNA), which are secreted in exosome-like vesicles. Strikingly, exosomes containing vsRNAs, purified from haemolymph of infected flies, confer passive protection against virus challenge in naive animals. Thus, similar to vertebrates, insects use immune cells to generate immunological memory in the form of stable vDNAs that generate systemic immunity, which is mediated by the vsRNA-containing exosomes.","author":[{"dropping-particle":"","family":"Tassetto","given":"Michel","non-dropping-particle":"","parse-names":false,"suffix":""},{"dropping-particle":"","family":"Kunitomi","given":"Mark","non-dropping-particle":"","parse-names":false,"suffix":""},{"dropping-particle":"","family":"Andino","given":"Raul","non-dropping-particle":"","parse-names":false,"suffix":""}],"container-title":"Cell","id":"ITEM-1","issue":"2","issued":{"date-parts":[["2017","4","6"]]},"page":"314-325.e13","title":"Circulating Immune Cells Mediate a Systemic RNAi-Based Adaptive Antiviral Response in Drosophila","type":"article-journal","volume":"169"},"uris":["http://www.mendeley.com/documents/?uuid=786b5f57-9f4e-3e63-8c12-87f6cde0eca0"]}],"mendeley":{"formattedCitation":"(Tassetto, Kunitomi and Andino, 2017)","plainTextFormattedCitation":"(Tassetto, Kunitomi and Andino, 2017)","previouslyFormattedCitation":"(Tassetto, Kunitomi and Andino, 2017)"},"properties":{"noteIndex":0},"schema":"https://github.com/citation-style-language/schema/raw/master/csl-citation.json"}</w:instrText>
      </w:r>
      <w:r w:rsidR="005C0E76">
        <w:fldChar w:fldCharType="separate"/>
      </w:r>
      <w:r w:rsidR="00937031" w:rsidRPr="00937031">
        <w:rPr>
          <w:noProof/>
        </w:rPr>
        <w:t>(Tassetto, Kunitomi and Andino, 2017)</w:t>
      </w:r>
      <w:r w:rsidR="005C0E76">
        <w:fldChar w:fldCharType="end"/>
      </w:r>
      <w:r w:rsidR="00937031">
        <w:t xml:space="preserve">. Lipophorin proteins also bind dsRNA in insect hemolymph </w:t>
      </w:r>
      <w:r w:rsidR="005C0E76">
        <w:fldChar w:fldCharType="begin" w:fldLock="1"/>
      </w:r>
      <w:r w:rsidR="00937031">
        <w:instrText>ADDIN CSL_CITATION {"citationItems":[{"id":"ITEM-1","itemData":{"DOI":"10.1016/J.JINSPHYS.2014.02.010","ISSN":"0022-1910","abstract":"Desert locusts are characterized by a highly sensitive and effective RNA interference (RNAi) response. Moreover, delivery of dsRNA into the open body cavity will elicit potent silencing effects throughout the body. On the other hand, many other insect species, such as Bombyx mori and Drosophila melanogaster, lack the ability to efficiently spread the RNAi-signal. In this study, we demonstrated that, in the serum of the desert locust, lipophorins adhere to dsRNA-fragments. Lipophorins can be subdivided into high density and low density lipophorins (HDLp and LDLp), according to their buoyant density, and we showed that both types of lipophorins can interact with dsRNA fragments. Furthermore, in the presence of (gram-positive) bacteria or fungi, LDLp induce the formation of pathogen aggregates, while no clear aggregation effects were detected in the presence of HDLp.","author":[{"dropping-particle":"","family":"Wynant","given":"Niels","non-dropping-particle":"","parse-names":false,"suffix":""},{"dropping-particle":"","family":"Duressa","given":"Tewodros F.","non-dropping-particle":"","parse-names":false,"suffix":""},{"dropping-particle":"","family":"Santos","given":"Dulce","non-dropping-particle":"","parse-names":false,"suffix":""},{"dropping-particle":"","family":"Duppen","given":"Joost","non-dropping-particle":"Van","parse-names":false,"suffix":""},{"dropping-particle":"","family":"Proost","given":"Paul","non-dropping-particle":"","parse-names":false,"suffix":""},{"dropping-particle":"","family":"Huybrechts","given":"Roger","non-dropping-particle":"","parse-names":false,"suffix":""},{"dropping-particle":"","family":"Broeck","given":"Jozef","non-dropping-particle":"Vanden","parse-names":false,"suffix":""}],"container-title":"Journal of Insect Physiology","id":"ITEM-1","issued":{"date-parts":[["2014","5","1"]]},"page":"7-13","publisher":"Pergamon","title":"Lipophorins can adhere to dsRNA, bacteria and fungi present in the hemolymph of the desert locust: A role as general scavenger for pathogens in the open body cavity","type":"article-journal","volume":"64"},"uris":["http://www.mendeley.com/documents/?uuid=d7b860aa-2b32-31e6-b451-1b0952f4f749"]}],"mendeley":{"formattedCitation":"(Niels Wynant &lt;i&gt;et al.&lt;/i&gt;, 2014)","manualFormatting":"(Wynant et al., 2014)","plainTextFormattedCitation":"(Niels Wynant et al., 2014)","previouslyFormattedCitation":"(Niels Wynant &lt;i&gt;et al.&lt;/i&gt;, 2014)"},"properties":{"noteIndex":0},"schema":"https://github.com/citation-style-language/schema/raw/master/csl-citation.json"}</w:instrText>
      </w:r>
      <w:r w:rsidR="005C0E76">
        <w:fldChar w:fldCharType="separate"/>
      </w:r>
      <w:r w:rsidR="00937031" w:rsidRPr="00937031">
        <w:rPr>
          <w:noProof/>
        </w:rPr>
        <w:t xml:space="preserve">(Wynant </w:t>
      </w:r>
      <w:r w:rsidR="00937031" w:rsidRPr="00937031">
        <w:rPr>
          <w:i/>
          <w:noProof/>
        </w:rPr>
        <w:t>et al.</w:t>
      </w:r>
      <w:r w:rsidR="00937031" w:rsidRPr="00937031">
        <w:rPr>
          <w:noProof/>
        </w:rPr>
        <w:t>, 2014)</w:t>
      </w:r>
      <w:r w:rsidR="005C0E76">
        <w:fldChar w:fldCharType="end"/>
      </w:r>
      <w:r w:rsidR="00937031">
        <w:t>, though the exact role these proteins play in transport of dsRNA is unknown</w:t>
      </w:r>
      <w:r w:rsidR="004E0252">
        <w:t xml:space="preserve">, and they may either enhance or hinder RNAi, depending on whether they are involved in uptake of dsRNA or in sequestering it </w:t>
      </w:r>
      <w:r w:rsidR="005C0E76">
        <w:fldChar w:fldCharType="begin" w:fldLock="1"/>
      </w:r>
      <w:r w:rsidR="00DD1AF2">
        <w:instrText>ADDIN CSL_CITATION {"citationItems":[{"id":"ITEM-1","itemData":{"DOI":"10.1002/ps.5126","ISSN":"1526498X","PMID":"29931761","abstract":"RNA interference (RNAi) is an endogenous, sequence-specific gene-silencing mechanism elicited by small RNA molecules. RNAi is a powerful reverse genetic tool, and is currently being utilized for managing insects and viruses. Widespread implementation of RNAi-based pest management strategies is currently hindered by inefficient and highly variable results when different insect species, strains, developmental stages, tissues, and genes are targeted. Mechanistic studies have shown that double-stranded ribonucleases (dsRNases), endosomal entrapment, deficient function of the core machinery, and inadequate immune stimulation contribute to limited RNAi efficiency. However, a comprehensive understanding of the molecular mechanisms limiting RNAi efficiency remains elusive. Recent advances in dsRNA stability in physiological tissues, dsRNA internalization into cells, the composition and function of the core RNAi machinery, as well as small-interfering RNA/double-stranded RNA amplification and spreading mechanisms are reviewed to establish a global understanding of the obstacles impeding wider understanding of RNAi mechanisms in insects. © 2018 Society of Chemical Industry.","author":[{"dropping-particle":"","family":"Cooper","given":"Anastasia MW","non-dropping-particle":"","parse-names":false,"suffix":""},{"dropping-particle":"","family":"Silver","given":"Kristopher","non-dropping-particle":"","parse-names":false,"suffix":""},{"dropping-particle":"","family":"Zhang","given":"Jianzhen","non-dropping-particle":"","parse-names":false,"suffix":""},{"dropping-particle":"","family":"Park","given":"Yoonseong","non-dropping-particle":"","parse-names":false,"suffix":""},{"dropping-particle":"","family":"Zhu","given":"Kun Yan","non-dropping-particle":"","parse-names":false,"suffix":""}],"container-title":"Pest Management Science","id":"ITEM-1","issue":"1","issued":{"date-parts":[["2019","1"]]},"page":"18-28","title":"Molecular mechanisms influencing efficiency of RNA interference in insects","type":"article-journal","volume":"75"},"uris":["http://www.mendeley.com/documents/?uuid=1370717e-a68d-317e-8add-1ddfdf0c6406"]}],"mendeley":{"formattedCitation":"(Cooper &lt;i&gt;et al.&lt;/i&gt;, 2019)","plainTextFormattedCitation":"(Cooper et al., 2019)","previouslyFormattedCitation":"(Cooper &lt;i&gt;et al.&lt;/i&gt;, 2019)"},"properties":{"noteIndex":0},"schema":"https://github.com/citation-style-language/schema/raw/master/csl-citation.json"}</w:instrText>
      </w:r>
      <w:r w:rsidR="005C0E76">
        <w:fldChar w:fldCharType="separate"/>
      </w:r>
      <w:r w:rsidR="004E0252" w:rsidRPr="004E0252">
        <w:rPr>
          <w:noProof/>
        </w:rPr>
        <w:t xml:space="preserve">(Cooper </w:t>
      </w:r>
      <w:r w:rsidR="004E0252" w:rsidRPr="004E0252">
        <w:rPr>
          <w:i/>
          <w:noProof/>
        </w:rPr>
        <w:t>et al.</w:t>
      </w:r>
      <w:r w:rsidR="004E0252" w:rsidRPr="004E0252">
        <w:rPr>
          <w:noProof/>
        </w:rPr>
        <w:t>, 2019)</w:t>
      </w:r>
      <w:r w:rsidR="005C0E76">
        <w:fldChar w:fldCharType="end"/>
      </w:r>
      <w:r w:rsidR="004E0252">
        <w:t>.</w:t>
      </w:r>
      <w:r w:rsidR="00937031">
        <w:t xml:space="preserve"> </w:t>
      </w:r>
      <w:r w:rsidR="004E0252">
        <w:t>H</w:t>
      </w:r>
      <w:r w:rsidR="00937031">
        <w:t xml:space="preserve">ow the potential methods of systemic RNAi observed in </w:t>
      </w:r>
      <w:r w:rsidR="00937031" w:rsidRPr="00937031">
        <w:rPr>
          <w:i/>
        </w:rPr>
        <w:t>Drosophila</w:t>
      </w:r>
      <w:r w:rsidR="00937031">
        <w:t xml:space="preserve"> fit together, and whether these mechanisms exist in other species</w:t>
      </w:r>
      <w:r w:rsidR="004E0252">
        <w:t xml:space="preserve"> is also not known</w:t>
      </w:r>
      <w:r w:rsidR="00937031">
        <w:t xml:space="preserve"> </w:t>
      </w:r>
      <w:r w:rsidR="005C0E76">
        <w:fldChar w:fldCharType="begin" w:fldLock="1"/>
      </w:r>
      <w:r w:rsidR="004E0252">
        <w:instrText>ADDIN CSL_CITATION {"citationItems":[{"id":"ITEM-1","itemData":{"DOI":"10.3389/fphys.2018.01912","ISSN":"1664-042X","abstract":"Insects constitute the largest and most diverse group of animals on Earth, with a matching virome diversity. RNA(i) interference is a post transcriptional gene silencing mechanism mediated by small RNA molecules and constitutes the main antiviral immune mechanism in this group of animals. Furthermore, this process can be artificially triggered via delivery of gene-specific double-stranded RNA molecules, leading to specific endogenous gene silencing. This is called RNAi technology and has important applications in several fields. In this paper, we start by reviewing the mechanisms of RNAi in insects as well as the potential of the RNAi technology to contribute to species-specific insecticidal strategies. We cover the range of strategies considered and investigated so far, as well as their limitations and the most promising approaches to overcome them. Next, we discuss patterns of viral infection, as well as review persistent and acute insect viral infections. Regarding the latter, a special focus is put on the ones affecting economically relevant species. In this scope, the use insect-specific viruses as bio-insecticides is likewise reviewed. In a third section, RNAi-based strategies to protect beneficial insects from harmful viral infections are explained and their potential practical application is discussed. As a whole, this manuscript stresses the impact of insect viruses and RNAi technology in human life. In addition, it points towards clear lines of investigation within an exciting and promising field of research.","author":[{"dropping-particle":"","family":"Vogel","given":"Elise","non-dropping-particle":"","parse-names":false,"suffix":""},{"dropping-particle":"","family":"Santos","given":"Dulce","non-dropping-particle":"","parse-names":false,"suffix":""},{"dropping-particle":"","family":"Mingels","given":"Lina","non-dropping-particle":"","parse-names":false,"suffix":""},{"dropping-particle":"","family":"Verdonckt","given":"Thomas-Wolf","non-dropping-particle":"","parse-names":false,"suffix":""},{"dropping-particle":"Vanden","family":"Broeck","given":"Jozef","non-dropping-particle":"","parse-names":false,"suffix":""}],"container-title":"Frontiers in Physiology","id":"ITEM-1","issued":{"date-parts":[["2019","1","11"]]},"page":"1912","publisher":"Frontiers","title":"RNA Interference in Insects: Protecting Beneficials and Controlling Pests","type":"article-journal","volume":"9"},"uris":["http://www.mendeley.com/documents/?uuid=666e52ba-579e-3026-83b5-ce5170e082cc"]}],"mendeley":{"formattedCitation":"(Vogel &lt;i&gt;et al.&lt;/i&gt;, 2019)","plainTextFormattedCitation":"(Vogel et al., 2019)","previouslyFormattedCitation":"(Vogel &lt;i&gt;et al.&lt;/i&gt;, 2019)"},"properties":{"noteIndex":0},"schema":"https://github.com/citation-style-language/schema/raw/master/csl-citation.json"}</w:instrText>
      </w:r>
      <w:r w:rsidR="005C0E76">
        <w:fldChar w:fldCharType="separate"/>
      </w:r>
      <w:r w:rsidR="00937031" w:rsidRPr="00937031">
        <w:rPr>
          <w:noProof/>
        </w:rPr>
        <w:t xml:space="preserve">(Vogel </w:t>
      </w:r>
      <w:r w:rsidR="00937031" w:rsidRPr="00937031">
        <w:rPr>
          <w:i/>
          <w:noProof/>
        </w:rPr>
        <w:t>et al.</w:t>
      </w:r>
      <w:r w:rsidR="00937031" w:rsidRPr="00937031">
        <w:rPr>
          <w:noProof/>
        </w:rPr>
        <w:t>, 2019)</w:t>
      </w:r>
      <w:r w:rsidR="005C0E76">
        <w:fldChar w:fldCharType="end"/>
      </w:r>
      <w:r w:rsidR="00937031">
        <w:t>.</w:t>
      </w:r>
      <w:r w:rsidR="004E0252">
        <w:t xml:space="preserve"> </w:t>
      </w:r>
    </w:p>
    <w:p w:rsidR="00196605" w:rsidRDefault="00F60E59" w:rsidP="000441D9">
      <w:pPr>
        <w:pStyle w:val="ListParagraph"/>
        <w:spacing w:line="360" w:lineRule="auto"/>
        <w:ind w:left="0" w:firstLine="284"/>
      </w:pPr>
      <w:r>
        <w:t>Furthermore,</w:t>
      </w:r>
      <w:r w:rsidR="00D417D2">
        <w:t xml:space="preserve"> </w:t>
      </w:r>
      <w:r w:rsidR="00510D9A" w:rsidRPr="00510D9A">
        <w:rPr>
          <w:i/>
        </w:rPr>
        <w:t>C. elegans</w:t>
      </w:r>
      <w:r w:rsidR="00510D9A">
        <w:t xml:space="preserve"> also has an RNAi</w:t>
      </w:r>
      <w:r w:rsidR="00E42CDC">
        <w:t xml:space="preserve"> amplification system, whereby </w:t>
      </w:r>
      <w:r w:rsidR="00510D9A">
        <w:t>seco</w:t>
      </w:r>
      <w:r w:rsidR="00510D9A" w:rsidRPr="00510D9A">
        <w:t xml:space="preserve">ndary siRNAs are </w:t>
      </w:r>
      <w:r w:rsidR="00510D9A">
        <w:t xml:space="preserve">synthesised by </w:t>
      </w:r>
      <w:r w:rsidR="00510D9A" w:rsidRPr="00510D9A">
        <w:t>an RNA-dependent RNA polymerase (RdRP) system</w:t>
      </w:r>
      <w:r w:rsidR="00510D9A">
        <w:t xml:space="preserve"> to</w:t>
      </w:r>
      <w:r w:rsidR="00510D9A" w:rsidRPr="00510D9A">
        <w:t xml:space="preserve"> prolong</w:t>
      </w:r>
      <w:r w:rsidR="00510D9A">
        <w:t xml:space="preserve"> the RNAi effect </w:t>
      </w:r>
      <w:r w:rsidR="005C0E76">
        <w:fldChar w:fldCharType="begin" w:fldLock="1"/>
      </w:r>
      <w:r w:rsidR="00AB1EFB">
        <w:instrText>ADDIN CSL_CITATION {"citationItems":[{"id":"ITEM-1","itemData":{"DOI":"10.3389/fphys.2016.00553","ISSN":"1664042X","PMID":"27909411","abstract":"In recent years, the research on the potential of using RNA interference (RNAi) to suppress crop pests has made an outstanding growth. However, given the variability of RNAi efficiency that is observed in many insects, the development of novel approaches toward insect pest management using RNAi requires first to unravel factors behind the efficiency of dsRNA-mediated gene silencing. In this review, we explore essential implications and possibilities to increase RNAi efficiency by delivery of dsRNA through non-transformative methods. We discuss factors influencing the RNAi mechanism in insects and systemic properties of dsRNA. Finally, novel strategies to deliver dsRNA are discussed, including delivery by symbionts, plant viruses, trunk injections, root soaking, and transplastomic plants.","author":[{"dropping-particle":"","family":"Joga","given":"Mallikarjuna R.","non-dropping-particle":"","parse-names":false,"suffix":""},{"dropping-particle":"","family":"Zotti","given":"Moises J.","non-dropping-particle":"","parse-names":false,"suffix":""},{"dropping-particle":"","family":"Smagghe","given":"Guy","non-dropping-particle":"","parse-names":false,"suffix":""},{"dropping-particle":"","family":"Christiaens","given":"Olivier","non-dropping-particle":"","parse-names":false,"suffix":""}],"container-title":"Frontiers in Physiology","id":"ITEM-1","issue":"NOV","issued":{"date-parts":[["2016"]]},"page":"1-14","title":"RNAi efficiency, systemic properties, and novel delivery methods for pest insect control: What we know so far","type":"article-journal","volume":"7"},"uris":["http://www.mendeley.com/documents/?uuid=b9ac6d29-fda1-40b1-b002-9fceb6a4e6f6"]}],"mendeley":{"formattedCitation":"(Joga &lt;i&gt;et al.&lt;/i&gt;, 2016)","plainTextFormattedCitation":"(Joga et al., 2016)","previouslyFormattedCitation":"(Joga &lt;i&gt;et al.&lt;/i&gt;, 2016)"},"properties":{"noteIndex":0},"schema":"https://github.com/citation-style-language/schema/raw/master/csl-citation.json"}</w:instrText>
      </w:r>
      <w:r w:rsidR="005C0E76">
        <w:fldChar w:fldCharType="separate"/>
      </w:r>
      <w:r w:rsidR="00510D9A" w:rsidRPr="00510D9A">
        <w:rPr>
          <w:noProof/>
        </w:rPr>
        <w:t xml:space="preserve">(Joga </w:t>
      </w:r>
      <w:r w:rsidR="00510D9A" w:rsidRPr="00510D9A">
        <w:rPr>
          <w:i/>
          <w:noProof/>
        </w:rPr>
        <w:t>et al.</w:t>
      </w:r>
      <w:r w:rsidR="00510D9A" w:rsidRPr="00510D9A">
        <w:rPr>
          <w:noProof/>
        </w:rPr>
        <w:t>, 2016)</w:t>
      </w:r>
      <w:r w:rsidR="005C0E76">
        <w:fldChar w:fldCharType="end"/>
      </w:r>
      <w:r w:rsidR="00510D9A">
        <w:t>.</w:t>
      </w:r>
      <w:r w:rsidR="00510D9A" w:rsidRPr="00510D9A">
        <w:t xml:space="preserve"> </w:t>
      </w:r>
      <w:r w:rsidR="00510D9A">
        <w:t>Insects lack this RdRP</w:t>
      </w:r>
      <w:r w:rsidR="00E42CDC">
        <w:t>,</w:t>
      </w:r>
      <w:r w:rsidR="00510D9A">
        <w:t xml:space="preserve"> however</w:t>
      </w:r>
      <w:r w:rsidR="00956B4A">
        <w:t>,</w:t>
      </w:r>
      <w:r w:rsidR="00510D9A">
        <w:t xml:space="preserve"> recently an amplification system has been discovered in insects linked to the antiviral RNAi pathway, involving the helicase domain of Dicer-2</w:t>
      </w:r>
      <w:r w:rsidR="00AB1EFB">
        <w:t xml:space="preserve"> </w:t>
      </w:r>
      <w:r w:rsidR="005C0E76">
        <w:fldChar w:fldCharType="begin" w:fldLock="1"/>
      </w:r>
      <w:r w:rsidR="00EA7FFB">
        <w:instrText>ADDIN CSL_CITATION {"citationItems":[{"id":"ITEM-1","itemData":{"DOI":"10.1016/j.chom.2018.02.001","ISSN":"1934-6069","PMID":"29503180","abstract":"The RNAi pathway confers antiviral immunity in insects. Virus-specific siRNA responses are amplified via the reverse transcription of viral RNA to viral DNA (vDNA). The nature, biogenesis, and regulation of vDNA are unclear. We find that vDNA produced during RNA virus infection of Drosophila and mosquitoes is present in both linear and circular forms. Circular vDNA (cvDNA) is sufficient to produce siRNAs that confer partially protective immunity when challenged with a cognate virus. cvDNAs bear homology to defective viral genomes (DVGs), and DVGs serve as templates for vDNA and cvDNA synthesis. Accordingly, DVGs promote the amplification of vDNA-mediated antiviral RNAi responses in infected Drosophila. Furthermore, vDNA synthesis is regulated by the DExD/H helicase domain of Dicer-2 in a mechanism distinct from its role in siRNA generation. We suggest that, analogous to mammalian RIG-I-like receptors, Dicer-2 functions like a pattern recognition receptor for DVGs to modulate antiviral immunity in insects.","author":[{"dropping-particle":"","family":"Poirier","given":"Enzo Z","non-dropping-particle":"","parse-names":false,"suffix":""},{"dropping-particle":"","family":"Goic","given":"Bertsy","non-dropping-particle":"","parse-names":false,"suffix":""},{"dropping-particle":"","family":"Tomé-Poderti","given":"Lorena","non-dropping-particle":"","parse-names":false,"suffix":""},{"dropping-particle":"","family":"Frangeul","given":"Lionel","non-dropping-particle":"","parse-names":false,"suffix":""},{"dropping-particle":"","family":"Boussier","given":"Jérémy","non-dropping-particle":"","parse-names":false,"suffix":""},{"dropping-particle":"","family":"Gausson","given":"Valérie","non-dropping-particle":"","parse-names":false,"suffix":""},{"dropping-particle":"","family":"Blanc","given":"Hervé","non-dropping-particle":"","parse-names":false,"suffix":""},{"dropping-particle":"","family":"Vallet","given":"Thomas","non-dropping-particle":"","parse-names":false,"suffix":""},{"dropping-particle":"","family":"Loyd","given":"Hyelee","non-dropping-particle":"","parse-names":false,"suffix":""},{"dropping-particle":"","family":"Levi","given":"Laura I","non-dropping-particle":"","parse-names":false,"suffix":""},{"dropping-particle":"","family":"Lanciano","given":"Sophie","non-dropping-particle":"","parse-names":false,"suffix":""},{"dropping-particle":"","family":"Baron","given":"Chloé","non-dropping-particle":"","parse-names":false,"suffix":""},{"dropping-particle":"","family":"Merkling","given":"Sarah H","non-dropping-particle":"","parse-names":false,"suffix":""},{"dropping-particle":"","family":"Lambrechts","given":"Louis","non-dropping-particle":"","parse-names":false,"suffix":""},{"dropping-particle":"","family":"Mirouze","given":"Marie","non-dropping-particle":"","parse-names":false,"suffix":""},{"dropping-particle":"","family":"Carpenter","given":"Susan","non-dropping-particle":"","parse-names":false,"suffix":""},{"dropping-particle":"","family":"Vignuzzi","given":"Marco","non-dropping-particle":"","parse-names":false,"suffix":""},{"dropping-particle":"","family":"Saleh","given":"Maria-Carla","non-dropping-particle":"","parse-names":false,"suffix":""}],"container-title":"Cell host &amp; microbe","id":"ITEM-1","issue":"3","issued":{"date-parts":[["2018","3","14"]]},"page":"353-365.e8","publisher":"Elsevier","title":"Dicer-2-Dependent Generation of Viral DNA from Defective Genomes of RNA Viruses Modulates Antiviral Immunity in Insects.","type":"article-journal","volume":"23"},"uris":["http://www.mendeley.com/documents/?uuid=826b4a77-2fd1-3b6f-bea4-0efd043f190c"]}],"mendeley":{"formattedCitation":"(Poirier &lt;i&gt;et al.&lt;/i&gt;, 2018)","plainTextFormattedCitation":"(Poirier et al., 2018)","previouslyFormattedCitation":"(Poirier &lt;i&gt;et al.&lt;/i&gt;, 2018)"},"properties":{"noteIndex":0},"schema":"https://github.com/citation-style-language/schema/raw/master/csl-citation.json"}</w:instrText>
      </w:r>
      <w:r w:rsidR="005C0E76">
        <w:fldChar w:fldCharType="separate"/>
      </w:r>
      <w:r w:rsidR="00AB1EFB" w:rsidRPr="00AB1EFB">
        <w:rPr>
          <w:noProof/>
        </w:rPr>
        <w:t xml:space="preserve">(Poirier </w:t>
      </w:r>
      <w:r w:rsidR="00AB1EFB" w:rsidRPr="00AB1EFB">
        <w:rPr>
          <w:i/>
          <w:noProof/>
        </w:rPr>
        <w:t>et al.</w:t>
      </w:r>
      <w:r w:rsidR="00AB1EFB" w:rsidRPr="00AB1EFB">
        <w:rPr>
          <w:noProof/>
        </w:rPr>
        <w:t>, 2018)</w:t>
      </w:r>
      <w:r w:rsidR="005C0E76">
        <w:fldChar w:fldCharType="end"/>
      </w:r>
      <w:r w:rsidR="00AB1EFB">
        <w:t>.</w:t>
      </w:r>
    </w:p>
    <w:p w:rsidR="00D417D2" w:rsidRDefault="00D417D2" w:rsidP="000441D9">
      <w:pPr>
        <w:pStyle w:val="ListParagraph"/>
        <w:spacing w:line="360" w:lineRule="auto"/>
        <w:ind w:left="0" w:firstLine="284"/>
      </w:pPr>
    </w:p>
    <w:p w:rsidR="00EA7FFB" w:rsidRDefault="00510D9A" w:rsidP="000441D9">
      <w:pPr>
        <w:pStyle w:val="ListParagraph"/>
        <w:spacing w:line="360" w:lineRule="auto"/>
        <w:ind w:left="0" w:firstLine="284"/>
      </w:pPr>
      <w:r>
        <w:t xml:space="preserve"> </w:t>
      </w:r>
      <w:r w:rsidR="00EE4B62">
        <w:t xml:space="preserve"> B</w:t>
      </w:r>
      <w:r w:rsidR="00256BC4" w:rsidRPr="00EA7FFB">
        <w:t xml:space="preserve">ased on </w:t>
      </w:r>
      <w:r w:rsidR="00EA7FFB" w:rsidRPr="00EA7FFB">
        <w:t>the endocytosis uptake</w:t>
      </w:r>
      <w:r w:rsidR="00256BC4" w:rsidRPr="00EA7FFB">
        <w:t xml:space="preserve"> mechanism</w:t>
      </w:r>
      <w:r w:rsidR="00EA7FFB" w:rsidRPr="00EA7FFB">
        <w:t xml:space="preserve"> of orally delivered dsRNA</w:t>
      </w:r>
      <w:r w:rsidR="00256BC4" w:rsidRPr="00EA7FFB">
        <w:t xml:space="preserve">, </w:t>
      </w:r>
      <w:r w:rsidR="00EA7FFB" w:rsidRPr="00EA7FFB">
        <w:t>the list of possible ways of delivering dsRNA to an insect is narrowed</w:t>
      </w:r>
      <w:r w:rsidR="001828D8">
        <w:t xml:space="preserve"> (see below)</w:t>
      </w:r>
      <w:r w:rsidR="00EA7FFB" w:rsidRPr="00EA7FFB">
        <w:t xml:space="preserve">. </w:t>
      </w:r>
      <w:r w:rsidR="00132D43">
        <w:t>It should be noted that while dsRNA insecticides have been developed to overcome issues of resistance with traditional small molecule pesticides</w:t>
      </w:r>
      <w:r w:rsidR="007D2DB3">
        <w:t xml:space="preserve">, the major issue of resistance to dsRNA insecticides discovered so far is with uptake. A study into the possibility of resistance to dsRNA insecticides in western corn rootworm successfully developed a population of insects resistant to the DvSnf dsRNA-expressing maize, and determined that resistance was due to reduced uptake </w:t>
      </w:r>
      <w:r w:rsidR="0038054D">
        <w:t xml:space="preserve">of dsRNA </w:t>
      </w:r>
      <w:r w:rsidR="007D2DB3">
        <w:t>from the gut lumen</w:t>
      </w:r>
      <w:r w:rsidR="00132D43">
        <w:t xml:space="preserve"> </w:t>
      </w:r>
      <w:r w:rsidR="005C0E76">
        <w:fldChar w:fldCharType="begin" w:fldLock="1"/>
      </w:r>
      <w:r w:rsidR="00A551AB">
        <w:instrText>ADDIN CSL_CITATION {"citationItems":[{"id":"ITEM-1","itemData":{"DOI":"10.1371/journal.pone.0197059","ISSN":"1932-6203","abstract":"The use of dsRNA to control insect pests via the RNA interference (RNAi) pathway is being explored by researchers globally. However, with every new class of insect control compounds, the evolution of insect resistance needs to be considered, and understanding resistance mechanisms is essential in designing durable technologies and effective resistance management strategies. To gain insight into insect resistance to dsRNA, a field screen with subsequent laboratory selection was used to establish a population of DvSnf7 dsRNA-resistant western corn rootworm, Diabrotica virgifera virgifera, a major maize insect pest. WCR resistant to ingested DvSnf7 dsRNA had impaired luminal uptake and resistance was not DvSnf7 dsRNA-specific, as indicated by cross resistance to all other dsRNAs tested. No resistance to the Bacillus thuringiensis Cry3Bb1 protein was observed. DvSnf7 dsRNA resistance was inherited recessively, located on a single locus, and autosomal. Together these findings will provide insights for dsRNA deployment for insect pest control.","author":[{"dropping-particle":"","family":"Khajuria","given":"Chitvan","non-dropping-particle":"","parse-names":false,"suffix":""},{"dropping-particle":"","family":"Ivashuta","given":"Sergey","non-dropping-particle":"","parse-names":false,"suffix":""},{"dropping-particle":"","family":"Wiggins","given":"Elizabeth","non-dropping-particle":"","parse-names":false,"suffix":""},{"dropping-particle":"","family":"Flagel","given":"Lex","non-dropping-particle":"","parse-names":false,"suffix":""},{"dropping-particle":"","family":"Moar","given":"William","non-dropping-particle":"","parse-names":false,"suffix":""},{"dropping-particle":"","family":"Pleau","given":"Michael","non-dropping-particle":"","parse-names":false,"suffix":""},{"dropping-particle":"","family":"Miller","given":"Kaylee","non-dropping-particle":"","parse-names":false,"suffix":""},{"dropping-particle":"","family":"Zhang","given":"Yuanji","non-dropping-particle":"","parse-names":false,"suffix":""},{"dropping-particle":"","family":"Ramaseshadri","given":"Parthasarathy","non-dropping-particle":"","parse-names":false,"suffix":""},{"dropping-particle":"","family":"Jiang","given":"Changjian","non-dropping-particle":"","parse-names":false,"suffix":""},{"dropping-particle":"","family":"Hodge","given":"Tracey","non-dropping-particle":"","parse-names":false,"suffix":""},{"dropping-particle":"","family":"Jensen","given":"Peter","non-dropping-particle":"","parse-names":false,"suffix":""},{"dropping-particle":"","family":"Chen","given":"Mao","non-dropping-particle":"","parse-names":false,"suffix":""},{"dropping-particle":"","family":"Gowda","given":"Anilkumar","non-dropping-particle":"","parse-names":false,"suffix":""},{"dropping-particle":"","family":"McNulty","given":"Brian","non-dropping-particle":"","parse-names":false,"suffix":""},{"dropping-particle":"","family":"Vazquez","given":"Cara","non-dropping-particle":"","parse-names":false,"suffix":""},{"dropping-particle":"","family":"Bolognesi","given":"Renata","non-dropping-particle":"","parse-names":false,"suffix":""},{"dropping-particle":"","family":"Haas","given":"Jeffrey","non-dropping-particle":"","parse-names":false,"suffix":""},{"dropping-particle":"","family":"Head","given":"Graham","non-dropping-particle":"","parse-names":false,"suffix":""},{"dropping-particle":"","family":"Clark","given":"Thomas","non-dropping-particle":"","parse-names":false,"suffix":""}],"container-title":"PLOS ONE","editor":[{"dropping-particle":"","family":"Palli","given":"Subba Reddy","non-dropping-particle":"","parse-names":false,"suffix":""}],"id":"ITEM-1","issue":"5","issued":{"date-parts":[["2018","5","14"]]},"page":"e0197059","publisher":"Public Library of Science","title":"Development and characterization of the first dsRNA-resistant insect population from western corn rootworm, Diabrotica virgifera virgifera LeConte","type":"article-journal","volume":"13"},"uris":["http://www.mendeley.com/documents/?uuid=2251794f-41b0-3e7b-b3c1-5b99cdca3330"]}],"mendeley":{"formattedCitation":"(Khajuria &lt;i&gt;et al.&lt;/i&gt;, 2018)","plainTextFormattedCitation":"(Khajuria et al., 2018)","previouslyFormattedCitation":"(Khajuria &lt;i&gt;et al.&lt;/i&gt;, 2018)"},"properties":{"noteIndex":0},"schema":"https://github.com/citation-style-language/schema/raw/master/csl-citation.json"}</w:instrText>
      </w:r>
      <w:r w:rsidR="005C0E76">
        <w:fldChar w:fldCharType="separate"/>
      </w:r>
      <w:r w:rsidR="007D2DB3" w:rsidRPr="007D2DB3">
        <w:rPr>
          <w:noProof/>
        </w:rPr>
        <w:t xml:space="preserve">(Khajuria </w:t>
      </w:r>
      <w:r w:rsidR="007D2DB3" w:rsidRPr="007D2DB3">
        <w:rPr>
          <w:i/>
          <w:noProof/>
        </w:rPr>
        <w:t>et al.</w:t>
      </w:r>
      <w:r w:rsidR="007D2DB3" w:rsidRPr="007D2DB3">
        <w:rPr>
          <w:noProof/>
        </w:rPr>
        <w:t>, 2018)</w:t>
      </w:r>
      <w:r w:rsidR="005C0E76">
        <w:fldChar w:fldCharType="end"/>
      </w:r>
      <w:r w:rsidR="007D2DB3">
        <w:t>. If the mechanistic reason for this could be determined, a double RNAi approach of perturbing the insect’s uptake mechanism with one dsRNA prior to delivering a second insecticidal dsRNA might be possible.</w:t>
      </w:r>
    </w:p>
    <w:p w:rsidR="00EE4B62" w:rsidRDefault="00EE4B62" w:rsidP="000441D9">
      <w:pPr>
        <w:pStyle w:val="ListParagraph"/>
        <w:spacing w:line="360" w:lineRule="auto"/>
        <w:ind w:left="0" w:firstLine="284"/>
      </w:pPr>
    </w:p>
    <w:p w:rsidR="001828D8" w:rsidRDefault="001828D8" w:rsidP="000441D9">
      <w:pPr>
        <w:pStyle w:val="Heading3"/>
        <w:spacing w:line="360" w:lineRule="auto"/>
      </w:pPr>
      <w:bookmarkStart w:id="21" w:name="_Toc35333922"/>
      <w:r>
        <w:t>Delivery of dsRNA to insects</w:t>
      </w:r>
      <w:bookmarkEnd w:id="21"/>
    </w:p>
    <w:p w:rsidR="001828D8" w:rsidRPr="00EA7FFB" w:rsidRDefault="001828D8" w:rsidP="000441D9">
      <w:pPr>
        <w:spacing w:line="360" w:lineRule="auto"/>
        <w:ind w:firstLine="284"/>
      </w:pPr>
      <w:r w:rsidRPr="00EA7FFB">
        <w:t xml:space="preserve">dsRNA </w:t>
      </w:r>
      <w:r>
        <w:t>has successfully been</w:t>
      </w:r>
      <w:r w:rsidRPr="00EA7FFB">
        <w:t xml:space="preserve"> orally delivered to insects in a number of ways.</w:t>
      </w:r>
      <w:r>
        <w:t xml:space="preserve"> The methods broadly categorise as foliar application</w:t>
      </w:r>
      <w:r w:rsidR="00C2576A">
        <w:t xml:space="preserve"> of dsRNA (produced by </w:t>
      </w:r>
      <w:r w:rsidR="00C2576A" w:rsidRPr="00C2576A">
        <w:rPr>
          <w:i/>
        </w:rPr>
        <w:t>in vitro</w:t>
      </w:r>
      <w:r w:rsidR="00C2576A">
        <w:t xml:space="preserve"> transcription, cell-free methods or in microorganisms)</w:t>
      </w:r>
      <w:r>
        <w:t xml:space="preserve">, production and delivery </w:t>
      </w:r>
      <w:r w:rsidR="00C2576A">
        <w:t xml:space="preserve">of dsRNA </w:t>
      </w:r>
      <w:r>
        <w:t xml:space="preserve">in the crop, or production and </w:t>
      </w:r>
      <w:r>
        <w:lastRenderedPageBreak/>
        <w:t xml:space="preserve">delivery in microorganisms. Furthermore, successful methods of foliar application include application of: naked dsRNA </w:t>
      </w:r>
      <w:r w:rsidR="005C0E76">
        <w:fldChar w:fldCharType="begin" w:fldLock="1"/>
      </w:r>
      <w:r>
        <w:instrText>ADDIN CSL_CITATION {"citationItems":[{"id":"ITEM-1","itemData":{"DOI":"10.1002/ps.4056","ISSN":"1526498X","author":[{"dropping-particle":"","family":"San Miguel","given":"Keri","non-dropping-particle":"","parse-names":false,"suffix":""},{"dropping-particle":"","family":"Scott","given":"Jeffrey G","non-dropping-particle":"","parse-names":false,"suffix":""}],"container-title":"Pest Management Science","id":"ITEM-1","issue":"February","issued":{"date-parts":[["2015"]]},"page":"n/a-n/a","title":"The next generation of insecticides: dsRNA is stable as a foliar-applied insecticide","type":"article-journal"},"uris":["http://www.mendeley.com/documents/?uuid=0e666d3c-1776-452f-ae6b-c802a97ac443"]},{"id":"ITEM-2","itemData":{"DOI":"10.1007/s00425-017-2776-7","ISSN":"0032-0935","author":[{"dropping-particle":"","family":"Gogoi","given":"Anupam","non-dropping-particle":"","parse-names":false,"suffix":""},{"dropping-particle":"","family":"Sarmah","given":"Nomi","non-dropping-particle":"","parse-names":false,"suffix":""},{"dropping-particle":"","family":"Kaldis","given":"Athanasios","non-dropping-particle":"","parse-names":false,"suffix":""},{"dropping-particle":"","family":"Perdikis","given":"Dionysios","non-dropping-particle":"","parse-names":false,"suffix":""},{"dropping-particle":"","family":"Voloudakis","given":"Andreas","non-dropping-particle":"","parse-names":false,"suffix":""}],"container-title":"Planta","id":"ITEM-2","issue":"6","issued":{"date-parts":[["2017","12","18"]]},"page":"1233-1241","publisher":"Springer Berlin Heidelberg","title":"Plant insects and mites uptake double-stranded RNA upon its exogenous application on tomato leaves","type":"article-journal","volume":"246"},"uris":["http://www.mendeley.com/documents/?uuid=8aa1e3b9-ac6a-3f46-82a3-bed18acdf6c1"]}],"mendeley":{"formattedCitation":"(San Miguel and Scott, 2015; Gogoi &lt;i&gt;et al.&lt;/i&gt;, 2017)","plainTextFormattedCitation":"(San Miguel and Scott, 2015; Gogoi et al., 2017)","previouslyFormattedCitation":"(San Miguel and Scott, 2015; Gogoi &lt;i&gt;et al.&lt;/i&gt;, 2017)"},"properties":{"noteIndex":0},"schema":"https://github.com/citation-style-language/schema/raw/master/csl-citation.json"}</w:instrText>
      </w:r>
      <w:r w:rsidR="005C0E76">
        <w:fldChar w:fldCharType="separate"/>
      </w:r>
      <w:r w:rsidRPr="00873D5F">
        <w:rPr>
          <w:noProof/>
        </w:rPr>
        <w:t xml:space="preserve">(Miguel and Scott, 2015; Gogoi </w:t>
      </w:r>
      <w:r w:rsidRPr="00873D5F">
        <w:rPr>
          <w:i/>
          <w:noProof/>
        </w:rPr>
        <w:t>et al.</w:t>
      </w:r>
      <w:r w:rsidRPr="00873D5F">
        <w:rPr>
          <w:noProof/>
        </w:rPr>
        <w:t>, 2017)</w:t>
      </w:r>
      <w:r w:rsidR="005C0E76">
        <w:fldChar w:fldCharType="end"/>
      </w:r>
      <w:r>
        <w:t xml:space="preserve">, formulated dsRNA </w:t>
      </w:r>
      <w:r w:rsidR="005C0E76">
        <w:fldChar w:fldCharType="begin" w:fldLock="1"/>
      </w:r>
      <w:r>
        <w:instrText>ADDIN CSL_CITATION {"citationItems":[{"id":"ITEM-1","itemData":{"DOI":"10.3389/fphys.2018.00316","ISSN":"1664-042X","abstract":"Lepidoptera comprise some of the most devastating herbivorous pest insects worldwide. One of the most promising novel pest control strategies is exploiting the RNA interference (RNAi) mechanism to target essential genes for knockdown and incite toxic effects in the target species without harming other organisms in the ecosystem. However, many insects are refractory to oral RNAi, often due to rapid degradation of ingested dsRNA in their digestive system. This is the case for many lepidopteran insects, including the beet armyworm Spodoptera exigua, which is characterized by a very alkaline gut environment (pH&gt;9.0) and a strong intestinal nucleolytic activity. In this research, guanidine-containing polymers were developed to protect dsRNA against nucleolytic degradation, specifically in high pH environments. First, their ability to protect dsRNA against nucleolytic degradation in gut juice of the beet armyworm S. exigua was investigated ex vivo. Polymers with high guanidine content provided a strong protection against nucleolytic degradation at pH 11, protecting the dsRNA for up to 30 hours. Next, cellular uptake of the dsRNA and the polyplexes in lepidopteran CF203 midgut cells was investigated by confocal microscopy, showing that the polymer also enhanced cellular uptake of the dsRNA. Finally, in vivo feeding RNAi bioassays demonstrated that using these guanidine-containing polymer nanoparticles led to an increased RNAi efficiency in S. exigua. Targeting the essential gene chitin synthase B, we observed that the mortality increased to 53% in the polymer-protected dsRNA treatment compared to only 16% with the naked dsRNA and found that polymer-protected dsRNA completely halted the development of the caterpillars. These results show that using guanylated polymers as a formulation strategy can prevent degradation of dsRNA in the alkaline and strongly nucleolytic gut of lepidopteran insects. Furthermore, the polymer also enhances cellular uptake in lepidopteran midgut cells. This new delivery strategy could be of great use in further fundamental research in lepidopterans, using RNAi as a research tool, and could lead to future applications for RNAi-based pest control of lepidopteran insects.","author":[{"dropping-particle":"","family":"Christiaens","given":"Olivier","non-dropping-particle":"","parse-names":false,"suffix":""},{"dropping-particle":"","family":"Tardajos","given":"Myriam G.","non-dropping-particle":"","parse-names":false,"suffix":""},{"dropping-particle":"","family":"Martinez Reyna","given":"Zarel L.","non-dropping-particle":"","parse-names":false,"suffix":""},{"dropping-particle":"","family":"Dash","given":"Mamoni","non-dropping-particle":"","parse-names":false,"suffix":""},{"dropping-particle":"","family":"Dubruel","given":"Peter","non-dropping-particle":"","parse-names":false,"suffix":""},{"dropping-particle":"","family":"Smagghe","given":"Guy","non-dropping-particle":"","parse-names":false,"suffix":""}],"container-title":"Frontiers in Physiology","id":"ITEM-1","issued":{"date-parts":[["2018","4","4"]]},"page":"316","publisher":"Frontiers","title":"Increased RNAi Efficacy in Spodoptera exigua via the Formulation of dsRNA With Guanylated Polymers","type":"article-journal","volume":"9"},"uris":["http://www.mendeley.com/documents/?uuid=37642df9-42ee-3ce4-99c9-68469d0507a7"]}],"mendeley":{"formattedCitation":"(Christiaens &lt;i&gt;et al.&lt;/i&gt;, 2018)","plainTextFormattedCitation":"(Christiaens et al., 2018)","previouslyFormattedCitation":"(Christiaens &lt;i&gt;et al.&lt;/i&gt;, 2018)"},"properties":{"noteIndex":0},"schema":"https://github.com/citation-style-language/schema/raw/master/csl-citation.json"}</w:instrText>
      </w:r>
      <w:r w:rsidR="005C0E76">
        <w:fldChar w:fldCharType="separate"/>
      </w:r>
      <w:r w:rsidRPr="00873D5F">
        <w:rPr>
          <w:noProof/>
        </w:rPr>
        <w:t xml:space="preserve">(Christiaens </w:t>
      </w:r>
      <w:r w:rsidRPr="00873D5F">
        <w:rPr>
          <w:i/>
          <w:noProof/>
        </w:rPr>
        <w:t>et al.</w:t>
      </w:r>
      <w:r w:rsidRPr="00873D5F">
        <w:rPr>
          <w:noProof/>
        </w:rPr>
        <w:t>, 2018)</w:t>
      </w:r>
      <w:r w:rsidR="005C0E76">
        <w:fldChar w:fldCharType="end"/>
      </w:r>
      <w:r>
        <w:t xml:space="preserve">, liposome encapsulated dsRNA </w:t>
      </w:r>
      <w:r w:rsidR="005C0E76">
        <w:fldChar w:fldCharType="begin" w:fldLock="1"/>
      </w:r>
      <w:r>
        <w:instrText>ADDIN CSL_CITATION {"citationItems":[{"id":"ITEM-1","itemData":{"DOI":"10.1002/ps.5167","ISSN":"1526498X","PMID":"30094917","abstract":"BACKGROUND The Neotropical stink bug Euschistus heros is a major pest in soybean fields. Development of highly species-specific pesticides based on RNA interference (RNAi) could provide a new sustainable and environmentally friendly control strategy. RESULTS Here, the potential of RNAi as a pest control tool against E. heros was assessed. First, target gene selection using a microinjection approach was performed. Seven of the 15 candidate genes tested exhibited &gt; 95% mortality after hemolymph injection of 27.5 ng dsRNA. Subsequently, dsRNA was administered orally using different formulations: naked dsRNA, liposome-encapsulated-dsRNA and dsRNA formulated with EDTA. Liposome-encapsulated dsRNA targeting vATPase A and muscle actin led to significant mortality after 14 days (45% and 42%, respectively), whereas EDTA-formulated dsRNA did so for only one of the target genes. Ex vivo analysis of the dsRNA stability in collected saliva indicated a strong dsRNA-degrading capacity by E. heros saliva, which could explain the need for dsRNA formulations. CONCLUSION The results demonstrate that continuous ingestion of dsRNA with EDTA or liposome-encapsulated dsRNA can prevent dsRNA from being degraded enzymatically and suggest great potential for using these formulations in dsRNA delivery to use RNAi as a functional genomics tool or for pest management of stink bugs. © 2018 Society of Chemical Industry.","author":[{"dropping-particle":"","family":"Castellanos","given":"Nathaly L","non-dropping-particle":"","parse-names":false,"suffix":""},{"dropping-particle":"","family":"Smagghe","given":"Guy","non-dropping-particle":"","parse-names":false,"suffix":""},{"dropping-particle":"","family":"Sharma","given":"Rohit","non-dropping-particle":"","parse-names":false,"suffix":""},{"dropping-particle":"","family":"Oliveira","given":"Eugênio E","non-dropping-particle":"","parse-names":false,"suffix":""},{"dropping-particle":"","family":"Christiaens","given":"Olivier","non-dropping-particle":"","parse-names":false,"suffix":""}],"container-title":"Pest Management Science","id":"ITEM-1","issue":"2","issued":{"date-parts":[["2019","2"]]},"page":"537-548","title":"Liposome encapsulation and EDTA formulation of dsRNA targeting essential genes increase oral RNAi-caused mortality in the Neotropical stink bug &lt;i&gt;Euschistus heros&lt;/i&gt;","type":"article-journal","volume":"75"},"uris":["http://www.mendeley.com/documents/?uuid=a4ad3477-70f0-3b27-9b92-a8aaca2d9589"]}],"mendeley":{"formattedCitation":"(Castellanos &lt;i&gt;et al.&lt;/i&gt;, 2019)","plainTextFormattedCitation":"(Castellanos et al., 2019)","previouslyFormattedCitation":"(Castellanos &lt;i&gt;et al.&lt;/i&gt;, 2019)"},"properties":{"noteIndex":0},"schema":"https://github.com/citation-style-language/schema/raw/master/csl-citation.json"}</w:instrText>
      </w:r>
      <w:r w:rsidR="005C0E76">
        <w:fldChar w:fldCharType="separate"/>
      </w:r>
      <w:r w:rsidRPr="00EA7FFB">
        <w:rPr>
          <w:noProof/>
        </w:rPr>
        <w:t xml:space="preserve">(Castellanos </w:t>
      </w:r>
      <w:r w:rsidRPr="00EA7FFB">
        <w:rPr>
          <w:i/>
          <w:noProof/>
        </w:rPr>
        <w:t>et al.</w:t>
      </w:r>
      <w:r w:rsidRPr="00EA7FFB">
        <w:rPr>
          <w:noProof/>
        </w:rPr>
        <w:t>, 2019)</w:t>
      </w:r>
      <w:r w:rsidR="005C0E76">
        <w:fldChar w:fldCharType="end"/>
      </w:r>
      <w:r>
        <w:t xml:space="preserve">, nanoparticle-bound siRNAs </w:t>
      </w:r>
      <w:r w:rsidR="005C0E76">
        <w:fldChar w:fldCharType="begin" w:fldLock="1"/>
      </w:r>
      <w:r>
        <w:instrText>ADDIN CSL_CITATION {"citationItems":[{"id":"ITEM-1","itemData":{"DOI":"10.1111/imb.12301","ISSN":"09621075","author":[{"dropping-particle":"","family":"Thairu","given":"M. W.","non-dropping-particle":"","parse-names":false,"suffix":""},{"dropping-particle":"","family":"Skidmore","given":"I. H.","non-dropping-particle":"","parse-names":false,"suffix":""},{"dropping-particle":"","family":"Bansal","given":"R.","non-dropping-particle":"","parse-names":false,"suffix":""},{"dropping-particle":"","family":"Nováková","given":"E.","non-dropping-particle":"","parse-names":false,"suffix":""},{"dropping-particle":"","family":"Hansen","given":"T. E.","non-dropping-particle":"","parse-names":false,"suffix":""},{"dropping-particle":"","family":"Li-Byarlay","given":"H.","non-dropping-particle":"","parse-names":false,"suffix":""},{"dropping-particle":"","family":"Wickline","given":"S. A.","non-dropping-particle":"","parse-names":false,"suffix":""},{"dropping-particle":"","family":"Hansen","given":"A. K.","non-dropping-particle":"","parse-names":false,"suffix":""}],"container-title":"Insect Molecular Biology","id":"ITEM-1","issue":"3","issued":{"date-parts":[["2017","6","1"]]},"page":"356-368","publisher":"John Wiley &amp; Sons, Ltd (10.1111)","title":"Efficacy of RNA interference knockdown using aerosolized short interfering RNAs bound to nanoparticles in three diverse aphid species","type":"article-journal","volume":"26"},"uris":["http://www.mendeley.com/documents/?uuid=fdc45197-9511-34b0-9f95-7ba9820bc122"]}],"mendeley":{"formattedCitation":"(Thairu &lt;i&gt;et al.&lt;/i&gt;, 2017)","plainTextFormattedCitation":"(Thairu et al., 2017)","previouslyFormattedCitation":"(Thairu &lt;i&gt;et al.&lt;/i&gt;, 2017)"},"properties":{"noteIndex":0},"schema":"https://github.com/citation-style-language/schema/raw/master/csl-citation.json"}</w:instrText>
      </w:r>
      <w:r w:rsidR="005C0E76">
        <w:fldChar w:fldCharType="separate"/>
      </w:r>
      <w:r w:rsidRPr="00873D5F">
        <w:rPr>
          <w:noProof/>
        </w:rPr>
        <w:t xml:space="preserve">(Thairu </w:t>
      </w:r>
      <w:r w:rsidRPr="00873D5F">
        <w:rPr>
          <w:i/>
          <w:noProof/>
        </w:rPr>
        <w:t>et al.</w:t>
      </w:r>
      <w:r w:rsidRPr="00873D5F">
        <w:rPr>
          <w:noProof/>
        </w:rPr>
        <w:t>, 2017)</w:t>
      </w:r>
      <w:r w:rsidR="005C0E76">
        <w:fldChar w:fldCharType="end"/>
      </w:r>
      <w:r>
        <w:t>,</w:t>
      </w:r>
      <w:r w:rsidR="00E42CDC">
        <w:t xml:space="preserve"> and</w:t>
      </w:r>
      <w:r>
        <w:t xml:space="preserve"> dsRNA loaded onto clay nanosheets </w:t>
      </w:r>
      <w:r w:rsidR="005C0E76">
        <w:fldChar w:fldCharType="begin" w:fldLock="1"/>
      </w:r>
      <w:r>
        <w:instrText>ADDIN CSL_CITATION {"citationItems":[{"id":"ITEM-1","itemData":{"DOI":"10.1038/nplants.2016.207","ISSN":"2055-0278","abstract":"Application of pathogen-specific double-stranded RNA (dsRNA) was proposed as an approach against plant viruses. However, the instability of dsRNA hampers its application. Now, a study has used clay nanosheets to deliver dsRNA and obtain sustained protection against viruses.","author":[{"dropping-particle":"","family":"Mitter","given":"Neena","non-dropping-particle":"","parse-names":false,"suffix":""},{"dropping-particle":"","family":"Worrall","given":"Elizabeth A.","non-dropping-particle":"","parse-names":false,"suffix":""},{"dropping-particle":"","family":"Robinson","given":"Karl E.","non-dropping-particle":"","parse-names":false,"suffix":""},{"dropping-particle":"","family":"Li","given":"Peng","non-dropping-particle":"","parse-names":false,"suffix":""},{"dropping-particle":"","family":"Jain","given":"Ritesh G.","non-dropping-particle":"","parse-names":false,"suffix":""},{"dropping-particle":"","family":"Taochy","given":"Christelle","non-dropping-particle":"","parse-names":false,"suffix":""},{"dropping-particle":"","family":"Fletcher","given":"Stephen J.","non-dropping-particle":"","parse-names":false,"suffix":""},{"dropping-particle":"","family":"Carroll","given":"Bernard J.","non-dropping-particle":"","parse-names":false,"suffix":""},{"dropping-particle":"","family":"Lu","given":"G. Q.","non-dropping-particle":"","parse-names":false,"suffix":""},{"dropping-particle":"","family":"Xu","given":"Zhi Ping","non-dropping-particle":"","parse-names":false,"suffix":""}],"container-title":"Nature Plants","id":"ITEM-1","issue":"2","issued":{"date-parts":[["2017","2","9"]]},"page":"16207","publisher":"Nature Publishing Group","title":"Clay nanosheets for topical delivery of RNAi for sustained protection against plant viruses","type":"article-journal","volume":"3"},"uris":["http://www.mendeley.com/documents/?uuid=20a36a67-5f72-31e3-b206-2db3260745a2"]}],"mendeley":{"formattedCitation":"(Mitter &lt;i&gt;et al.&lt;/i&gt;, 2017)","plainTextFormattedCitation":"(Mitter et al., 2017)","previouslyFormattedCitation":"(Mitter &lt;i&gt;et al.&lt;/i&gt;, 2017)"},"properties":{"noteIndex":0},"schema":"https://github.com/citation-style-language/schema/raw/master/csl-citation.json"}</w:instrText>
      </w:r>
      <w:r w:rsidR="005C0E76">
        <w:fldChar w:fldCharType="separate"/>
      </w:r>
      <w:r w:rsidRPr="00873D5F">
        <w:rPr>
          <w:noProof/>
        </w:rPr>
        <w:t xml:space="preserve">(Mitter </w:t>
      </w:r>
      <w:r w:rsidRPr="00873D5F">
        <w:rPr>
          <w:i/>
          <w:noProof/>
        </w:rPr>
        <w:t>et al.</w:t>
      </w:r>
      <w:r w:rsidRPr="00873D5F">
        <w:rPr>
          <w:noProof/>
        </w:rPr>
        <w:t>, 2017)</w:t>
      </w:r>
      <w:r w:rsidR="005C0E76">
        <w:fldChar w:fldCharType="end"/>
      </w:r>
      <w:r>
        <w:t xml:space="preserve">. Successful examples of delivery of dsRNA in microorganisms includes delivery in yeast </w:t>
      </w:r>
      <w:r w:rsidR="005C0E76">
        <w:fldChar w:fldCharType="begin" w:fldLock="1"/>
      </w:r>
      <w:r>
        <w:instrText>ADDIN CSL_CITATION {"citationItems":[{"id":"ITEM-1","itemData":{"DOI":"10.1038/srep22587","ISSN":"2045-2322","abstract":"Ingestion of genetically modified yeast symbiont reduces fitness of an insect pest via RNA interference","author":[{"dropping-particle":"","family":"Murphy","given":"Katherine A.","non-dropping-particle":"","parse-names":false,"suffix":""},{"dropping-particle":"","family":"Tabuloc","given":"Christine A.","non-dropping-particle":"","parse-names":false,"suffix":""},{"dropping-particle":"","family":"Cervantes","given":"Kevin R.","non-dropping-particle":"","parse-names":false,"suffix":""},{"dropping-particle":"","family":"Chiu","given":"Joanna C.","non-dropping-particle":"","parse-names":false,"suffix":""}],"container-title":"Scientific Reports","id":"ITEM-1","issue":"1","issued":{"date-parts":[["2016","9","2"]]},"page":"22587","publisher":"Nature Publishing Group","title":"Ingestion of genetically modified yeast symbiont reduces fitness of an insect pest via RNA interference","type":"article-journal","volume":"6"},"uris":["http://www.mendeley.com/documents/?uuid=6f606d1a-0238-370c-b35c-e9170c0094e9"]}],"mendeley":{"formattedCitation":"(Murphy &lt;i&gt;et al.&lt;/i&gt;, 2016)","plainTextFormattedCitation":"(Murphy et al., 2016)","previouslyFormattedCitation":"(Murphy &lt;i&gt;et al.&lt;/i&gt;, 2016)"},"properties":{"noteIndex":0},"schema":"https://github.com/citation-style-language/schema/raw/master/csl-citation.json"}</w:instrText>
      </w:r>
      <w:r w:rsidR="005C0E76">
        <w:fldChar w:fldCharType="separate"/>
      </w:r>
      <w:r w:rsidRPr="009F58D0">
        <w:rPr>
          <w:noProof/>
        </w:rPr>
        <w:t xml:space="preserve">(Murphy </w:t>
      </w:r>
      <w:r w:rsidRPr="009F58D0">
        <w:rPr>
          <w:i/>
          <w:noProof/>
        </w:rPr>
        <w:t>et al.</w:t>
      </w:r>
      <w:r w:rsidRPr="009F58D0">
        <w:rPr>
          <w:noProof/>
        </w:rPr>
        <w:t>, 2016)</w:t>
      </w:r>
      <w:r w:rsidR="005C0E76">
        <w:fldChar w:fldCharType="end"/>
      </w:r>
      <w:r>
        <w:t xml:space="preserve">, delivery in </w:t>
      </w:r>
      <w:r w:rsidRPr="001828D8">
        <w:rPr>
          <w:i/>
        </w:rPr>
        <w:t>E. coli</w:t>
      </w:r>
      <w:r>
        <w:t xml:space="preserve"> </w:t>
      </w:r>
      <w:r w:rsidR="005C0E76">
        <w:fldChar w:fldCharType="begin" w:fldLock="1"/>
      </w:r>
      <w:r>
        <w:instrText>ADDIN CSL_CITATION {"citationItems":[{"id":"ITEM-1","itemData":{"DOI":"10.1371/journal.pone.0132631","ISBN":"1932-6203 (Electronic)\\r1932-6203 (Linking)","ISSN":"19326203","PMID":"26171783","abstract":"BACKGROUND: Oral toxicity of double-stranded RNA (dsRNA) specific to integrin beta1 subunit (SeINT) was known in a polyphagous insect pest, Spodoptera exigua. For an application of the dsRNA to control the insect pest, this study prepared a transformed Escherichia coli expressing dsRNA specific to SeINT. PRINCIPAL FINDINGS: The dsRNA expression was driven by T7 RNA polymerase overexpressed by an inducer in the transformed E. coli. The produced dsRNA amount was proportional to the number of the cultured bacteria. The transformed bacteria gave a significant oral toxicity to S. exigua larvae with a significant reduction of the SeINT expression. The resulting insect mortality increased with the fed number of the bacteria. Pretreatment with an ultra-sonication to disrupt bacterial cell wall/membrane significantly increased the insecticidal activity of the transformed bacteria. The larvae treated with the transformed bacteria suffered tissue damage in the midgut epithelium, which exhibited a marked loss of cell-cell contacts and underwent a remarkable cell death. Moreover, these treated larvae became significantly susceptible to a Cry toxin derived from Bacillus thuringiensis (Bt). CONCLUSIONS: This study provides a novel and highly efficient application technique to use dsRNA specific to an integrin gene by mixing with a biopesticide, Bt.","author":[{"dropping-particle":"","family":"Kim","given":"Eunseong","non-dropping-particle":"","parse-names":false,"suffix":""},{"dropping-particle":"","family":"Park","given":"Youngjin","non-dropping-particle":"","parse-names":false,"suffix":""},{"dropping-particle":"","family":"Kim","given":"Yonggyun","non-dropping-particle":"","parse-names":false,"suffix":""},{"dropping-particle":"","family":"Ling","given":"Erjun","non-dropping-particle":"","parse-names":false,"suffix":""}],"container-title":"PLoS ONE","id":"ITEM-1","issue":"7","issued":{"date-parts":[["2015"]]},"page":"1-15","title":"A transformed bacterium expressing double-stranded RNA specific to integrin β1 enhances Bt Toxin efficacy against a polyphagous insect pest, Spodoptera exigua","type":"article-journal","volume":"10"},"uris":["http://www.mendeley.com/documents/?uuid=c12296ed-408b-4c45-9104-2726f55eac35"]},{"id":"ITEM-2","itemData":{"DOI":"10.3389/fmicb.2015.00300","ISSN":"1664-302X","abstract":"Infectious salmon anemia virus (ISAV) has caused great losses to the Chilean salmon industry, and the success of prevention and treatment strategies is uncertain. The use of RNA interference (RNAi) is a promising approach because during the replication cycle, the ISAV genome must be transcribed to mRNA in the cytoplasm. We explored the capacity of E. coli transformed with plasmids that produce double-stranded RNA (dsRNA) to induce antiviral activity when added to infected ASK cells. We transformed the non-pathogenic Escherichia coli HT115 (DE3) with plasmids that expressed highly conserved regions of the ISAV genes encoding the nucleoprotein (NP), fusion (F), hemagglutinin (HE) and matrix (M) proteins as dsRNA, which is the precursor of the RNAi mechanism. The inactivated transformed bacteria carrying dsRNA were tested for their capacity to silence the target ISAV genes, and the dsRNA that were able to inhibit gene expression were subsequently tested for their ability to attenuate the cytopathic effect (CPE) and reduce the viral load. Of the four target genes tested, inactivated E. coli transformed with plasmids producing dsRNA targeting HE showed antiviral activity when added to infected ASK cells.","author":[{"dropping-particle":"","family":"Garci­a","given":"Katherine","non-dropping-particle":"","parse-names":false,"suffix":""},{"dropping-particle":"","family":"Rami­rez-Araya","given":"Sebastia¡n","non-dropping-particle":"","parse-names":false,"suffix":""},{"dropping-particle":"","family":"Di­az","given":"Ã</w:instrText>
      </w:r>
      <w:r>
        <w:rPr>
          <w:rFonts w:ascii="Calibri" w:hAnsi="Calibri" w:cs="Calibri"/>
        </w:rPr>
        <w:instrText>lvaro","non-dr</w:instrText>
      </w:r>
      <w:r>
        <w:instrText>opping-particle":"","parse-names":false,"suffix":""},{"dropping-particle":"","family":"Reyes-Cerpa","given":"Sebastia¡n","non-dropping-particle":"","parse-names":false,"suffix":""},{"dropping-particle":"","family":"Espejo","given":"Romilio T.","non-dropping-particle":"","parse-names":false,"suffix":""},{"dropping-particle":"","family":"Higuera","given":"Gaston","non-dropping-particle":"","parse-names":false,"suffix":""},{"dropping-particle":"","family":"Romero","given":"Jaime","non-dropping-particle":"","parse-names":false,"suffix":""}],"container-title":"Frontiers in Microbiology","id":"ITEM-2","issued":{"date-parts":[["2015","4","16"]]},"page":"300","publisher":"Frontiers","title":"Inactivated E. coli transformed with plasmids that produce dsRNA against infectious salmon anemia virus hemagglutinin show antiviral activity when added to infected ASK cells","type":"article-journal","volume":"6"},"uris":["http://www.mendeley.com/documents/?uuid=24f31b25-7bf5-3216-b53c-9eb88e05d227"]}],"mendeley":{"formattedCitation":"(Garci­a &lt;i&gt;et al.&lt;/i&gt;, 2015; Kim &lt;i&gt;et al.&lt;/i&gt;, 2015)","plainTextFormattedCitation":"(Garci­a et al., 2015; Kim et al., 2015)","previouslyFormattedCitation":"(Garci­a &lt;i&gt;et al.&lt;/i&gt;, 2015; Kim &lt;i&gt;et al.&lt;/i&gt;, 2015)"},"properties":{"noteIndex":0},"schema":"https://github.com/citation-style-language/schema/raw/master/csl-citation.json"}</w:instrText>
      </w:r>
      <w:r w:rsidR="005C0E76">
        <w:fldChar w:fldCharType="separate"/>
      </w:r>
      <w:r w:rsidRPr="009F58D0">
        <w:rPr>
          <w:noProof/>
        </w:rPr>
        <w:t xml:space="preserve">(Garcia </w:t>
      </w:r>
      <w:r w:rsidRPr="009F58D0">
        <w:rPr>
          <w:i/>
          <w:noProof/>
        </w:rPr>
        <w:t>et al.</w:t>
      </w:r>
      <w:r w:rsidRPr="009F58D0">
        <w:rPr>
          <w:noProof/>
        </w:rPr>
        <w:t xml:space="preserve">, 2015; Kim </w:t>
      </w:r>
      <w:r w:rsidRPr="009F58D0">
        <w:rPr>
          <w:i/>
          <w:noProof/>
        </w:rPr>
        <w:t>et al.</w:t>
      </w:r>
      <w:r w:rsidRPr="009F58D0">
        <w:rPr>
          <w:noProof/>
        </w:rPr>
        <w:t>, 2015)</w:t>
      </w:r>
      <w:r w:rsidR="005C0E76">
        <w:fldChar w:fldCharType="end"/>
      </w:r>
      <w:r w:rsidR="00E42CDC">
        <w:t>.</w:t>
      </w:r>
      <w:r>
        <w:t xml:space="preserve"> </w:t>
      </w:r>
    </w:p>
    <w:p w:rsidR="001828D8" w:rsidRDefault="001828D8" w:rsidP="000441D9">
      <w:pPr>
        <w:spacing w:line="360" w:lineRule="auto"/>
      </w:pPr>
    </w:p>
    <w:p w:rsidR="001828D8" w:rsidRDefault="001828D8" w:rsidP="000441D9">
      <w:pPr>
        <w:pStyle w:val="Heading4"/>
        <w:spacing w:line="360" w:lineRule="auto"/>
      </w:pPr>
      <w:bookmarkStart w:id="22" w:name="_Toc35333923"/>
      <w:r>
        <w:t>Delivery of purified dsRNA to insects orally by feeding</w:t>
      </w:r>
      <w:bookmarkEnd w:id="22"/>
    </w:p>
    <w:p w:rsidR="00DF090B" w:rsidRPr="00D6722B" w:rsidRDefault="00256BC4" w:rsidP="000441D9">
      <w:pPr>
        <w:spacing w:line="360" w:lineRule="auto"/>
        <w:ind w:firstLine="284"/>
      </w:pPr>
      <w:r w:rsidRPr="00D6722B">
        <w:t>Previous work has shown that a number of species of major crop pest can be killed by RNAi effects due to dsRNA delivered by a feeding strategy, including major crop pests</w:t>
      </w:r>
      <w:r w:rsidR="004D39CA" w:rsidRPr="00D6722B">
        <w:t xml:space="preserve"> such as</w:t>
      </w:r>
      <w:r w:rsidRPr="00D6722B">
        <w:t xml:space="preserve"> western corn rootworm, southern corn rootworm </w:t>
      </w:r>
      <w:r w:rsidR="005C0E76" w:rsidRPr="00D6722B">
        <w:fldChar w:fldCharType="begin" w:fldLock="1"/>
      </w:r>
      <w:r w:rsidRPr="00D6722B">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interference","type":"article-journal","volume":"25"},"uris":["http://www.mendeley.com/documents/?uuid=f36b1865-baf2-4cfb-bf8c-3a0a3c4b563c"]}],"mendeley":{"formattedCitation":"(Baum &lt;i&gt;et al.&lt;/i&gt;, 2007)","plainTextFormattedCitation":"(Baum et al., 2007)","previouslyFormattedCitation":"(Baum &lt;i&gt;et al.&lt;/i&gt;, 2007)"},"properties":{"noteIndex":0},"schema":"https://github.com/citation-style-language/schema/raw/master/csl-citation.json"}</w:instrText>
      </w:r>
      <w:r w:rsidR="005C0E76" w:rsidRPr="00D6722B">
        <w:fldChar w:fldCharType="separate"/>
      </w:r>
      <w:r w:rsidRPr="00D6722B">
        <w:rPr>
          <w:noProof/>
        </w:rPr>
        <w:t xml:space="preserve">(Baum </w:t>
      </w:r>
      <w:r w:rsidRPr="00D6722B">
        <w:rPr>
          <w:i/>
          <w:noProof/>
        </w:rPr>
        <w:t>et al.</w:t>
      </w:r>
      <w:r w:rsidRPr="00D6722B">
        <w:rPr>
          <w:noProof/>
        </w:rPr>
        <w:t>, 2007)</w:t>
      </w:r>
      <w:r w:rsidR="005C0E76" w:rsidRPr="00D6722B">
        <w:fldChar w:fldCharType="end"/>
      </w:r>
      <w:r w:rsidRPr="00D6722B">
        <w:t xml:space="preserve">, cotton bollworm </w:t>
      </w:r>
      <w:r w:rsidR="005C0E76" w:rsidRPr="00D6722B">
        <w:fldChar w:fldCharType="begin" w:fldLock="1"/>
      </w:r>
      <w:r w:rsidRPr="00D6722B">
        <w:instrText>ADDIN CSL_CITATION {"citationItems":[{"id":"ITEM-1","itemData":{"DOI":"10.1038/nbt1352","ISBN":"1087-0156","ISSN":"10870156","PMID":"17982444","abstract":"We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Biotechnology","id":"ITEM-1","issue":"11","issued":{"date-parts":[["2007"]]},"page":"1307-1313","title":"Silencing a cotton bollworm P450 monooxygenase gene by plant-mediated RNAi impairs larval tolerance of gossypol","type":"article-journal","volume":"25"},"uris":["http://www.mendeley.com/documents/?uuid=30f4c137-f223-4428-b6ca-02cdb2aba4ea"]}],"mendeley":{"formattedCitation":"(Mao &lt;i&gt;et al.&lt;/i&gt;, 2007)","plainTextFormattedCitation":"(Mao et al., 2007)","previouslyFormattedCitation":"(Mao &lt;i&gt;et al.&lt;/i&gt;, 2007)"},"properties":{"noteIndex":0},"schema":"https://github.com/citation-style-language/schema/raw/master/csl-citation.json"}</w:instrText>
      </w:r>
      <w:r w:rsidR="005C0E76" w:rsidRPr="00D6722B">
        <w:fldChar w:fldCharType="separate"/>
      </w:r>
      <w:r w:rsidRPr="00D6722B">
        <w:rPr>
          <w:noProof/>
        </w:rPr>
        <w:t xml:space="preserve">(Mao </w:t>
      </w:r>
      <w:r w:rsidRPr="00D6722B">
        <w:rPr>
          <w:i/>
          <w:noProof/>
        </w:rPr>
        <w:t>et al.</w:t>
      </w:r>
      <w:r w:rsidRPr="00D6722B">
        <w:rPr>
          <w:noProof/>
        </w:rPr>
        <w:t>, 2007)</w:t>
      </w:r>
      <w:r w:rsidR="005C0E76" w:rsidRPr="00D6722B">
        <w:fldChar w:fldCharType="end"/>
      </w:r>
      <w:r w:rsidRPr="00D6722B">
        <w:t xml:space="preserve"> and Colorado potato beetle (Miguel &amp; Scott, 2015).</w:t>
      </w:r>
    </w:p>
    <w:p w:rsidR="00DF090B" w:rsidRPr="00ED2E5F" w:rsidRDefault="00DF090B" w:rsidP="000441D9">
      <w:pPr>
        <w:spacing w:line="360" w:lineRule="auto"/>
        <w:ind w:firstLine="284"/>
      </w:pPr>
      <w:r w:rsidRPr="00D6722B">
        <w:t xml:space="preserve">Direct foliar application of dsRNA targeted against Colorado potato beetles has recently been investigated </w:t>
      </w:r>
      <w:r w:rsidR="005C0E76" w:rsidRPr="00D6722B">
        <w:fldChar w:fldCharType="begin" w:fldLock="1"/>
      </w:r>
      <w:r w:rsidRPr="00D6722B">
        <w:instrText>ADDIN CSL_CITATION {"citationItems":[{"id":"ITEM-1","itemData":{"DOI":"10.1002/ps.4056","ISSN":"1526498X","author":[{"dropping-particle":"","family":"San Miguel","given":"Keri","non-dropping-particle":"","parse-names":false,"suffix":""},{"dropping-particle":"","family":"Scott","given":"Jeffrey G","non-dropping-particle":"","parse-names":false,"suffix":""}],"container-title":"Pest Management Science","id":"ITEM-1","issue":"February","issued":{"date-parts":[["2015"]]},"page":"n/a-n/a","title":"The next generation of insecticides: dsRNA is stable as a foliar-applied insecticide","type":"article-journal"},"uris":["http://www.mendeley.com/documents/?uuid=0e666d3c-1776-452f-ae6b-c802a97ac443"]}],"mendeley":{"formattedCitation":"(San Miguel and Scott, 2015)","plainTextFormattedCitation":"(San Miguel and Scott, 2015)","previouslyFormattedCitation":"(San Miguel and Scott, 2015)"},"properties":{"noteIndex":0},"schema":"https://github.com/citation-style-language/schema/raw/master/csl-citation.json"}</w:instrText>
      </w:r>
      <w:r w:rsidR="005C0E76" w:rsidRPr="00D6722B">
        <w:fldChar w:fldCharType="separate"/>
      </w:r>
      <w:r w:rsidRPr="00D6722B">
        <w:rPr>
          <w:noProof/>
        </w:rPr>
        <w:t>( Miguel and Scott, 2015)</w:t>
      </w:r>
      <w:r w:rsidR="005C0E76" w:rsidRPr="00D6722B">
        <w:fldChar w:fldCharType="end"/>
      </w:r>
      <w:r w:rsidRPr="00D6722B">
        <w:t xml:space="preserve">. The work of Miguel and Scott showed that a foliar application of a solution of actin dsRNA in tap water was stable for at least 28 days, would not wash off due to rainfall, and was effective as a pesticide against Colorado potato beetles. In terms of overall tackling </w:t>
      </w:r>
      <w:r w:rsidR="00135AC5">
        <w:t xml:space="preserve">of </w:t>
      </w:r>
      <w:r w:rsidRPr="00D6722B">
        <w:t xml:space="preserve">an infestation, potato plants treated with the actin dsRNA were protected from the larvae for four weeks, and as effectively protected as treated plants after one, two or three weeks. Larvae on dsRNA treated leaves did not continue feeding beyond three </w:t>
      </w:r>
      <w:r w:rsidRPr="00ED2E5F">
        <w:t>days</w:t>
      </w:r>
      <w:r w:rsidR="00C2576A" w:rsidRPr="00ED2E5F">
        <w:t xml:space="preserve"> (</w:t>
      </w:r>
      <w:r w:rsidR="006F1297" w:rsidRPr="00ED2E5F">
        <w:t xml:space="preserve">see figure </w:t>
      </w:r>
      <w:r w:rsidR="00717CC7" w:rsidRPr="00ED2E5F">
        <w:t>1.1</w:t>
      </w:r>
      <w:r w:rsidR="00C2576A" w:rsidRPr="00ED2E5F">
        <w:t>)</w:t>
      </w:r>
      <w:r w:rsidRPr="00ED2E5F">
        <w:t>.</w:t>
      </w:r>
    </w:p>
    <w:p w:rsidR="00DF090B" w:rsidRPr="00D6722B" w:rsidRDefault="00DF090B" w:rsidP="000441D9">
      <w:pPr>
        <w:spacing w:line="360" w:lineRule="auto"/>
        <w:ind w:firstLine="284"/>
      </w:pPr>
      <w:r w:rsidRPr="00D6722B">
        <w:t xml:space="preserve"> The study also contemplated the possibility of using dsRNA taken up in water by the roots into the leaves </w:t>
      </w:r>
      <w:r w:rsidR="00135AC5">
        <w:t xml:space="preserve">of the potato plants </w:t>
      </w:r>
      <w:r w:rsidRPr="00D6722B">
        <w:t>to achieve the same effect. This application of the dsRNA resulted in 23% mortality, with 49% failing to molt to fourth instar larvae, and significant loss of weight gain – 24-25% compared to the control groups. This suggests that uptake by roots into leaves is effective, but less so than foliar application.</w:t>
      </w:r>
    </w:p>
    <w:p w:rsidR="00DF090B" w:rsidRPr="00D6722B" w:rsidRDefault="00DF090B" w:rsidP="000441D9">
      <w:pPr>
        <w:spacing w:line="360" w:lineRule="auto"/>
        <w:ind w:firstLine="284"/>
      </w:pPr>
    </w:p>
    <w:p w:rsidR="00256BC4" w:rsidRPr="00D6722B" w:rsidRDefault="00256BC4" w:rsidP="000441D9">
      <w:pPr>
        <w:spacing w:line="360" w:lineRule="auto"/>
        <w:ind w:firstLine="284"/>
      </w:pPr>
      <w:r w:rsidRPr="00D6722B">
        <w:t xml:space="preserve"> A feeding strategy utilising pure dsRNA has yet to successfully induce RNAi effects in </w:t>
      </w:r>
      <w:r w:rsidRPr="00D6722B">
        <w:rPr>
          <w:i/>
        </w:rPr>
        <w:t>Drosophila</w:t>
      </w:r>
      <w:r w:rsidRPr="00D6722B">
        <w:t xml:space="preserve"> </w:t>
      </w:r>
      <w:r w:rsidR="005C0E76" w:rsidRPr="00D6722B">
        <w:fldChar w:fldCharType="begin" w:fldLock="1"/>
      </w:r>
      <w:r w:rsidRPr="00D6722B">
        <w:instrText>ADDIN CSL_CITATION {"citationItems":[{"id":"ITEM-1","itemData":{"DOI":"10.1016/j.molcel.2012.07.014","ISSN":"1097-4164","PMID":"22902558","abstract":"Ingested dsRNAs trigger RNA interference (RNAi) in many invertebrates, including the nematode Caenorhabditis elegans. Here we show that the C. elegans apical intestinal membrane protein SID-2 is required in C. elegans for the import of ingested dsRNA and that, when expressed in Drosophila S2 cells, SID-2 enables the uptake of dsRNAs. SID-2-dependent dsRNA transport requires an acidic extracellular environment and is selective for dsRNAs with at least 50 base pairs. Through structure-function analysis, we identify several SID-2 regions required for this activity, including three extracellular, positively charged histidines. Finally, we find that SID-2-dependent transport is inhibited by drugs that interfere with vesicle transport. Therefore, we propose that environmental dsRNAs are imported from the acidic intestinal lumen by SID-2 via endocytosis and are released from internalized vesicles in a secondary step mediated by the dsRNA channel SID-1. Similar multistep mechanisms may underlie the widespread observations of environmental RNAi.","author":[{"dropping-particle":"","family":"McEwan","given":"Deborah L","non-dropping-particle":"","parse-names":false,"suffix":""},{"dropping-particle":"","family":"Weisman","given":"Alexandra S","non-dropping-particle":"","parse-names":false,"suffix":""},{"dropping-particle":"","family":"Hunter","given":"Craig P","non-dropping-particle":"","parse-names":false,"suffix":""}],"container-title":"Molecular cell","id":"ITEM-1","issue":"5","issued":{"date-parts":[["2012","9","14"]]},"page":"746-54","publisher":"Elsevier","title":"Uptake of extracellular double-stranded RNA by SID-2.","type":"article-journal","volume":"47"},"uris":["http://www.mendeley.com/documents/?uuid=387252b6-9d65-3d2f-a577-97dfa91b30d6"]},{"id":"ITEM-2","itemData":{"DOI":"10.1016/j.ibmb.2009.09.007","ISBN":"1879-0240 (Electronic)\\r0965-1748 (Linking)","ISSN":"09651748","PMID":"19815067","abstract":"A serious shortcoming of many insecticides is that they can kill non-target species. To address this issue, we harnessed the sequence specificity of RNA interference (RNAi) to design orally-delivered double-stranded (ds) RNAs that selectively killed target species. Fruit flies (Drosophila melanogaster), flour beetles (Tribolium castaneum), pea aphids (Acyrthosiphon pisum), and tobacco hornworms (Manduca sexta) were selectively killed when fed species-specific dsRNA targeting vATPase transcripts. We also demonstrate that even closely related species can be selectively killed by feeding on dsRNAs that target the more variable regions of genes, such as the 3??? untranslated regions (UTRs): four species of the genus Drosophila were selectively killed by feeding on short (&lt;40??nt) dsRNAs that targeted the 3??? UTR of the ??-tubulin gene. For the aphid nymphs and beetle and moth larvae, dsRNA could simply be dissolved into their diets, but to induce RNAi in the drosophilid species, the dsRNAs needed to be encapsulated in liposomes to help facilitate uptake of the dsRNA. This is the first demonstration of RNAi following ingestion of dsRNA in all of the species tested, and the method offers promise of both higher throughput RNAi screens and the development of a new generation of species-specific insecticides. ?? 2009 Elsevier Ltd. All rights reserved.","author":[{"dropping-particle":"","family":"Whyard","given":"Steven","non-dropping-particle":"","parse-names":false,"suffix":""},{"dropping-particle":"","family":"Singh","given":"Aditi D.","non-dropping-particle":"","parse-names":false,"suffix":""},{"dropping-particle":"","family":"Wong","given":"Sylvia","non-dropping-particle":"","parse-names":false,"suffix":""}],"container-title":"Insect Biochemistry and Molecular Biology","id":"ITEM-2","issue":"11","issued":{"date-parts":[["2009"]]},"page":"824-832","publisher":"Elsevier Ltd","title":"Ingested double-stranded RNAs can act as species-specific insecticides","type":"article-journal","volume":"39"},"uris":["http://www.mendeley.com/documents/?uuid=ac5458db-fc7e-4c32-a34e-0fc4e6b9a96e"]}],"mendeley":{"formattedCitation":"(Whyard, Singh and Wong, 2009; McEwan, Weisman and Hunter, 2012)","plainTextFormattedCitation":"(Whyard, Singh and Wong, 2009; McEwan, Weisman and Hunter, 2012)","previouslyFormattedCitation":"(Whyard, Singh and Wong, 2009; McEwan, Weisman and Hunter, 2012)"},"properties":{"noteIndex":0},"schema":"https://github.com/citation-style-language/schema/raw/master/csl-citation.json"}</w:instrText>
      </w:r>
      <w:r w:rsidR="005C0E76" w:rsidRPr="00D6722B">
        <w:fldChar w:fldCharType="separate"/>
      </w:r>
      <w:r w:rsidRPr="00D6722B">
        <w:rPr>
          <w:noProof/>
        </w:rPr>
        <w:t>(Whyard, Singh and Wong, 2009; McEwan, Weisman and Hunter, 2012)</w:t>
      </w:r>
      <w:r w:rsidR="005C0E76" w:rsidRPr="00D6722B">
        <w:fldChar w:fldCharType="end"/>
      </w:r>
      <w:r w:rsidR="004D39CA" w:rsidRPr="00D6722B">
        <w:t xml:space="preserve">, limiting the suitability of the most common insect model species as a suitable model for </w:t>
      </w:r>
      <w:r w:rsidR="00345A6E" w:rsidRPr="00D6722B">
        <w:t>RNA based biocontrol</w:t>
      </w:r>
      <w:r w:rsidR="004D39CA" w:rsidRPr="00D6722B">
        <w:t xml:space="preserve"> research</w:t>
      </w:r>
      <w:r w:rsidRPr="00D6722B">
        <w:t xml:space="preserve">. It currently appears that a feeding strategy using pure untreated dsRNA will not result in </w:t>
      </w:r>
      <w:r w:rsidR="00345A6E" w:rsidRPr="00D6722B">
        <w:t>RNAi induction</w:t>
      </w:r>
      <w:r w:rsidRPr="00D6722B">
        <w:t xml:space="preserve"> in </w:t>
      </w:r>
      <w:r w:rsidRPr="00D6722B">
        <w:rPr>
          <w:i/>
        </w:rPr>
        <w:t>Drosophila</w:t>
      </w:r>
      <w:r w:rsidRPr="00D6722B">
        <w:t xml:space="preserve"> as it will in some other species of insect, even for an RNAi target located in gut tissue, if the dsRNA is delivered purely in a water solution </w:t>
      </w:r>
      <w:r w:rsidR="005C0E76" w:rsidRPr="00D6722B">
        <w:fldChar w:fldCharType="begin" w:fldLock="1"/>
      </w:r>
      <w:r w:rsidRPr="00D6722B">
        <w:instrText>ADDIN CSL_CITATION {"citationItems":[{"id":"ITEM-1","itemData":{"DOI":"10.1016/j.ibmb.2009.09.007","ISBN":"1879-0240 (Electronic)\\r0965-1748 (Linking)","ISSN":"09651748","PMID":"19815067","abstract":"A serious shortcoming of many insecticides is that they can kill non-target species. To address this issue, we harnessed the sequence specificity of RNA interference (RNAi) to design orally-delivered double-stranded (ds) RNAs that selectively killed target species. Fruit flies (Drosophila melanogaster), flour beetles (Tribolium castaneum), pea aphids (Acyrthosiphon pisum), and tobacco hornworms (Manduca sexta) were selectively killed when fed species-specific dsRNA targeting vATPase transcripts. We also demonstrate that even closely related species can be selectively killed by feeding on dsRNAs that target the more variable regions of genes, such as the 3??? untranslated regions (UTRs): four species of the genus Drosophila were selectively killed by feeding on short (&lt;40??nt) dsRNAs that targeted the 3??? UTR of the ??-tubulin gene. For the aphid nymphs and beetle and moth larvae, dsRNA could simply be dissolved into their diets, but to induce RNAi in the drosophilid species, the dsRNAs needed to be encapsulated in liposomes to help facilitate uptake of the dsRNA. This is the first demonstration of RNAi following ingestion of dsRNA in all of the species tested, and the method offers promise of both higher throughput RNAi screens and the development of a new generation of species-specific insecticides. ?? 2009 Elsevier Ltd. All rights reserved.","author":[{"dropping-particle":"","family":"Whyard","given":"Steven","non-dropping-particle":"","parse-names":false,"suffix":""},{"dropping-particle":"","family":"Singh","given":"Aditi D.","non-dropping-particle":"","parse-names":false,"suffix":""},{"dropping-particle":"","family":"Wong","given":"Sylvia","non-dropping-particle":"","parse-names":false,"suffix":""}],"container-title":"Insect Biochemistry and Molecular Biology","id":"ITEM-1","issue":"11","issued":{"date-parts":[["2009"]]},"page":"824-832","publisher":"Elsevier Ltd","title":"Ingested double-stranded RNAs can act as species-specific insecticides","type":"article-journal","volume":"39"},"uris":["http://www.mendeley.com/documents/?uuid=ac5458db-fc7e-4c32-a34e-0fc4e6b9a96e"]}],"mendeley":{"formattedCitation":"(Whyard, Singh and Wong, 2009)","plainTextFormattedCitation":"(Whyard, Singh and Wong, 2009)","previouslyFormattedCitation":"(Whyard, Singh and Wong, 2009)"},"properties":{"noteIndex":0},"schema":"https://github.com/citation-style-language/schema/raw/master/csl-citation.json"}</w:instrText>
      </w:r>
      <w:r w:rsidR="005C0E76" w:rsidRPr="00D6722B">
        <w:fldChar w:fldCharType="separate"/>
      </w:r>
      <w:r w:rsidRPr="00D6722B">
        <w:rPr>
          <w:noProof/>
        </w:rPr>
        <w:t>(Whyard, Singh and Wong, 2009)</w:t>
      </w:r>
      <w:r w:rsidR="005C0E76" w:rsidRPr="00D6722B">
        <w:fldChar w:fldCharType="end"/>
      </w:r>
      <w:r w:rsidRPr="00D6722B">
        <w:t xml:space="preserve">. A single example exists of </w:t>
      </w:r>
      <w:r w:rsidR="00345A6E" w:rsidRPr="00D6722B">
        <w:t>RN</w:t>
      </w:r>
      <w:r w:rsidR="00754AD5" w:rsidRPr="00D6722B">
        <w:t>A</w:t>
      </w:r>
      <w:r w:rsidR="00345A6E" w:rsidRPr="00D6722B">
        <w:t>i induction</w:t>
      </w:r>
      <w:r w:rsidRPr="00D6722B">
        <w:t xml:space="preserve"> in </w:t>
      </w:r>
      <w:r w:rsidRPr="00D6722B">
        <w:rPr>
          <w:i/>
        </w:rPr>
        <w:t>Drosophila</w:t>
      </w:r>
      <w:r w:rsidRPr="00D6722B">
        <w:t xml:space="preserve"> by means of soaking dechorionated embryos in a dsRNA solution </w:t>
      </w:r>
      <w:r w:rsidR="005C0E76" w:rsidRPr="00D6722B">
        <w:fldChar w:fldCharType="begin" w:fldLock="1"/>
      </w:r>
      <w:r w:rsidRPr="00D6722B">
        <w:instrText>ADDIN CSL_CITATION {"citationItems":[{"id":"ITEM-1","itemData":{"DOI":"10.1016/S0896-6273(02)00721-3","ISSN":"08966273","author":[{"dropping-particle":"","family":"Eaton","given":"Benjamin A","non-dropping-particle":"","parse-names":false,"suffix":""},{"dropping-particle":"","family":"Fetter","given":"Richard D","non-dropping-particle":"","parse-names":false,"suffix":""},{"dropping-particle":"","family":"Davis","given":"Graeme W","non-dropping-particle":"","parse-names":false,"suffix":""}],"container-title":"Neuron","id":"ITEM-1","issue":"5","issued":{"date-parts":[["2002","5"]]},"page":"729-741","title":"Dynactin Is Necessary for Synapse Stabilization","type":"article-journal","volume":"34"},"uris":["http://www.mendeley.com/documents/?uuid=fd290241-e1eb-309b-bd23-dd82a9c2b841"]}],"mendeley":{"formattedCitation":"(Eaton, Fetter and Davis, 2002)","plainTextFormattedCitation":"(Eaton, Fetter and Davis, 2002)","previouslyFormattedCitation":"(Eaton, Fetter and Davis, 2002)"},"properties":{"noteIndex":0},"schema":"https://github.com/citation-style-language/schema/raw/master/csl-citation.json"}</w:instrText>
      </w:r>
      <w:r w:rsidR="005C0E76" w:rsidRPr="00D6722B">
        <w:fldChar w:fldCharType="separate"/>
      </w:r>
      <w:r w:rsidRPr="00D6722B">
        <w:rPr>
          <w:noProof/>
        </w:rPr>
        <w:t>(Eaton, Fetter and Davis, 2002)</w:t>
      </w:r>
      <w:r w:rsidR="005C0E76" w:rsidRPr="00D6722B">
        <w:fldChar w:fldCharType="end"/>
      </w:r>
      <w:r w:rsidRPr="00D6722B">
        <w:t xml:space="preserve"> though the mechanism of uptake is unclear</w:t>
      </w:r>
      <w:r w:rsidR="00956B4A" w:rsidRPr="00D6722B">
        <w:t xml:space="preserve"> and this method is not suitable for delivery of an insecticide</w:t>
      </w:r>
      <w:r w:rsidRPr="00D6722B">
        <w:t xml:space="preserve">. Delivery of dsRNA by feeding has been </w:t>
      </w:r>
      <w:r w:rsidRPr="00D6722B">
        <w:lastRenderedPageBreak/>
        <w:t>successfully achieved however, by means of encapsulating the dsRNA in a transfection reagent (Lipofectamine 2000 being most effective) prior to feeding, though the effect was limited to the midgut cells alone likely due to the lack of SID-like receptors</w:t>
      </w:r>
      <w:r w:rsidR="00956B4A" w:rsidRPr="00D6722B">
        <w:t xml:space="preserve"> </w:t>
      </w:r>
      <w:r w:rsidRPr="00D6722B">
        <w:t xml:space="preserve">in </w:t>
      </w:r>
      <w:r w:rsidRPr="00D6722B">
        <w:rPr>
          <w:i/>
        </w:rPr>
        <w:t>Drosophila</w:t>
      </w:r>
      <w:r w:rsidRPr="00D6722B">
        <w:t xml:space="preserve"> midgut cells </w:t>
      </w:r>
      <w:r w:rsidR="005C0E76" w:rsidRPr="00D6722B">
        <w:fldChar w:fldCharType="begin" w:fldLock="1"/>
      </w:r>
      <w:r w:rsidRPr="00D6722B">
        <w:instrText>ADDIN CSL_CITATION {"citationItems":[{"id":"ITEM-1","itemData":{"DOI":"10.1016/j.ibmb.2009.09.007","ISBN":"1879-0240 (Electronic)\\r0965-1748 (Linking)","ISSN":"09651748","PMID":"19815067","abstract":"A serious shortcoming of many insecticides is that they can kill non-target species. To address this issue, we harnessed the sequence specificity of RNA interference (RNAi) to design orally-delivered double-stranded (ds) RNAs that selectively killed target species. Fruit flies (Drosophila melanogaster), flour beetles (Tribolium castaneum), pea aphids (Acyrthosiphon pisum), and tobacco hornworms (Manduca sexta) were selectively killed when fed species-specific dsRNA targeting vATPase transcripts. We also demonstrate that even closely related species can be selectively killed by feeding on dsRNAs that target the more variable regions of genes, such as the 3??? untranslated regions (UTRs): four species of the genus Drosophila were selectively killed by feeding on short (&lt;40??nt) dsRNAs that targeted the 3??? UTR of the ??-tubulin gene. For the aphid nymphs and beetle and moth larvae, dsRNA could simply be dissolved into their diets, but to induce RNAi in the drosophilid species, the dsRNAs needed to be encapsulated in liposomes to help facilitate uptake of the dsRNA. This is the first demonstration of RNAi following ingestion of dsRNA in all of the species tested, and the method offers promise of both higher throughput RNAi screens and the development of a new generation of species-specific insecticides. ?? 2009 Elsevier Ltd. All rights reserved.","author":[{"dropping-particle":"","family":"Whyard","given":"Steven","non-dropping-particle":"","parse-names":false,"suffix":""},{"dropping-particle":"","family":"Singh","given":"Aditi D.","non-dropping-particle":"","parse-names":false,"suffix":""},{"dropping-particle":"","family":"Wong","given":"Sylvia","non-dropping-particle":"","parse-names":false,"suffix":""}],"container-title":"Insect Biochemistry and Molecular Biology","id":"ITEM-1","issue":"11","issued":{"date-parts":[["2009"]]},"page":"824-832","publisher":"Elsevier Ltd","title":"Ingested double-stranded RNAs can act as species-specific insecticides","type":"article-journal","volume":"39"},"uris":["http://www.mendeley.com/documents/?uuid=ac5458db-fc7e-4c32-a34e-0fc4e6b9a96e"]}],"mendeley":{"formattedCitation":"(Whyard, Singh and Wong, 2009)","plainTextFormattedCitation":"(Whyard, Singh and Wong, 2009)","previouslyFormattedCitation":"(Whyard, Singh and Wong, 2009)"},"properties":{"noteIndex":0},"schema":"https://github.com/citation-style-language/schema/raw/master/csl-citation.json"}</w:instrText>
      </w:r>
      <w:r w:rsidR="005C0E76" w:rsidRPr="00D6722B">
        <w:fldChar w:fldCharType="separate"/>
      </w:r>
      <w:r w:rsidRPr="00D6722B">
        <w:rPr>
          <w:noProof/>
        </w:rPr>
        <w:t>(Whyard, Singh and Wong, 2009)</w:t>
      </w:r>
      <w:r w:rsidR="005C0E76" w:rsidRPr="00D6722B">
        <w:fldChar w:fldCharType="end"/>
      </w:r>
      <w:r w:rsidR="00135AC5">
        <w:t xml:space="preserve"> and therefore possible lack of exocytosis of the dsRNA from these cells</w:t>
      </w:r>
      <w:r w:rsidRPr="00D6722B">
        <w:t>. The lack of systemic effect limits the RNAi targets available for knockdown by a feeding strategy to targets in midgut epithelial cells.</w:t>
      </w:r>
      <w:r w:rsidR="004D39CA" w:rsidRPr="00D6722B">
        <w:t xml:space="preserve"> </w:t>
      </w:r>
      <w:r w:rsidRPr="00D6722B">
        <w:t xml:space="preserve">A possible feeding strategy that has not yet been tested is supplementing the diet of </w:t>
      </w:r>
      <w:r w:rsidRPr="00D6722B">
        <w:rPr>
          <w:i/>
        </w:rPr>
        <w:t>Drosophila</w:t>
      </w:r>
      <w:r w:rsidRPr="00D6722B">
        <w:t xml:space="preserve"> with a transgenic yeast or </w:t>
      </w:r>
      <w:r w:rsidRPr="00D6722B">
        <w:rPr>
          <w:i/>
        </w:rPr>
        <w:t>E. coli</w:t>
      </w:r>
      <w:r w:rsidRPr="00D6722B">
        <w:t xml:space="preserve"> strain modifie</w:t>
      </w:r>
      <w:r w:rsidR="004D39CA" w:rsidRPr="00D6722B">
        <w:t xml:space="preserve">d to express the relevant dsRNA, though this method has been successful in other species </w:t>
      </w:r>
      <w:r w:rsidR="005C0E76" w:rsidRPr="00D6722B">
        <w:fldChar w:fldCharType="begin" w:fldLock="1"/>
      </w:r>
      <w:r w:rsidR="004D39CA" w:rsidRPr="00D6722B">
        <w:instrText>ADDIN CSL_CITATION {"citationItems":[{"id":"ITEM-1","itemData":{"DOI":"10.1371/journal.pone.0132631","ISBN":"1932-6203 (Electronic)\\r1932-6203 (Linking)","ISSN":"19326203","PMID":"26171783","abstract":"BACKGROUND: Oral toxicity of double-stranded RNA (dsRNA) specific to integrin beta1 subunit (SeINT) was known in a polyphagous insect pest, Spodoptera exigua. For an application of the dsRNA to control the insect pest, this study prepared a transformed Escherichia coli expressing dsRNA specific to SeINT. PRINCIPAL FINDINGS: The dsRNA expression was driven by T7 RNA polymerase overexpressed by an inducer in the transformed E. coli. The produced dsRNA amount was proportional to the number of the cultured bacteria. The transformed bacteria gave a significant oral toxicity to S. exigua larvae with a significant reduction of the SeINT expression. The resulting insect mortality increased with the fed number of the bacteria. Pretreatment with an ultra-sonication to disrupt bacterial cell wall/membrane significantly increased the insecticidal activity of the transformed bacteria. The larvae treated with the transformed bacteria suffered tissue damage in the midgut epithelium, which exhibited a marked loss of cell-cell contacts and underwent a remarkable cell death. Moreover, these treated larvae became significantly susceptible to a Cry toxin derived from Bacillus thuringiensis (Bt). CONCLUSIONS: This study provides a novel and highly efficient application technique to use dsRNA specific to an integrin gene by mixing with a biopesticide, Bt.","author":[{"dropping-particle":"","family":"Kim","given":"Eunseong","non-dropping-particle":"","parse-names":false,"suffix":""},{"dropping-particle":"","family":"Park","given":"Youngjin","non-dropping-particle":"","parse-names":false,"suffix":""},{"dropping-particle":"","family":"Kim","given":"Yonggyun","non-dropping-particle":"","parse-names":false,"suffix":""},{"dropping-particle":"","family":"Ling","given":"Erjun","non-dropping-particle":"","parse-names":false,"suffix":""}],"container-title":"PLoS ONE","id":"ITEM-1","issue":"7","issued":{"date-parts":[["2015"]]},"page":"1-15","title":"A transformed bacterium expressing double-stranded RNA specific to integrin β1 enhances Bt Toxin efficacy against a polyphagous insect pest, Spodoptera exigua","type":"article-journal","volume":"10"},"uris":["http://www.mendeley.com/documents/?uuid=c12296ed-408b-4c45-9104-2726f55eac35"]},{"id":"ITEM-2","itemData":{"DOI":"10.1080/19420889.2016.1236163","ISSN":"19420889","PMID":"28042376","abstract":"RNA interference (RNAi) by oral delivery of dsRNA in insects has great potential  as a tool for integrated pest management (IPM), especially with respect to addressing the need to reduce off-target effect and slow down resistance development to chemical insecticides. Employing the natural association existing between insect and yeast, we developed a novel method to enable the knock down of vital genes in the pest insect Drosophila suzukii through oral delivery of species-specific dsRNA using genetically modified Saccharomyces cerevisae. D. suzukii that were fed with our \"yeast biopesticide\" showed a significant decrease in fitness. In this perspective article, we postulate that this approach could be adapted to a large number of species, given the great diversity of symbiotic interactions involving microorganisms and host species. Furthermore, we speculate that beyond its application as biopesticide, dsRNA delivery by genetically modified microbes can also serve to facilitate reverse genetic applications, specifically in non-model organisms.","author":[{"dropping-particle":"","family":"Abrieux","given":"Antoine","non-dropping-particle":"","parse-names":false,"suffix":""},{"dropping-particle":"","family":"Chiu","given":"Joanna C.","non-dropping-particle":"","parse-names":false,"suffix":""}],"container-title":"Communicative and Integrative Biology","id":"ITEM-2","issue":"6","issued":{"date-parts":[["2016"]]},"page":"1-4","publisher":"Taylor &amp; Francis","title":"Oral delivery of dsRNA by microbes: Beyond pest control","type":"article-journal","volume":"9"},"uris":["http://www.mendeley.com/documents/?uuid=bfd4ab20-beab-425e-ad51-5d252562c5e0"]}],"mendeley":{"formattedCitation":"(Kim &lt;i&gt;et al.&lt;/i&gt;, 2015; Abrieux and Chiu, 2016)","plainTextFormattedCitation":"(Kim et al., 2015; Abrieux and Chiu, 2016)","previouslyFormattedCitation":"(Kim &lt;i&gt;et al.&lt;/i&gt;, 2015; Abrieux and Chiu, 2016)"},"properties":{"noteIndex":0},"schema":"https://github.com/citation-style-language/schema/raw/master/csl-citation.json"}</w:instrText>
      </w:r>
      <w:r w:rsidR="005C0E76" w:rsidRPr="00D6722B">
        <w:fldChar w:fldCharType="separate"/>
      </w:r>
      <w:r w:rsidR="004D39CA" w:rsidRPr="00D6722B">
        <w:rPr>
          <w:noProof/>
        </w:rPr>
        <w:t xml:space="preserve">(Kim </w:t>
      </w:r>
      <w:r w:rsidR="004D39CA" w:rsidRPr="00D6722B">
        <w:rPr>
          <w:i/>
          <w:noProof/>
        </w:rPr>
        <w:t>et al.</w:t>
      </w:r>
      <w:r w:rsidR="004D39CA" w:rsidRPr="00D6722B">
        <w:rPr>
          <w:noProof/>
        </w:rPr>
        <w:t>, 2015; Abrieux and Chiu, 2016)</w:t>
      </w:r>
      <w:r w:rsidR="005C0E76" w:rsidRPr="00D6722B">
        <w:fldChar w:fldCharType="end"/>
      </w:r>
      <w:r w:rsidR="004D39CA" w:rsidRPr="00D6722B">
        <w:t>.</w:t>
      </w:r>
    </w:p>
    <w:p w:rsidR="00256BC4" w:rsidRPr="00D6722B" w:rsidRDefault="00256BC4" w:rsidP="000441D9">
      <w:pPr>
        <w:spacing w:line="360" w:lineRule="auto"/>
        <w:ind w:firstLine="284"/>
      </w:pPr>
      <w:r w:rsidRPr="00D6722B">
        <w:t xml:space="preserve">Delivery of siRNAs </w:t>
      </w:r>
      <w:r w:rsidR="0038054D" w:rsidRPr="00D6722B">
        <w:t xml:space="preserve">to insects </w:t>
      </w:r>
      <w:r w:rsidRPr="00D6722B">
        <w:t>by complexing</w:t>
      </w:r>
      <w:r w:rsidR="0038054D" w:rsidRPr="00D6722B">
        <w:t xml:space="preserve"> the siRNAs</w:t>
      </w:r>
      <w:r w:rsidRPr="00D6722B">
        <w:t xml:space="preserve"> with cationic polymers has been explored </w:t>
      </w:r>
      <w:r w:rsidR="005C0E76" w:rsidRPr="00D6722B">
        <w:fldChar w:fldCharType="begin" w:fldLock="1"/>
      </w:r>
      <w:r w:rsidRPr="00D6722B">
        <w:instrText>ADDIN CSL_CITATION {"citationItems":[{"id":"ITEM-1","itemData":{"DOI":"10.1016/j.biotechadv.2012.09.002","ISSN":"07349750","PMID":"22985697","abstract":"Small interfering RNA (siRNA) holds a great promise for the future of genomic medicine because of its highly sequence-specific gene silencing and universality in therapeutic target. The medical use of siRNA, however, has been severely hampered by the inherent physico-chemical properties of siRNA itself, such as low charge density, high structural stiffness and rapid enzymatic degradation; therefore, the establishment of efficient and safe siRNA delivery methodology is an essential prerequisite, particularly for systemic administration. For an efficient systemic siRNA delivery, it is a critical issue to obtain small and compact siRNA polyplexes with cationic condensing reagents including cationic polymers, because the size and surface properties of the polyplexes are major determinants for achieving desirable in vivo fate. Unfortunately, synthetic siRNA is not easily condensed with cationic polymers due to its intrinsic rigid structure and low spatial charge density. Accordingly, the loose siRNA polyplexes inevitably expose siRNA to the extracellular environment during systemic circulation, resulting in low therapeutic efficiency and poor biodistribution. In this review, we highlight the innovative approaches to increase the size of siRNA via structural modification of the siRNA itself. The attempts include several methodologies such as hybridization, chemical polymerization, and micro- and nano-structurization of siRNA. Due to its increased charge density and flexibility, the structured siRNA can produce highly condensed and homogenous polyplexes compared to the classical monomeric siRNA. As a result, stable and compact siRNA polyplexes can enhance serum stability and target delivery efficiency in vivo with desirable biodistribution. The review specifically aims to provide the recent progress of structural modification of siRNA. In addition, the article also briefly and concisely explains the improved physico-chemical properties of structured siRNA with respect to stability, condensation ability and gene silencing efficiency. © 2012 Elsevier Inc.","author":[{"dropping-particle":"","family":"Lee","given":"So Jin","non-dropping-particle":"","parse-names":false,"suffix":""},{"dropping-particle":"","family":"Son","given":"Sejin","non-dropping-particle":"","parse-names":false,"suffix":""},{"dropping-particle":"","family":"Yhee","given":"Ji Young","non-dropping-particle":"","parse-names":false,"suffix":""},{"dropping-particle":"","family":"Choi","given":"Kuiwon","non-dropping-particle":"","parse-names":false,"suffix":""},{"dropping-particle":"","family":"Kwon","given":"Ick Chan","non-dropping-particle":"","parse-names":false,"suffix":""},{"dropping-particle":"","family":"Kim","given":"Sun Hwa","non-dropping-particle":"","parse-names":false,"suffix":""},{"dropping-particle":"","family":"Kim","given":"Kwangmeyung","non-dropping-particle":"","parse-names":false,"suffix":""}],"container-title":"Biotechnology Advances","id":"ITEM-1","issue":"5","issued":{"date-parts":[["2013"]]},"page":"491-503","title":"Structural modification of siRNA for efficient gene silencing","type":"article-journal","volume":"31"},"uris":["http://www.mendeley.com/documents/?uuid=961de451-1366-428a-9770-0eb13c3b510b"]}],"mendeley":{"formattedCitation":"(Lee &lt;i&gt;et al.&lt;/i&gt;, 2013)","plainTextFormattedCitation":"(Lee et al., 2013)","previouslyFormattedCitation":"(Lee &lt;i&gt;et al.&lt;/i&gt;, 2013)"},"properties":{"noteIndex":0},"schema":"https://github.com/citation-style-language/schema/raw/master/csl-citation.json"}</w:instrText>
      </w:r>
      <w:r w:rsidR="005C0E76" w:rsidRPr="00D6722B">
        <w:fldChar w:fldCharType="separate"/>
      </w:r>
      <w:r w:rsidRPr="00D6722B">
        <w:rPr>
          <w:noProof/>
        </w:rPr>
        <w:t xml:space="preserve">(Lee </w:t>
      </w:r>
      <w:r w:rsidRPr="00D6722B">
        <w:rPr>
          <w:i/>
          <w:noProof/>
        </w:rPr>
        <w:t>et al.</w:t>
      </w:r>
      <w:r w:rsidRPr="00D6722B">
        <w:rPr>
          <w:noProof/>
        </w:rPr>
        <w:t>, 2013)</w:t>
      </w:r>
      <w:r w:rsidR="005C0E76" w:rsidRPr="00D6722B">
        <w:fldChar w:fldCharType="end"/>
      </w:r>
      <w:r w:rsidRPr="00D6722B">
        <w:t xml:space="preserve">, as has complexing siRNAs with N-acetylgalactosamine </w:t>
      </w:r>
      <w:r w:rsidR="005C0E76" w:rsidRPr="00D6722B">
        <w:fldChar w:fldCharType="begin" w:fldLock="1"/>
      </w:r>
      <w:r w:rsidRPr="00D6722B">
        <w:instrText>ADDIN CSL_CITATION {"citationItems":[{"id":"ITEM-1","itemData":{"DOI":"10.1021/ja505986a","ISSN":"15205126","PMID":"25434769","author":[{"dropping-particle":"","family":"K. Nair","given":"Jayaprakash","non-dropping-particle":"","parse-names":false,"suffix":""},{"dropping-particle":"","family":"Willoughby","given":"Jennifer","non-dropping-particle":"","parse-names":false,"suffix":""},{"dropping-particle":"","family":"Chan","given":"Amy","non-dropping-particle":"","parse-names":false,"suffix":""},{"dropping-particle":"","family":"Charisse","given":"Klaus","non-dropping-particle":"","parse-names":false,"suffix":""},{"dropping-particle":"","family":"Alam","given":"Md. Rowshon","non-dropping-particle":"","parse-names":false,"suffix":""},{"dropping-particle":"","family":"Wang","given":"Qianfan","non-dropping-particle":"","parse-names":false,"suffix":""},{"dropping-particle":"","family":"Hoekstra","given":"Menno","non-dropping-particle":"","parse-names":false,"suffix":""},{"dropping-particle":"","family":"Kandasamy","given":"Pachamuthu","non-dropping-particle":"","parse-names":false,"suffix":""},{"dropping-particle":"","family":"Kelin","given":"Alexandar","non-dropping-particle":"","parse-names":false,"suffix":""},{"dropping-particle":"","family":"Milstein","given":"Stuart","non-dropping-particle":"","parse-names":false,"suffix":""},{"dropping-particle":"","family":"Taneja","given":"Nate","non-dropping-particle":"","parse-names":false,"suffix":""},{"dropping-particle":"","family":"O’Shea","given":"Jonathan","non-dropping-particle":"","parse-names":false,"suffix":""},{"dropping-particle":"","family":"Shaikh","given":"Sarfraz","non-dropping-particle":"","parse-names":false,"suffix":""},{"dropping-particle":"","family":"Zhang","given":"Ligang","non-dropping-particle":"","parse-names":false,"suffix":""},{"dropping-particle":"","family":"Sluis","given":"Ronald","non-dropping-particle":"van der","parse-names":false,"suffix":""},{"dropping-particle":"","family":"Berkel","given":"Theo","non-dropping-particle":"van","parse-names":false,"suffix":""},{"dropping-particle":"","family":"Jung","given":"Michael","non-dropping-particle":"","parse-names":false,"suffix":""},{"dropping-particle":"","family":"Akinc","given":"Akin","non-dropping-particle":"","parse-names":false,"suffix":""},{"dropping-particle":"","family":"Hutabarat","given":"Renta","non-dropping-particle":"","parse-names":false,"suffix":""},{"dropping-particle":"","family":"Kuchimanchi","given":"Satya","non-dropping-particle":"","parse-names":false,"suffix":""},{"dropping-particle":"","family":"Fitzgerald","given":"Kevin","non-dropping-particle":"","parse-names":false,"suffix":""},{"dropping-particle":"","family":"Zimmermann","given":"Tracy","non-dropping-particle":"","parse-names":false,"suffix":""},{"dropping-particle":"","family":"Maier","given":"Martin","non-dropping-particle":"","parse-names":false,"suffix":""},{"dropping-particle":"","family":"Rajeev","given":"Kallanthottathil","non-dropping-particle":"","parse-names":false,"suffix":""},{"dropping-particle":"","family":"Manoharan","given":"Muthiah","non-dropping-particle":"","parse-names":false,"suffix":""}],"container-title":"Jacs","id":"ITEM-1","issued":{"date-parts":[["2014"]]},"title":"Multivalent N-Acetylgalactosamine-Conjugated siRNA Localizes in Hepatocytes and Elicits Robust RNAi-mediated Gene Silencing","type":"article-journal"},"uris":["http://www.mendeley.com/documents/?uuid=309f66b7-0070-44fb-8aac-d74fec1e09ac"]}],"mendeley":{"formattedCitation":"(K. Nair &lt;i&gt;et al.&lt;/i&gt;, 2014)","plainTextFormattedCitation":"(K. Nair et al., 2014)","previouslyFormattedCitation":"(K. Nair &lt;i&gt;et al.&lt;/i&gt;, 2014)"},"properties":{"noteIndex":0},"schema":"https://github.com/citation-style-language/schema/raw/master/csl-citation.json"}</w:instrText>
      </w:r>
      <w:r w:rsidR="005C0E76" w:rsidRPr="00D6722B">
        <w:fldChar w:fldCharType="separate"/>
      </w:r>
      <w:r w:rsidRPr="00D6722B">
        <w:rPr>
          <w:noProof/>
        </w:rPr>
        <w:t xml:space="preserve">(K. Nair </w:t>
      </w:r>
      <w:r w:rsidRPr="00D6722B">
        <w:rPr>
          <w:i/>
          <w:noProof/>
        </w:rPr>
        <w:t>et al.</w:t>
      </w:r>
      <w:r w:rsidRPr="00D6722B">
        <w:rPr>
          <w:noProof/>
        </w:rPr>
        <w:t>, 2014)</w:t>
      </w:r>
      <w:r w:rsidR="005C0E76" w:rsidRPr="00D6722B">
        <w:fldChar w:fldCharType="end"/>
      </w:r>
      <w:r w:rsidRPr="00D6722B">
        <w:t xml:space="preserve"> and lipid formulations </w:t>
      </w:r>
      <w:r w:rsidR="005C0E76" w:rsidRPr="00D6722B">
        <w:fldChar w:fldCharType="begin" w:fldLock="1"/>
      </w:r>
      <w:r w:rsidRPr="00D6722B">
        <w:instrText>ADDIN CSL_CITATION {"citationItems":[{"id":"ITEM-1","itemData":{"DOI":"10.1186/1758-907X-1-14","ISSN":"1758-907X","PMID":"20615220","abstract":"Fire and Mello initiated the current explosion of interest in RNA interference (RNAi) biology with their seminal work in Caenorhabditis elegans. These observations were closely followed by the demonstration of RNAi in Drosophila melanogaster. However, the full potential of these new discoveries only became clear when Tuschl and colleagues showed that 21-22 bp RNA duplexes with 3\" overhangs, termed small interfering (si)RNAs, could reliably execute RNAi in a range of mammalian cells. Soon afterwards, it became clear that many different human cell types had endogenous machinery, the RNA-induced silencing complex (RISC), which could be harnessed to silence any gene in the genome. Beyond the availability of a novel way to dissect biology, an important target validation tool was now available. More importantly, two key properties of the RNAi pathway - sequence-mediated specificity and potency - suggested that RNAi might be the most important pharmacological advance since the advent of protein therapeutics. The implications were profound. One could now envisage selecting disease-associated targets at will and expect to suppress proteins that had remained intractable to inhibition by conventional methods, such as small molecules. This review attempts to summarize the current understanding on siRNA lead discovery, the delivery of RNAi therapeutics, typical in vivo pharmacological profiles, preclinical safety evaluation and an overview of the 14 programs that have already entered clinical practice.","author":[{"dropping-particle":"","family":"Vaishnaw","given":"Akshay K","non-dropping-particle":"","parse-names":false,"suffix":""},{"dropping-particle":"","family":"Gollob","given":"Jared","non-dropping-particle":"","parse-names":false,"suffix":""},{"dropping-particle":"","family":"Gamba-Vitalo","given":"Christina","non-dropping-particle":"","parse-names":false,"suffix":""},{"dropping-particle":"","family":"Hutabarat","given":"Renta","non-dropping-particle":"","parse-names":false,"suffix":""},{"dropping-particle":"","family":"Sah","given":"Dinah","non-dropping-particle":"","parse-names":false,"suffix":""},{"dropping-particle":"","family":"Meyers","given":"Rachel","non-dropping-particle":"","parse-names":false,"suffix":""},{"dropping-particle":"","family":"Fougerolles","given":"Tony","non-dropping-particle":"de","parse-names":false,"suffix":""},{"dropping-particle":"","family":"Maraganore","given":"John","non-dropping-particle":"","parse-names":false,"suffix":""}],"container-title":"Silence","id":"ITEM-1","issue":"1","issued":{"date-parts":[["2010","7","8"]]},"page":"14","title":"A status report on RNAi therapeutics.","type":"article-journal","volume":"1"},"uris":["http://www.mendeley.com/documents/?uuid=bdfb3d47-d83e-3bfe-af7b-60b53b8816b6"]}],"mendeley":{"formattedCitation":"(Vaishnaw &lt;i&gt;et al.&lt;/i&gt;, 2010)","plainTextFormattedCitation":"(Vaishnaw et al., 2010)","previouslyFormattedCitation":"(Vaishnaw &lt;i&gt;et al.&lt;/i&gt;, 2010)"},"properties":{"noteIndex":0},"schema":"https://github.com/citation-style-language/schema/raw/master/csl-citation.json"}</w:instrText>
      </w:r>
      <w:r w:rsidR="005C0E76" w:rsidRPr="00D6722B">
        <w:fldChar w:fldCharType="separate"/>
      </w:r>
      <w:r w:rsidRPr="00D6722B">
        <w:rPr>
          <w:noProof/>
        </w:rPr>
        <w:t xml:space="preserve">(Vaishnaw </w:t>
      </w:r>
      <w:r w:rsidRPr="00D6722B">
        <w:rPr>
          <w:i/>
          <w:noProof/>
        </w:rPr>
        <w:t>et al.</w:t>
      </w:r>
      <w:r w:rsidRPr="00D6722B">
        <w:rPr>
          <w:noProof/>
        </w:rPr>
        <w:t>, 2010)</w:t>
      </w:r>
      <w:r w:rsidR="005C0E76" w:rsidRPr="00D6722B">
        <w:fldChar w:fldCharType="end"/>
      </w:r>
      <w:r w:rsidR="00135AC5">
        <w:t xml:space="preserve"> </w:t>
      </w:r>
      <w:r w:rsidRPr="00D6722B">
        <w:t xml:space="preserve">though this is largely outside the scope of the current project.   </w:t>
      </w:r>
    </w:p>
    <w:p w:rsidR="0010006A" w:rsidRDefault="0010006A" w:rsidP="000441D9">
      <w:pPr>
        <w:spacing w:line="360" w:lineRule="auto"/>
      </w:pPr>
    </w:p>
    <w:p w:rsidR="0010006A" w:rsidRDefault="0010006A" w:rsidP="000441D9">
      <w:pPr>
        <w:pStyle w:val="Heading4"/>
        <w:spacing w:line="360" w:lineRule="auto"/>
      </w:pPr>
      <w:bookmarkStart w:id="23" w:name="_Toc35333924"/>
      <w:r>
        <w:t>Production and delivery of dsRNA by plants</w:t>
      </w:r>
      <w:r w:rsidR="001828D8">
        <w:t xml:space="preserve"> and microorganisms</w:t>
      </w:r>
      <w:bookmarkEnd w:id="23"/>
      <w:r>
        <w:t xml:space="preserve"> </w:t>
      </w:r>
    </w:p>
    <w:p w:rsidR="001828D8" w:rsidRPr="00D6722B" w:rsidRDefault="00345A6E" w:rsidP="000441D9">
      <w:pPr>
        <w:pStyle w:val="ListParagraph"/>
        <w:spacing w:line="360" w:lineRule="auto"/>
        <w:ind w:left="0" w:firstLine="284"/>
      </w:pPr>
      <w:r w:rsidRPr="00D6722B">
        <w:t xml:space="preserve">Early research into dsRNA based </w:t>
      </w:r>
      <w:r w:rsidR="00DF090B" w:rsidRPr="00D6722B">
        <w:t xml:space="preserve">insecticides utilised the idea of producing dsRNA insecticides in the crop plants themselves </w:t>
      </w:r>
      <w:r w:rsidR="005C0E76" w:rsidRPr="00D6722B">
        <w:fldChar w:fldCharType="begin" w:fldLock="1"/>
      </w:r>
      <w:r w:rsidR="00196605" w:rsidRPr="00D6722B">
        <w:instrText>ADDIN CSL_CITATION {"citationItems":[{"id":"ITEM-1","itemData":{"DOI":"10.1038/nbt1352","ISBN":"1087-0156","ISSN":"10870156","PMID":"17982444","abstract":"We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Biotechnology","id":"ITEM-1","issue":"11","issued":{"date-parts":[["2007"]]},"page":"1307-1313","title":"Silencing a cotton bollworm P450 monooxygenase gene by plant-mediated RNAi impairs larval tolerance of gossypol","type":"article-journal","volume":"25"},"uris":["http://www.mendeley.com/documents/?uuid=30f4c137-f223-4428-b6ca-02cdb2aba4ea"]}],"mendeley":{"formattedCitation":"(Mao &lt;i&gt;et al.&lt;/i&gt;, 2007)","plainTextFormattedCitation":"(Mao et al., 2007)","previouslyFormattedCitation":"(Mao &lt;i&gt;et al.&lt;/i&gt;, 2007)"},"properties":{"noteIndex":0},"schema":"https://github.com/citation-style-language/schema/raw/master/csl-citation.json"}</w:instrText>
      </w:r>
      <w:r w:rsidR="005C0E76" w:rsidRPr="00D6722B">
        <w:fldChar w:fldCharType="separate"/>
      </w:r>
      <w:r w:rsidR="00DF090B" w:rsidRPr="00D6722B">
        <w:rPr>
          <w:noProof/>
        </w:rPr>
        <w:t xml:space="preserve">(Mao </w:t>
      </w:r>
      <w:r w:rsidR="00DF090B" w:rsidRPr="00D6722B">
        <w:rPr>
          <w:i/>
          <w:noProof/>
        </w:rPr>
        <w:t>et al.</w:t>
      </w:r>
      <w:r w:rsidR="00DF090B" w:rsidRPr="00D6722B">
        <w:rPr>
          <w:noProof/>
        </w:rPr>
        <w:t>, 2007)</w:t>
      </w:r>
      <w:r w:rsidR="005C0E76" w:rsidRPr="00D6722B">
        <w:fldChar w:fldCharType="end"/>
      </w:r>
      <w:r w:rsidR="00DF090B" w:rsidRPr="00D6722B">
        <w:t xml:space="preserve">. Mao and co-workers achieved silencing of the P450 gene in cotton bollworms fed on </w:t>
      </w:r>
      <w:r w:rsidR="00DF090B" w:rsidRPr="00D6722B">
        <w:rPr>
          <w:i/>
        </w:rPr>
        <w:t>Arabidopsis thaliana</w:t>
      </w:r>
      <w:r w:rsidR="00DF090B" w:rsidRPr="00D6722B">
        <w:t xml:space="preserve"> modified to produce the relevant dsRNA – long hairpin (hp) RNA in this case – and genetically modified to remove the plant’s Dicer-like enzymes. This suggests that where previous attempts at RNAi through plant-based dsRNA expression failed, this was simply because the dsRNA was not expressed at a high enough rate to prevent it mostly being ‘diced’ by plant Dicer enzymes before being consumed by insects feeding on the plant </w:t>
      </w:r>
      <w:r w:rsidR="005C0E76" w:rsidRPr="00D6722B">
        <w:fldChar w:fldCharType="begin" w:fldLock="1"/>
      </w:r>
      <w:r w:rsidR="00DF090B" w:rsidRPr="00D6722B">
        <w:instrText>ADDIN CSL_CITATION {"citationItems":[{"id":"ITEM-1","itemData":{"DOI":"10.1038/nbt1107-1231","ISBN":"1087-0156 (Print)\\r1087-0156 (Linking)","ISSN":"1087-0156","PMID":"17989682","abstract":"RNA interference induced in insects after ingestion of plant-expressed hairpin RNA offers promise for managing devastating crop pests. © 2007 Nature Publishing Group.","author":[{"dropping-particle":"","family":"Gordon","given":"Karl H J","non-dropping-particle":"","parse-names":false,"suffix":""},{"dropping-particle":"","family":"Waterhouse","given":"Peter M","non-dropping-particle":"","parse-names":false,"suffix":""}],"container-title":"Nature biotechnology","id":"ITEM-1","issue":"11","issued":{"date-parts":[["2007"]]},"page":"1231-1232","title":"RNAi for insect-proof plants.","type":"article-journal","volume":"25"},"uris":["http://www.mendeley.com/documents/?uuid=beae6d4a-e84a-4423-b284-ec8eed315563"]}],"mendeley":{"formattedCitation":"(Gordon and Waterhouse, 2007)","plainTextFormattedCitation":"(Gordon and Waterhouse, 2007)","previouslyFormattedCitation":"(Gordon and Waterhouse, 2007)"},"properties":{"noteIndex":0},"schema":"https://github.com/citation-style-language/schema/raw/master/csl-citation.json"}</w:instrText>
      </w:r>
      <w:r w:rsidR="005C0E76" w:rsidRPr="00D6722B">
        <w:fldChar w:fldCharType="separate"/>
      </w:r>
      <w:r w:rsidR="00DF090B" w:rsidRPr="00D6722B">
        <w:rPr>
          <w:noProof/>
        </w:rPr>
        <w:t>(Gordon and Waterhouse, 2007)</w:t>
      </w:r>
      <w:r w:rsidR="005C0E76" w:rsidRPr="00D6722B">
        <w:fldChar w:fldCharType="end"/>
      </w:r>
      <w:r w:rsidR="00DF090B" w:rsidRPr="00D6722B">
        <w:t xml:space="preserve">. Increasing the rate of hpRNA production in transgenic crop lines might therefore create a workable method for plant-based </w:t>
      </w:r>
      <w:r w:rsidRPr="00D6722B">
        <w:t>dsRNA bicontrol</w:t>
      </w:r>
      <w:r w:rsidR="00DF090B" w:rsidRPr="00D6722B">
        <w:t>s. Modifying crop lines to lack Dicer-like enzymes opens the plants</w:t>
      </w:r>
      <w:r w:rsidR="004F5C82" w:rsidRPr="00D6722B">
        <w:t xml:space="preserve"> to invasion by dsRNA viruses, therefore caution is required. </w:t>
      </w:r>
    </w:p>
    <w:p w:rsidR="006F1297" w:rsidRPr="00D6722B" w:rsidRDefault="00DF090B" w:rsidP="000441D9">
      <w:pPr>
        <w:spacing w:line="360" w:lineRule="auto"/>
        <w:ind w:firstLine="284"/>
      </w:pPr>
      <w:r w:rsidRPr="00D6722B">
        <w:t>The work of Baum et al and Mao et al opened up the possibility of modifying crop strains to protect themselves through RNAi by producing dsRNA targeted against their major insect pests.</w:t>
      </w:r>
      <w:r w:rsidR="007D2DB3" w:rsidRPr="00D6722B">
        <w:t xml:space="preserve"> A strain of corn expressing the dsRNA DvSnf7</w:t>
      </w:r>
      <w:r w:rsidR="00A551AB" w:rsidRPr="00D6722B">
        <w:t xml:space="preserve"> which targets western corn rootworm </w:t>
      </w:r>
      <w:r w:rsidR="005C0E76" w:rsidRPr="00D6722B">
        <w:fldChar w:fldCharType="begin" w:fldLock="1"/>
      </w:r>
      <w:r w:rsidR="000920B2" w:rsidRPr="00D6722B">
        <w:instrText>ADDIN CSL_CITATION {"citationItems":[{"id":"ITEM-1","itemData":{"DOI":"10.1016/j.yrtph.2016.08.001","ISBN":"0273-2300","ISSN":"10960295","abstract":"MON 87411 maize, which expresses DvSnf7 RNA, was developed to provide an additional mode of action to confer protection against corn rootworm (Diabrotica spp.). A critical step in the registration of a genetically engineered crop with an insecticidal trait is performing an ecological risk assessment to evaluate the potential for adverse ecological effects. For MON 87411, an assessment plan was developed that met specific protection goals by characterizing the routes and levels of exposure, and testing representative functional taxa that would be directly or indirectly exposed in the environment. The potential for toxicity of DvSnf7 RNA was evaluated with a harmonized battery of non-target organisms (NTOs) that included invertebrate predators, parasitoids, pollinators, soil biota as well as aquatic and terrestrial vertebrate species. Laboratory tests evaluated ecologically relevant endpoints such as survival, growth, development, and reproduction and were of sufficient duration to assess the potential for adverse effects. No adverse effects were observed with any species tested at, or above, the maximum expected environmental concentration (MEEC). All margins of exposure for NTOs were &gt;10-fold the MEEC. Therefore, it is reasonable to conclude that exposure to DvSnf7 RNA, both directly and indirectly, is safe for NTOs at the expected field exposure levels.","author":[{"dropping-particle":"","family":"Bachman","given":"Pamela M.","non-dropping-particle":"","parse-names":false,"suffix":""},{"dropping-particle":"","family":"Huizinga","given":"Kristin M.","non-dropping-particle":"","parse-names":false,"suffix":""},{"dropping-particle":"","family":"Jensen","given":"Peter D.","non-dropping-particle":"","parse-names":false,"suffix":""},{"dropping-particle":"","family":"Mueller","given":"Geoffrey","non-dropping-particle":"","parse-names":false,"suffix":""},{"dropping-particle":"","family":"Tan","given":"Jianguo","non-dropping-particle":"","parse-names":false,"suffix":""},{"dropping-particle":"","family":"Uffman","given":"Joshua P.","non-dropping-particle":"","parse-names":false,"suffix":""},{"dropping-particle":"","family":"Levine","given":"Steven L.","non-dropping-particle":"","parse-names":false,"suffix":""}],"container-title":"Regulatory Toxicology and Pharmacology","id":"ITEM-1","issued":{"date-parts":[["2016"]]},"page":"77-88","publisher":"Elsevier Ltd","title":"Ecological risk assessment for DvSnf7 RNA: A plant-incorporated protectant with targeted activity against western corn rootworm","type":"article-journal","volume":"81"},"uris":["http://www.mendeley.com/documents/?uuid=c4f35156-fc33-4731-b616-c15e657a4ff1"]},{"id":"ITEM-2","itemData":{"DOI":"10.1002/etc.3075","ISSN":"1552-8618","PMID":"26011006","abstract":"The honey bee (Apis mellifera L.) is the most important managed pollinator species worldwide and plays a critical role in the pollination of a diverse range of economically important crops. This species is important to agriculture and historically has been used as a surrogate species for pollinators to evaluate the potential adverse effects for conventional, biological, and microbial pesticides, as well as for genetically engineered plants that produce pesticidal products. As part of the ecological risk assessment of MON 87411 maize, which expresses a double-stranded RNA targeting the Snf7 ortholog (DvSnf7) in western corn rootworm (Diabrotica virgifera virgifera), dietary feeding studies with honey bee larvae and adults were conducted. Based on the mode of action of the DvSnf7 RNA in western corn rootworm, the present studies were designed to be of sufficient duration to evaluate the potential for adverse effects on larval survival and development through emergence and adult survival to a significant portion of the adult stage. Testing was conducted at concentrations of DvSnf7 RNA that greatly exceeded environmentally relevant exposure levels based on expression levels in maize pollen. No adverse effects were observed in either larval or adult honey bees at these high exposure levels, providing a large margin of safety between environmental exposure levels and no-observed-adverse-effect levels.","author":[{"dropping-particle":"","family":"Tan","given":"Jianguo","non-dropping-particle":"","parse-names":false,"suffix":""},{"dropping-particle":"","family":"Levine","given":"Steven L","non-dropping-particle":"","parse-names":false,"suffix":""},{"dropping-particle":"","family":"Bachman","given":"Pamela M","non-dropping-particle":"","parse-names":false,"suffix":""},{"dropping-particle":"","family":"Jensen","given":"Peter D","non-dropping-particle":"","parse-names":false,"suffix":""},{"dropping-particle":"","family":"Mueller","given":"Geoffrey M","non-dropping-particle":"","parse-names":false,"suffix":""},{"dropping-particle":"","family":"Uffman","given":"Joshua P","non-dropping-particle":"","parse-names":false,"suffix":""},{"dropping-particle":"","family":"Meng","given":"Chen","non-dropping-particle":"","parse-names":false,"suffix":""},{"dropping-particle":"","family":"Song","given":"Zihong","non-dropping-particle":"","parse-names":false,"suffix":""},{"dropping-particle":"","family":"Richards","given":"Kathy B","non-dropping-particle":"","parse-names":false,"suffix":""},{"dropping-particle":"","family":"Beevers","given":"Michael H","non-dropping-particle":"","parse-names":false,"suffix":""}],"container-title":"Environmental toxicology and chemistry","id":"ITEM-2","issue":"2","issued":{"date-parts":[["2016","2"]]},"page":"287-94","publisher":"Wiley-Blackwell","title":"No impact of DvSnf7 RNA on honey bee (Apis mellifera L.) adults and larvae in dietary feeding tests.","type":"article-journal","volume":"35"},"uris":["http://www.mendeley.com/documents/?uuid=238fb4af-8cc8-3429-94e8-ffacce283fa5"]}],"mendeley":{"formattedCitation":"(Bachman &lt;i&gt;et al.&lt;/i&gt;, 2016a; Tan, Steven L Levine, &lt;i&gt;et al.&lt;/i&gt;, 2016)","plainTextFormattedCitation":"(Bachman et al., 2016a; Tan, Steven L Levine, et al., 2016)","previouslyFormattedCitation":"(Bachman &lt;i&gt;et al.&lt;/i&gt;, 2016a; Tan, Steven L Levine, &lt;i&gt;et al.&lt;/i&gt;, 2016)"},"properties":{"noteIndex":0},"schema":"https://github.com/citation-style-language/schema/raw/master/csl-citation.json"}</w:instrText>
      </w:r>
      <w:r w:rsidR="005C0E76" w:rsidRPr="00D6722B">
        <w:fldChar w:fldCharType="separate"/>
      </w:r>
      <w:r w:rsidR="00A551AB" w:rsidRPr="00D6722B">
        <w:rPr>
          <w:noProof/>
        </w:rPr>
        <w:t xml:space="preserve">(Bachman </w:t>
      </w:r>
      <w:r w:rsidR="00A551AB" w:rsidRPr="00D6722B">
        <w:rPr>
          <w:i/>
          <w:noProof/>
        </w:rPr>
        <w:t>et al.</w:t>
      </w:r>
      <w:r w:rsidR="00A551AB" w:rsidRPr="00D6722B">
        <w:rPr>
          <w:noProof/>
        </w:rPr>
        <w:t xml:space="preserve">, 2016a; Tan, Steven L Levine, </w:t>
      </w:r>
      <w:r w:rsidR="00A551AB" w:rsidRPr="00D6722B">
        <w:rPr>
          <w:i/>
          <w:noProof/>
        </w:rPr>
        <w:t>et al.</w:t>
      </w:r>
      <w:r w:rsidR="00A551AB" w:rsidRPr="00D6722B">
        <w:rPr>
          <w:noProof/>
        </w:rPr>
        <w:t>, 2016)</w:t>
      </w:r>
      <w:r w:rsidR="005C0E76" w:rsidRPr="00D6722B">
        <w:fldChar w:fldCharType="end"/>
      </w:r>
      <w:r w:rsidR="00A551AB" w:rsidRPr="00D6722B">
        <w:t xml:space="preserve"> is the first RNAi</w:t>
      </w:r>
      <w:r w:rsidR="00345A6E" w:rsidRPr="00D6722B">
        <w:t xml:space="preserve"> inducing</w:t>
      </w:r>
      <w:r w:rsidR="00A551AB" w:rsidRPr="00D6722B">
        <w:t xml:space="preserve"> product approved by the US Environmental Protection Agency</w:t>
      </w:r>
      <w:r w:rsidR="000920B2" w:rsidRPr="00D6722B">
        <w:t xml:space="preserve"> </w:t>
      </w:r>
      <w:r w:rsidR="005C0E76" w:rsidRPr="00D6722B">
        <w:fldChar w:fldCharType="begin" w:fldLock="1"/>
      </w:r>
      <w:r w:rsidR="000920B2" w:rsidRPr="00D6722B">
        <w:instrText>ADDIN CSL_CITATION {"citationItems":[{"id":"ITEM-1","itemData":{"URL":"https://www.epa.gov/newsreleases/epa-registers-innovative-tool-control-corn-rootworm","abstract":"EPA News Release: EPA Registers Innovative Tool to Control Corn Rootworm","accessed":{"date-parts":[["2019","9","15"]]},"author":[{"dropping-particle":"","family":"US EPA","given":"OA","non-dropping-particle":"","parse-names":false,"suffix":""}],"id":"ITEM-1","issued":{"date-parts":[["2017"]]},"title":"EPA Registers Innovative Tool to Control Corn Rootworm","type":"webpage"},"uris":["http://www.mendeley.com/documents/?uuid=cfa1a372-15b4-3e09-b3c4-9f4b0d1c0c64"]}],"mendeley":{"formattedCitation":"(US EPA, 2017)","plainTextFormattedCitation":"(US EPA, 2017)","previouslyFormattedCitation":"(US EPA, 2017)"},"properties":{"noteIndex":0},"schema":"https://github.com/citation-style-language/schema/raw/master/csl-citation.json"}</w:instrText>
      </w:r>
      <w:r w:rsidR="005C0E76" w:rsidRPr="00D6722B">
        <w:fldChar w:fldCharType="separate"/>
      </w:r>
      <w:r w:rsidR="000920B2" w:rsidRPr="00D6722B">
        <w:rPr>
          <w:noProof/>
        </w:rPr>
        <w:t>(US EPA, 2017)</w:t>
      </w:r>
      <w:r w:rsidR="005C0E76" w:rsidRPr="00D6722B">
        <w:fldChar w:fldCharType="end"/>
      </w:r>
      <w:r w:rsidR="00A551AB" w:rsidRPr="00D6722B">
        <w:t xml:space="preserve">. </w:t>
      </w:r>
      <w:r w:rsidR="006F1297" w:rsidRPr="00D6722B">
        <w:t xml:space="preserve">Unlike </w:t>
      </w:r>
      <w:r w:rsidR="006F1297" w:rsidRPr="00C45102">
        <w:rPr>
          <w:i/>
        </w:rPr>
        <w:t>Bt</w:t>
      </w:r>
      <w:r w:rsidR="006F1297" w:rsidRPr="00D6722B">
        <w:t xml:space="preserve"> toxins, dsRNA insecticides can be engineered to be highly selective using bioinformatic design tools </w:t>
      </w:r>
      <w:r w:rsidR="005C0E76" w:rsidRPr="00D6722B">
        <w:fldChar w:fldCharType="begin" w:fldLock="1"/>
      </w:r>
      <w:r w:rsidR="006F1297" w:rsidRPr="00D6722B">
        <w:instrText>ADDIN CSL_CITATION {"citationItems":[{"id":"ITEM-1","itemData":{"DOI":"10.1016/j.ibmb.2009.09.007","ISBN":"1879-0240 (Electronic)\\r0965-1748 (Linking)","ISSN":"09651748","PMID":"19815067","abstract":"A serious shortcoming of many insecticides is that they can kill non-target species. To address this issue, we harnessed the sequence specificity of RNA interference (RNAi) to design orally-delivered double-stranded (ds) RNAs that selectively killed target species. Fruit flies (Drosophila melanogaster), flour beetles (Tribolium castaneum), pea aphids (Acyrthosiphon pisum), and tobacco hornworms (Manduca sexta) were selectively killed when fed species-specific dsRNA targeting vATPase transcripts. We also demonstrate that even closely related species can be selectively killed by feeding on dsRNAs that target the more variable regions of genes, such as the 3??? untranslated regions (UTRs): four species of the genus Drosophila were selectively killed by feeding on short (&lt;40??nt) dsRNAs that targeted the 3??? UTR of the ??-tubulin gene. For the aphid nymphs and beetle and moth larvae, dsRNA could simply be dissolved into their diets, but to induce RNAi in the drosophilid species, the dsRNAs needed to be encapsulated in liposomes to help facilitate uptake of the dsRNA. This is the first demonstration of RNAi following ingestion of dsRNA in all of the species tested, and the method offers promise of both higher throughput RNAi screens and the development of a new generation of species-specific insecticides. ?? 2009 Elsevier Ltd. All rights reserved.","author":[{"dropping-particle":"","family":"Whyard","given":"Steven","non-dropping-particle":"","parse-names":false,"suffix":""},{"dropping-particle":"","family":"Singh","given":"Aditi D.","non-dropping-particle":"","parse-names":false,"suffix":""},{"dropping-particle":"","family":"Wong","given":"Sylvia","non-dropping-particle":"","parse-names":false,"suffix":""}],"container-title":"Insect Biochemistry and Molecular Biology","id":"ITEM-1","issue":"11","issued":{"date-parts":[["2009"]]},"page":"824-832","publisher":"Elsevier Ltd","title":"Ingested double-stranded RNAs can act as species-specific insecticides","type":"article-journal","volume":"39"},"uris":["http://www.mendeley.com/documents/?uuid=ac5458db-fc7e-4c32-a34e-0fc4e6b9a96e"]}],"mendeley":{"formattedCitation":"(Whyard, Singh and Wong, 2009)","plainTextFormattedCitation":"(Whyard, Singh and Wong, 2009)","previouslyFormattedCitation":"(Whyard, Singh and Wong, 2009)"},"properties":{"noteIndex":0},"schema":"https://github.com/citation-style-language/schema/raw/master/csl-citation.json"}</w:instrText>
      </w:r>
      <w:r w:rsidR="005C0E76" w:rsidRPr="00D6722B">
        <w:fldChar w:fldCharType="separate"/>
      </w:r>
      <w:r w:rsidR="006F1297" w:rsidRPr="00D6722B">
        <w:rPr>
          <w:noProof/>
        </w:rPr>
        <w:t>(Whyard, Singh and Wong, 2009)</w:t>
      </w:r>
      <w:r w:rsidR="005C0E76" w:rsidRPr="00D6722B">
        <w:fldChar w:fldCharType="end"/>
      </w:r>
      <w:r w:rsidR="006F1297" w:rsidRPr="00D6722B">
        <w:t xml:space="preserve">, and the selectivity and lack of effects in non-target insects has been demonstrated for DvSnf7 </w:t>
      </w:r>
      <w:r w:rsidR="005C0E76" w:rsidRPr="00D6722B">
        <w:fldChar w:fldCharType="begin" w:fldLock="1"/>
      </w:r>
      <w:r w:rsidR="006F1297" w:rsidRPr="00D6722B">
        <w:instrText>ADDIN CSL_CITATION {"citationItems":[{"id":"ITEM-1","itemData":{"DOI":"10.1016/j.yrtph.2016.08.001","ISBN":"0273-2300","ISSN":"10960295","abstract":"MON 87411 maize, which expresses DvSnf7 RNA, was developed to provide an additional mode of action to confer protection against corn rootworm (Diabrotica spp.). A critical step in the registration of a genetically engineered crop with an insecticidal trait is performing an ecological risk assessment to evaluate the potential for adverse ecological effects. For MON 87411, an assessment plan was developed that met specific protection goals by characterizing the routes and levels of exposure, and testing representative functional taxa that would be directly or indirectly exposed in the environment. The potential for toxicity of DvSnf7 RNA was evaluated with a harmonized battery of non-target organisms (NTOs) that included invertebrate predators, parasitoids, pollinators, soil biota as well as aquatic and terrestrial vertebrate species. Laboratory tests evaluated ecologically relevant endpoints such as survival, growth, development, and reproduction and were of sufficient duration to assess the potential for adverse effects. No adverse effects were observed with any species tested at, or above, the maximum expected environmental concentration (MEEC). All margins of exposure for NTOs were &gt;10-fold the MEEC. Therefore, it is reasonable to conclude that exposure to DvSnf7 RNA, both directly and indirectly, is safe for NTOs at the expected field exposure levels.","author":[{"dropping-particle":"","family":"Bachman","given":"Pamela M.","non-dropping-particle":"","parse-names":false,"suffix":""},{"dropping-particle":"","family":"Huizinga","given":"Kristin M.","non-dropping-particle":"","parse-names":false,"suffix":""},{"dropping-particle":"","family":"Jensen","given":"Peter D.","non-dropping-particle":"","parse-names":false,"suffix":""},{"dropping-particle":"","family":"Mueller","given":"Geoffrey","non-dropping-particle":"","parse-names":false,"suffix":""},{"dropping-particle":"","family":"Tan","given":"Jianguo","non-dropping-particle":"","parse-names":false,"suffix":""},{"dropping-particle":"","family":"Uffman","given":"Joshua P.","non-dropping-particle":"","parse-names":false,"suffix":""},{"dropping-particle":"","family":"Levine","given":"Steven L.","non-dropping-particle":"","parse-names":false,"suffix":""}],"container-title":"Regulatory Toxicology and Pharmacology","id":"ITEM-1","issued":{"date-parts":[["2016"]]},"page":"77-88","publisher":"Elsevier Ltd","title":"Ecological risk assessment for DvSnf7 RNA: A plant-incorporated protectant with targeted activity against western corn rootworm","type":"article-journal","volume":"81"},"uris":["http://www.mendeley.com/documents/?uuid=c4f35156-fc33-4731-b616-c15e657a4ff1"]}],"mendeley":{"formattedCitation":"(Bachman &lt;i&gt;et al.&lt;/i&gt;, 2016a)","plainTextFormattedCitation":"(Bachman et al., 2016a)","previouslyFormattedCitation":"(Bachman &lt;i&gt;et al.&lt;/i&gt;, 2016a)"},"properties":{"noteIndex":0},"schema":"https://github.com/citation-style-language/schema/raw/master/csl-citation.json"}</w:instrText>
      </w:r>
      <w:r w:rsidR="005C0E76" w:rsidRPr="00D6722B">
        <w:fldChar w:fldCharType="separate"/>
      </w:r>
      <w:r w:rsidR="006F1297" w:rsidRPr="00D6722B">
        <w:rPr>
          <w:noProof/>
        </w:rPr>
        <w:t xml:space="preserve">(Bachman </w:t>
      </w:r>
      <w:r w:rsidR="006F1297" w:rsidRPr="00D6722B">
        <w:rPr>
          <w:i/>
          <w:noProof/>
        </w:rPr>
        <w:t>et al.</w:t>
      </w:r>
      <w:r w:rsidR="006F1297" w:rsidRPr="00D6722B">
        <w:rPr>
          <w:noProof/>
        </w:rPr>
        <w:t>, 2016a)</w:t>
      </w:r>
      <w:r w:rsidR="005C0E76" w:rsidRPr="00D6722B">
        <w:fldChar w:fldCharType="end"/>
      </w:r>
      <w:r w:rsidR="006F1297" w:rsidRPr="00D6722B">
        <w:t>.</w:t>
      </w:r>
    </w:p>
    <w:p w:rsidR="006F1297" w:rsidRPr="00D6722B" w:rsidRDefault="006F1297" w:rsidP="000441D9">
      <w:pPr>
        <w:spacing w:line="360" w:lineRule="auto"/>
        <w:ind w:firstLine="284"/>
      </w:pPr>
    </w:p>
    <w:p w:rsidR="006F1297" w:rsidRPr="00D6722B" w:rsidRDefault="00DF090B" w:rsidP="000441D9">
      <w:pPr>
        <w:spacing w:line="360" w:lineRule="auto"/>
        <w:ind w:firstLine="284"/>
      </w:pPr>
      <w:r w:rsidRPr="00D6722B">
        <w:lastRenderedPageBreak/>
        <w:t>The other strategy under investigation for RNA</w:t>
      </w:r>
      <w:r w:rsidR="00345A6E" w:rsidRPr="00D6722B">
        <w:t xml:space="preserve"> based biocontrols</w:t>
      </w:r>
      <w:r w:rsidRPr="00D6722B">
        <w:t xml:space="preserve"> is the foliar application of dsRNA, either in its raw form, or through the foliar application of yeast or </w:t>
      </w:r>
      <w:r w:rsidRPr="00D6722B">
        <w:rPr>
          <w:i/>
        </w:rPr>
        <w:t>E. coli</w:t>
      </w:r>
      <w:r w:rsidRPr="00D6722B">
        <w:t xml:space="preserve"> modified to express the dsRNA. </w:t>
      </w:r>
      <w:r w:rsidR="006F1297" w:rsidRPr="00D6722B">
        <w:t xml:space="preserve">A previous study has demonstrated that heat-inactivated </w:t>
      </w:r>
      <w:r w:rsidR="006F1297" w:rsidRPr="00D6722B">
        <w:rPr>
          <w:i/>
        </w:rPr>
        <w:t>E. coli</w:t>
      </w:r>
      <w:r w:rsidR="006F1297" w:rsidRPr="00D6722B">
        <w:t xml:space="preserve"> expressing insecticidal dsRNA resulted in high mortality of beet armyworm through feeding, but resulted in no detectable colonies when plated on standard LB agar plates </w:t>
      </w:r>
      <w:r w:rsidR="005C0E76" w:rsidRPr="00D6722B">
        <w:fldChar w:fldCharType="begin" w:fldLock="1"/>
      </w:r>
      <w:r w:rsidR="006F1297" w:rsidRPr="00D6722B">
        <w:instrText>ADDIN CSL_CITATION {"citationItems":[{"id":"ITEM-1","itemData":{"DOI":"10.1371/journal.pone.0132631","ISBN":"1932-6203 (Electronic)\\r1932-6203 (Linking)","ISSN":"19326203","PMID":"26171783","abstract":"BACKGROUND: Oral toxicity of double-stranded RNA (dsRNA) specific to integrin beta1 subunit (SeINT) was known in a polyphagous insect pest, Spodoptera exigua. For an application of the dsRNA to control the insect pest, this study prepared a transformed Escherichia coli expressing dsRNA specific to SeINT. PRINCIPAL FINDINGS: The dsRNA expression was driven by T7 RNA polymerase overexpressed by an inducer in the transformed E. coli. The produced dsRNA amount was proportional to the number of the cultured bacteria. The transformed bacteria gave a significant oral toxicity to S. exigua larvae with a significant reduction of the SeINT expression. The resulting insect mortality increased with the fed number of the bacteria. Pretreatment with an ultra-sonication to disrupt bacterial cell wall/membrane significantly increased the insecticidal activity of the transformed bacteria. The larvae treated with the transformed bacteria suffered tissue damage in the midgut epithelium, which exhibited a marked loss of cell-cell contacts and underwent a remarkable cell death. Moreover, these treated larvae became significantly susceptible to a Cry toxin derived from Bacillus thuringiensis (Bt). CONCLUSIONS: This study provides a novel and highly efficient application technique to use dsRNA specific to an integrin gene by mixing with a biopesticide, Bt.","author":[{"dropping-particle":"","family":"Kim","given":"Eunseong","non-dropping-particle":"","parse-names":false,"suffix":""},{"dropping-particle":"","family":"Park","given":"Youngjin","non-dropping-particle":"","parse-names":false,"suffix":""},{"dropping-particle":"","family":"Kim","given":"Yonggyun","non-dropping-particle":"","parse-names":false,"suffix":""},{"dropping-particle":"","family":"Ling","given":"Erjun","non-dropping-particle":"","parse-names":false,"suffix":""}],"container-title":"PLoS ONE","id":"ITEM-1","issue":"7","issued":{"date-parts":[["2015"]]},"page":"1-15","title":"A transformed bacterium expressing double-stranded RNA specific to integrin β1 enhances Bt Toxin efficacy against a polyphagous insect pest, Spodoptera exigua","type":"article-journal","volume":"10"},"uris":["http://www.mendeley.com/documents/?uuid=c12296ed-408b-4c45-9104-2726f55eac35"]}],"mendeley":{"formattedCitation":"(Kim &lt;i&gt;et al.&lt;/i&gt;, 2015)","plainTextFormattedCitation":"(Kim et al., 2015)","previouslyFormattedCitation":"(Kim &lt;i&gt;et al.&lt;/i&gt;, 2015)"},"properties":{"noteIndex":0},"schema":"https://github.com/citation-style-language/schema/raw/master/csl-citation.json"}</w:instrText>
      </w:r>
      <w:r w:rsidR="005C0E76" w:rsidRPr="00D6722B">
        <w:fldChar w:fldCharType="separate"/>
      </w:r>
      <w:r w:rsidR="006F1297" w:rsidRPr="00D6722B">
        <w:rPr>
          <w:noProof/>
        </w:rPr>
        <w:t xml:space="preserve">(Kim </w:t>
      </w:r>
      <w:r w:rsidR="006F1297" w:rsidRPr="00D6722B">
        <w:rPr>
          <w:i/>
          <w:noProof/>
        </w:rPr>
        <w:t>et al.</w:t>
      </w:r>
      <w:r w:rsidR="006F1297" w:rsidRPr="00D6722B">
        <w:rPr>
          <w:noProof/>
        </w:rPr>
        <w:t>, 2015)</w:t>
      </w:r>
      <w:r w:rsidR="005C0E76" w:rsidRPr="00D6722B">
        <w:fldChar w:fldCharType="end"/>
      </w:r>
      <w:r w:rsidR="00C45102">
        <w:t xml:space="preserve"> which may be enough evidence to abate concerns by regulators about releasing transgenic organisms into the environment</w:t>
      </w:r>
      <w:r w:rsidR="006F1297" w:rsidRPr="00D6722B">
        <w:t xml:space="preserve">.  </w:t>
      </w:r>
    </w:p>
    <w:p w:rsidR="004D39CA" w:rsidRPr="00D6722B" w:rsidRDefault="00B46B13" w:rsidP="000441D9">
      <w:pPr>
        <w:spacing w:line="360" w:lineRule="auto"/>
        <w:ind w:firstLine="284"/>
      </w:pPr>
      <w:r w:rsidRPr="00D6722B">
        <w:t>Different</w:t>
      </w:r>
      <w:r w:rsidR="00345A6E" w:rsidRPr="00D6722B">
        <w:t xml:space="preserve"> strategies are being pursued</w:t>
      </w:r>
      <w:r w:rsidRPr="00D6722B">
        <w:t xml:space="preserve"> simultaneously, with research into </w:t>
      </w:r>
      <w:r w:rsidR="001828D8" w:rsidRPr="00D6722B">
        <w:t xml:space="preserve">genetically modifying crop strains to produce dsRNA </w:t>
      </w:r>
      <w:r w:rsidR="001828D8" w:rsidRPr="00D6722B">
        <w:rPr>
          <w:i/>
        </w:rPr>
        <w:t>in vivo</w:t>
      </w:r>
      <w:r w:rsidR="001828D8" w:rsidRPr="00D6722B">
        <w:t xml:space="preserve"> </w:t>
      </w:r>
      <w:r w:rsidR="005C0E76" w:rsidRPr="00D6722B">
        <w:fldChar w:fldCharType="begin" w:fldLock="1"/>
      </w:r>
      <w:r w:rsidR="000920B2" w:rsidRPr="00D6722B">
        <w:instrText>ADDIN CSL_CITATION {"citationItems":[{"id":"ITEM-1","itemData":{"DOI":"10.1016/J.YRTPH.2016.08.001","ISSN":"0273-2300","abstract":"MON 87411 maize, which expresses DvSnf7 RNA, was developed to provide an additional mode of action to confer protection against corn rootworm (Diabrotica spp.). A critical step in the registration of a genetically engineered crop with an insecticidal trait is performing an ecological risk assessment to evaluate the potential for adverse ecological effects. For MON 87411, an assessment plan was developed that met specific protection goals by characterizing the routes and levels of exposure, and testing representative functional taxa that would be directly or indirectly exposed in the environment. The potential for toxicity of DvSnf7 RNA was evaluated with a harmonized battery of non-target organisms (NTOs) that included invertebrate predators, parasitoids, pollinators, soil biota as well as aquatic and terrestrial vertebrate species. Laboratory tests evaluated ecologically relevant endpoints such as survival, growth, development, and reproduction and were of sufficient duration to assess the potential for adverse effects. No adverse effects were observed with any species tested at, or above, the maximum expected environmental concentration (MEEC). All margins of exposure for NTOs were &gt;10-fold the MEEC. Therefore, it is reasonable to conclude that exposure to DvSnf7 RNA, both directly and indirectly, is safe for NTOs at the expected field exposure levels.","author":[{"dropping-particle":"","family":"Bachman","given":"Pamela M.","non-dropping-particle":"","parse-names":false,"suffix":""},{"dropping-particle":"","family":"Huizinga","given":"Kristin M.","non-dropping-particle":"","parse-names":false,"suffix":""},{"dropping-particle":"","family":"Jensen","given":"Peter D.","non-dropping-particle":"","parse-names":false,"suffix":""},{"dropping-particle":"","family":"Mueller","given":"Geoffrey","non-dropping-particle":"","parse-names":false,"suffix":""},{"dropping-particle":"","family":"Tan","given":"Jianguo","non-dropping-particle":"","parse-names":false,"suffix":""},{"dropping-particle":"","family":"Uffman","given":"Joshua P.","non-dropping-particle":"","parse-names":false,"suffix":""},{"dropping-particle":"","family":"Levine","given":"Steven L.","non-dropping-particle":"","parse-names":false,"suffix":""}],"container-title":"Regulatory Toxicology and Pharmacology","id":"ITEM-1","issued":{"date-parts":[["2016","11","1"]]},"page":"77-88","publisher":"Academic Press","title":"Ecological risk assessment for DvSnf7 RNA: A plant-incorporated protectant with targeted activity against western corn rootworm","type":"article-journal","volume":"81"},"uris":["http://www.mendeley.com/documents/?uuid=7bbc31a1-2186-3685-81e3-a6c4589d856d"]},{"id":"ITEM-2","itemData":{"DOI":"10.1002/etc.3075","ISSN":"07307268","author":[{"dropping-particle":"","family":"Tan","given":"Jianguo","non-dropping-particle":"","parse-names":false,"suffix":""},{"dropping-particle":"","family":"Levine","given":"Steven L.","non-dropping-particle":"","parse-names":false,"suffix":""},{"dropping-particle":"","family":"Bachman","given":"Pamela M.","non-dropping-particle":"","parse-names":false,"suffix":""},{"dropping-particle":"","family":"Jensen","given":"Peter D.","non-dropping-particle":"","parse-names":false,"suffix":""},{"dropping-particle":"","family":"Mueller","given":"Geoffrey M.","non-dropping-particle":"","parse-names":false,"suffix":""},{"dropping-particle":"","family":"Uffman","given":"Joshua P.","non-dropping-particle":"","parse-names":false,"suffix":""},{"dropping-particle":"","family":"Meng","given":"Chen","non-dropping-particle":"","parse-names":false,"suffix":""},{"dropping-particle":"","family":"Song","given":"Zihong","non-dropping-particle":"","parse-names":false,"suffix":""},{"dropping-particle":"","family":"Richards","given":"Kathy B.","non-dropping-particle":"","parse-names":false,"suffix":""},{"dropping-particle":"","family":"Beevers","given":"Michael H.","non-dropping-particle":"","parse-names":false,"suffix":""}],"container-title":"Environmental Toxicology and Chemistry","id":"ITEM-2","issue":"2","issued":{"date-parts":[["2016","2","1"]]},"page":"287-294","publisher":"John Wiley &amp; Sons, Ltd","title":"No impact of DvSnf7 RNA on honey bee ( &lt;i&gt;Apis mellifera&lt;/i&gt; L.) adults and larvae in dietary feeding tests","type":"article-journal","volume":"35"},"uris":["http://www.mendeley.com/documents/?uuid=150c86d6-6320-37cc-b78d-57ad783badf4"]}],"mendeley":{"formattedCitation":"(Bachman &lt;i&gt;et al.&lt;/i&gt;, 2016b; Tan, Steven L. Levine, &lt;i&gt;et al.&lt;/i&gt;, 2016)","plainTextFormattedCitation":"(Bachman et al., 2016b; Tan, Steven L. Levine, et al., 2016)","previouslyFormattedCitation":"(Bachman &lt;i&gt;et al.&lt;/i&gt;, 2016b; Tan, Steven L. Levine, &lt;i&gt;et al.&lt;/i&gt;, 2016)"},"properties":{"noteIndex":0},"schema":"https://github.com/citation-style-language/schema/raw/master/csl-citation.json"}</w:instrText>
      </w:r>
      <w:r w:rsidR="005C0E76" w:rsidRPr="00D6722B">
        <w:fldChar w:fldCharType="separate"/>
      </w:r>
      <w:r w:rsidR="00A551AB" w:rsidRPr="00D6722B">
        <w:rPr>
          <w:noProof/>
        </w:rPr>
        <w:t xml:space="preserve">(Bachman </w:t>
      </w:r>
      <w:r w:rsidR="00A551AB" w:rsidRPr="00D6722B">
        <w:rPr>
          <w:i/>
          <w:noProof/>
        </w:rPr>
        <w:t>et al.</w:t>
      </w:r>
      <w:r w:rsidR="00A551AB" w:rsidRPr="00D6722B">
        <w:rPr>
          <w:noProof/>
        </w:rPr>
        <w:t xml:space="preserve">, 2016b; Tan, Steven L. Levine, </w:t>
      </w:r>
      <w:r w:rsidR="00A551AB" w:rsidRPr="00D6722B">
        <w:rPr>
          <w:i/>
          <w:noProof/>
        </w:rPr>
        <w:t>et al.</w:t>
      </w:r>
      <w:r w:rsidR="00A551AB" w:rsidRPr="00D6722B">
        <w:rPr>
          <w:noProof/>
        </w:rPr>
        <w:t>, 2016)</w:t>
      </w:r>
      <w:r w:rsidR="005C0E76" w:rsidRPr="00D6722B">
        <w:fldChar w:fldCharType="end"/>
      </w:r>
      <w:r w:rsidRPr="00D6722B">
        <w:t xml:space="preserve"> being conducted</w:t>
      </w:r>
      <w:r w:rsidR="00EE4992" w:rsidRPr="00D6722B">
        <w:t>, whilst other re</w:t>
      </w:r>
      <w:r w:rsidRPr="00D6722B">
        <w:t>se</w:t>
      </w:r>
      <w:r w:rsidR="00EE4992" w:rsidRPr="00D6722B">
        <w:t>a</w:t>
      </w:r>
      <w:r w:rsidRPr="00D6722B">
        <w:t xml:space="preserve">rch groups are exploring </w:t>
      </w:r>
      <w:r w:rsidR="006A2D7A" w:rsidRPr="00D6722B">
        <w:t xml:space="preserve">the </w:t>
      </w:r>
      <w:r w:rsidR="001828D8" w:rsidRPr="00D6722B">
        <w:t>produc</w:t>
      </w:r>
      <w:r w:rsidRPr="00D6722B">
        <w:t>tion of</w:t>
      </w:r>
      <w:r w:rsidR="001828D8" w:rsidRPr="00D6722B">
        <w:t xml:space="preserve"> dsRNA</w:t>
      </w:r>
      <w:r w:rsidR="006E6273" w:rsidRPr="00D6722B">
        <w:t xml:space="preserve"> by </w:t>
      </w:r>
      <w:r w:rsidR="006E6273" w:rsidRPr="00D6722B">
        <w:rPr>
          <w:i/>
        </w:rPr>
        <w:t>in vitro</w:t>
      </w:r>
      <w:r w:rsidR="006E6273" w:rsidRPr="00D6722B">
        <w:t xml:space="preserve"> transcription</w:t>
      </w:r>
      <w:r w:rsidR="00754AD5" w:rsidRPr="00D6722B">
        <w:t xml:space="preserve"> </w:t>
      </w:r>
      <w:r w:rsidR="005C0E76" w:rsidRPr="00D6722B">
        <w:fldChar w:fldCharType="begin" w:fldLock="1"/>
      </w:r>
      <w:r w:rsidR="00754AD5" w:rsidRPr="00D6722B">
        <w:instrText>ADDIN CSL_CITATION {"citationItems":[{"id":"ITEM-1","itemData":{"DOI":"10.1111/1744-7917.12513","ISSN":"16729609","author":[{"dropping-particle":"","family":"Huang","given":"Zachary Y.","non-dropping-particle":"","parse-names":false,"suffix":""},{"dropping-particle":"","family":"Bian","given":"Guowu","non-dropping-particle":"","parse-names":false,"suffix":""},{"dropping-particle":"","family":"Xi","given":"Zhiyong","non-dropping-particle":"","parse-names":false,"suffix":""},{"dropping-particle":"","family":"Xie","given":"Xianbing","non-dropping-particle":"","parse-names":false,"suffix":""}],"container-title":"Insect Science","id":"ITEM-1","issue":"1","issued":{"date-parts":[["2019","2","1"]]},"page":"68-75","publisher":"John Wiley &amp; Sons, Ltd (10.1111)","title":"Genes important for survival or reproduction in &lt;i&gt;Varroa destructor&lt;/i&gt; identified by RNAi","type":"article-journal","volume":"26"},"uris":["http://www.mendeley.com/documents/?uuid=e3e2fa7a-82ee-3f4a-abbb-63df4776f305"]},{"id":"ITEM-2","itemData":{"DOI":"10.1002/ps.4056","ISSN":"1526498X","author":[{"dropping-particle":"","family":"San Miguel","given":"Keri","non-dropping-particle":"","parse-names":false,"suffix":""},{"dropping-particle":"","family":"Scott","given":"Jeffrey G","non-dropping-particle":"","parse-names":false,"suffix":""}],"container-title":"Pest Management Science","id":"ITEM-2","issue":"February","issued":{"date-parts":[["2015"]]},"page":"n/a-n/a","title":"The next generation of insecticides: dsRNA is stable as a foliar-applied insecticide","type":"article-journal"},"uris":["http://www.mendeley.com/documents/?uuid=0e666d3c-1776-452f-ae6b-c802a97ac443"]}],"mendeley":{"formattedCitation":"(San Miguel and Scott, 2015; Huang &lt;i&gt;et al.&lt;/i&gt;, 2019)","plainTextFormattedCitation":"(San Miguel and Scott, 2015; Huang et al., 2019)","previouslyFormattedCitation":"(San Miguel and Scott, 2015; Huang &lt;i&gt;et al.&lt;/i&gt;, 2019)"},"properties":{"noteIndex":0},"schema":"https://github.com/citation-style-language/schema/raw/master/csl-citation.json"}</w:instrText>
      </w:r>
      <w:r w:rsidR="005C0E76" w:rsidRPr="00D6722B">
        <w:fldChar w:fldCharType="separate"/>
      </w:r>
      <w:r w:rsidR="00754AD5" w:rsidRPr="00D6722B">
        <w:rPr>
          <w:noProof/>
        </w:rPr>
        <w:t xml:space="preserve">(San Miguel and Scott, 2015; Huang </w:t>
      </w:r>
      <w:r w:rsidR="00754AD5" w:rsidRPr="00D6722B">
        <w:rPr>
          <w:i/>
          <w:noProof/>
        </w:rPr>
        <w:t>et al.</w:t>
      </w:r>
      <w:r w:rsidR="00754AD5" w:rsidRPr="00D6722B">
        <w:rPr>
          <w:noProof/>
        </w:rPr>
        <w:t>, 2019)</w:t>
      </w:r>
      <w:r w:rsidR="005C0E76" w:rsidRPr="00D6722B">
        <w:fldChar w:fldCharType="end"/>
      </w:r>
      <w:r w:rsidR="006E6273" w:rsidRPr="00D6722B">
        <w:t>,</w:t>
      </w:r>
      <w:r w:rsidR="001828D8" w:rsidRPr="00D6722B">
        <w:t xml:space="preserve"> </w:t>
      </w:r>
      <w:r w:rsidR="00754AD5" w:rsidRPr="00D6722B">
        <w:t xml:space="preserve">or </w:t>
      </w:r>
      <w:r w:rsidR="001828D8" w:rsidRPr="00D6722B">
        <w:t xml:space="preserve">in </w:t>
      </w:r>
      <w:r w:rsidR="006A2D7A" w:rsidRPr="00D6722B">
        <w:t xml:space="preserve">microorganisms </w:t>
      </w:r>
      <w:r w:rsidR="001828D8" w:rsidRPr="00D6722B">
        <w:t>which are subsequently inactivated and then applied to the surface of the crop</w:t>
      </w:r>
      <w:r w:rsidR="00754AD5" w:rsidRPr="00D6722B">
        <w:t xml:space="preserve"> </w:t>
      </w:r>
      <w:r w:rsidR="005C0E76" w:rsidRPr="00D6722B">
        <w:fldChar w:fldCharType="begin" w:fldLock="1"/>
      </w:r>
      <w:r w:rsidR="00C57A7E">
        <w:instrText>ADDIN CSL_CITATION {"citationItems":[{"id":"ITEM-1","itemData":{"DOI":"10.1002/ps.2048","ISSN":"1526498X","author":[{"dropping-particle":"","family":"Zhu","given":"Fang","non-dropping-particle":"","parse-names":false,"suffix":""},{"dropping-particle":"","family":"Xu","given":"Jingjing","non-dropping-particle":"","parse-names":false,"suffix":""},{"dropping-particle":"","family":"Palli","given":"Roshan","non-dropping-particle":"","parse-names":false,"suffix":""},{"dropping-particle":"","family":"Ferguson","given":"Joseph","non-dropping-particle":"","parse-names":false,"suffix":""},{"dropping-particle":"","family":"Palli","given":"Subba R","non-dropping-particle":"","parse-names":false,"suffix":""}],"container-title":"Pest Management Science","id":"ITEM-1","issue":"2","issued":{"date-parts":[["2011","2","1"]]},"page":"175-182","publisher":"John Wiley &amp; Sons, Ltd","title":"Ingested RNA interference for managing the populations of the Colorado potato beetle, Leptinotarsa decemlineata","type":"article-journal","volume":"67"},"uris":["http://www.mendeley.com/documents/?uuid=2397aac7-1e71-36d6-9dc2-0cf41305026e"]}],"mendeley":{"formattedCitation":"(Zhu &lt;i&gt;et al.&lt;/i&gt;, 2011)","plainTextFormattedCitation":"(Zhu et al., 2011)","previouslyFormattedCitation":"(Zhu &lt;i&gt;et al.&lt;/i&gt;, 2011)"},"properties":{"noteIndex":0},"schema":"https://github.com/citation-style-language/schema/raw/master/csl-citation.json"}</w:instrText>
      </w:r>
      <w:r w:rsidR="005C0E76" w:rsidRPr="00D6722B">
        <w:fldChar w:fldCharType="separate"/>
      </w:r>
      <w:r w:rsidR="00754AD5" w:rsidRPr="00D6722B">
        <w:rPr>
          <w:noProof/>
        </w:rPr>
        <w:t xml:space="preserve">(Zhu </w:t>
      </w:r>
      <w:r w:rsidR="00754AD5" w:rsidRPr="00D6722B">
        <w:rPr>
          <w:i/>
          <w:noProof/>
        </w:rPr>
        <w:t>et al.</w:t>
      </w:r>
      <w:r w:rsidR="00754AD5" w:rsidRPr="00D6722B">
        <w:rPr>
          <w:noProof/>
        </w:rPr>
        <w:t>, 2011)</w:t>
      </w:r>
      <w:r w:rsidR="005C0E76" w:rsidRPr="00D6722B">
        <w:fldChar w:fldCharType="end"/>
      </w:r>
      <w:r w:rsidR="006A2D7A" w:rsidRPr="00D6722B">
        <w:t xml:space="preserve">. </w:t>
      </w:r>
      <w:r w:rsidR="006E6273" w:rsidRPr="00D6722B">
        <w:t>The</w:t>
      </w:r>
      <w:r w:rsidR="006A2D7A" w:rsidRPr="00D6722B">
        <w:t>s</w:t>
      </w:r>
      <w:r w:rsidR="006E6273" w:rsidRPr="00D6722B">
        <w:t>e</w:t>
      </w:r>
      <w:r w:rsidR="006A2D7A" w:rsidRPr="00D6722B">
        <w:t xml:space="preserve"> method</w:t>
      </w:r>
      <w:r w:rsidR="006E6273" w:rsidRPr="00D6722B">
        <w:t>s</w:t>
      </w:r>
      <w:r w:rsidR="001828D8" w:rsidRPr="00D6722B">
        <w:t xml:space="preserve"> ha</w:t>
      </w:r>
      <w:r w:rsidR="006E6273" w:rsidRPr="00D6722B">
        <w:t>ve</w:t>
      </w:r>
      <w:r w:rsidR="001828D8" w:rsidRPr="00D6722B">
        <w:t xml:space="preserve"> been shown to be successful strateg</w:t>
      </w:r>
      <w:r w:rsidR="00C45102">
        <w:t>ies</w:t>
      </w:r>
      <w:r w:rsidR="001828D8" w:rsidRPr="00D6722B">
        <w:t xml:space="preserve"> for</w:t>
      </w:r>
      <w:r w:rsidR="00C45102">
        <w:t xml:space="preserve"> inducing RNAi in</w:t>
      </w:r>
      <w:r w:rsidR="001828D8" w:rsidRPr="00D6722B">
        <w:t xml:space="preserve"> both insects and nematodes in a lab setting </w:t>
      </w:r>
      <w:r w:rsidR="005C0E76" w:rsidRPr="00D6722B">
        <w:fldChar w:fldCharType="begin" w:fldLock="1"/>
      </w:r>
      <w:r w:rsidR="00DE3C26" w:rsidRPr="00D6722B">
        <w:instrText>ADDIN CSL_CITATION {"citationItems":[{"id":"ITEM-1","itemData":{"DOI":"10.1371/journal.pone.0132631","ISBN":"1932-6203 (Electronic)\\r1932-6203 (Linking)","ISSN":"19326203","PMID":"26171783","abstract":"BACKGROUND: Oral toxicity of double-stranded RNA (dsRNA) specific to integrin beta1 subunit (SeINT) was known in a polyphagous insect pest, Spodoptera exigua. For an application of the dsRNA to control the insect pest, this study prepared a transformed Escherichia coli expressing dsRNA specific to SeINT. PRINCIPAL FINDINGS: The dsRNA expression was driven by T7 RNA polymerase overexpressed by an inducer in the transformed E. coli. The produced dsRNA amount was proportional to the number of the cultured bacteria. The transformed bacteria gave a significant oral toxicity to S. exigua larvae with a significant reduction of the SeINT expression. The resulting insect mortality increased with the fed number of the bacteria. Pretreatment with an ultra-sonication to disrupt bacterial cell wall/membrane significantly increased the insecticidal activity of the transformed bacteria. The larvae treated with the transformed bacteria suffered tissue damage in the midgut epithelium, which exhibited a marked loss of cell-cell contacts and underwent a remarkable cell death. Moreover, these treated larvae became significantly susceptible to a Cry toxin derived from Bacillus thuringiensis (Bt). CONCLUSIONS: This study provides a novel and highly efficient application technique to use dsRNA specific to an integrin gene by mixing with a biopesticide, Bt.","author":[{"dropping-particle":"","family":"Kim","given":"Eunseong","non-dropping-particle":"","parse-names":false,"suffix":""},{"dropping-particle":"","family":"Park","given":"Youngjin","non-dropping-particle":"","parse-names":false,"suffix":""},{"dropping-particle":"","family":"Kim","given":"Yonggyun","non-dropping-particle":"","parse-names":false,"suffix":""},{"dropping-particle":"","family":"Ling","given":"Erjun","non-dropping-particle":"","parse-names":false,"suffix":""}],"container-title":"PLoS ONE","id":"ITEM-1","issue":"7","issued":{"date-parts":[["2015"]]},"page":"1-15","title":"A transformed bacterium expressing double-stranded RNA specific to integrin β1 enhances Bt Toxin efficacy against a polyphagous insect pest, Spodoptera exigua","type":"article-journal","volume":"10"},"uris":["http://www.mendeley.com/documents/?uuid=c12296ed-408b-4c45-9104-2726f55eac35"]},{"id":"ITEM-2","itemData":{"DOI":"10.1016/S0378-1119(00)00579-5","ISBN":"0378-1119 (Print)\\n0378-1119 (Linking)","ISSN":"03781119","PMID":"11223248","abstract":"Genetic interference mediated by double-stranded RNA (RNAi) has been a valuable tool in the analysis of gene function in Caenorhabditis elegans. Here we report an efficient induction of RNAi using bacteria to deliver double-stranded RNA. This method makes use of bacteria that are deficient in RNaseIII, an enzyme that normally degrades a majority of dsRNAs in the bacterial cell. Bacteria deficient for RNaseIII were engineered to produce high quantities of specific dsRNA segments. When fed to C. elegans, such engineered bacteria were found to produce populations of RNAi-affected animals with phenotypes that were comparable in expressivity to the corresponding loss-of-function mutants. We found the method to be most effective in inducing RNAi for non-neuronal tissue of late larval and adult hermaphrodites, with decreased effectiveness in the nervous system, in early larval stages, and in males. Bacteria-induced RNAi phenotypes could be maintained over the course of several generations with continuous feeding, allowing for convenient assessments of the biological consequences of specific genetic interference and of continuous exposure to dsRNAs. ?? 2001 Elsevier Science B.V.","author":[{"dropping-particle":"","family":"Timmons","given":"Lisa","non-dropping-particle":"","parse-names":false,"suffix":""},{"dropping-particle":"","family":"Court","given":"Donald L.","non-dropping-particle":"","parse-names":false,"suffix":""},{"dropping-particle":"","family":"Fire","given":"Andrew","non-dropping-particle":"","parse-names":false,"suffix":""}],"container-title":"Gene","id":"ITEM-2","issue":"1-2","issued":{"date-parts":[["2001"]]},"page":"103-112","title":"Ingestion of bacterially expressed dsRNAs can produce specific and potent genetic interference in Caenorhabditis elegans","type":"article-journal","volume":"263"},"uris":["http://www.mendeley.com/documents/?uuid=74458791-29e6-4ed1-938a-45c0c18d3dc0"]},{"id":"ITEM-3","itemData":{"DOI":"10.1371/journal.pone.0183054","ISSN":"1932-6203","abstract":"Double-stranded RNA (dsRNA) has been applied to control insect pests due to its induction of RNA interference (RNAi) of a specific target gene expression. However, developing dsRNA-based insecticidal agent has been a great challenge especially against lepidopteran insect pests due to variations in RNAi efficiency. The objective of this study was to screen genes of chymotrypsins (SeCHYs) essential for the survival of the beet armyworm, Spodoptera exigua, to construct insecticidal dsRNA. In addition, an optimal oral delivery method was developed using recombinant bacteria. At least 7 SeCHY genes were predicted from S. exigua transcriptomes. Subsequent analyses indicated that SeCHY2 was widely expressed in different developmental stages and larval tissues by RT-PCR and its expression knockdown by RNAi caused high mortality along with immunosuppression. However, a large amount of dsRNA was required to efficiently kill late instars of S. exigua because of high RNase activity in their midgut lumen. To minimize dsRNA degradation, bacterial expression and formulation of dsRNA were performed in HT115 Escherichia coli using L4440 expression vector. dsRNA (300 bp) specific to SeCHY2 overexpressed in E. coli was toxic to S. exigua larvae after oral administration. To enhance dsRNA release from E. coli, bacterial cells were sonicated before oral administration. RNAi efficiency of sonicated bacteria was significantly increased, causing higher larval mortality at oral administration. Moreover, targeting young larvae possessing weak RNase activity in the midgut lumen significantly enhanced RNAi efficiency and subsequent insecticidal activity against S. exigua.","author":[{"dropping-particle":"","family":"Vatanparast","given":"Mohammad","non-dropping-particle":"","parse-names":false,"suffix":""},{"dropping-particle":"","family":"Kim","given":"Yonggyun","non-dropping-particle":"","parse-names":false,"suffix":""}],"container-title":"PLOS ONE","editor":[{"dropping-particle":"","family":"Ling","given":"Erjun","non-dropping-particle":"","parse-names":false,"suffix":""}],"id":"ITEM-3","issue":"8","issued":{"date-parts":[["2017","8","11"]]},"page":"e0183054","publisher":"Public Library of Science","title":"Optimization of recombinant bacteria expressing dsRNA to enhance insecticidal activity against a lepidopteran insect, Spodoptera exigua","type":"article-journal","volume":"12"},"uris":["http://www.mendeley.com/documents/?uuid=d05f4174-3e23-34ca-a8f2-1fb3ebf8a45f"]}],"mendeley":{"formattedCitation":"(Timmons, Court and Fire, 2001; Kim &lt;i&gt;et al.&lt;/i&gt;, 2015; Vatanparast and Kim, 2017)","plainTextFormattedCitation":"(Timmons, Court and Fire, 2001; Kim et al., 2015; Vatanparast and Kim, 2017)","previouslyFormattedCitation":"(Timmons, Court and Fire, 2001; Kim &lt;i&gt;et al.&lt;/i&gt;, 2015; Vatanparast and Kim, 2017)"},"properties":{"noteIndex":0},"schema":"https://github.com/citation-style-language/schema/raw/master/csl-citation.json"}</w:instrText>
      </w:r>
      <w:r w:rsidR="005C0E76" w:rsidRPr="00D6722B">
        <w:fldChar w:fldCharType="separate"/>
      </w:r>
      <w:r w:rsidR="006A2D7A" w:rsidRPr="00D6722B">
        <w:rPr>
          <w:noProof/>
        </w:rPr>
        <w:t xml:space="preserve">(Timmons, Court and Fire, 2001; Kim </w:t>
      </w:r>
      <w:r w:rsidR="006A2D7A" w:rsidRPr="00D6722B">
        <w:rPr>
          <w:i/>
          <w:noProof/>
        </w:rPr>
        <w:t>et al.</w:t>
      </w:r>
      <w:r w:rsidR="006A2D7A" w:rsidRPr="00D6722B">
        <w:rPr>
          <w:noProof/>
        </w:rPr>
        <w:t>, 2015; Vatanparast and Kim, 2017)</w:t>
      </w:r>
      <w:r w:rsidR="005C0E76" w:rsidRPr="00D6722B">
        <w:fldChar w:fldCharType="end"/>
      </w:r>
      <w:r w:rsidRPr="00D6722B">
        <w:t>.</w:t>
      </w:r>
      <w:r w:rsidR="001828D8" w:rsidRPr="00D6722B">
        <w:t xml:space="preserve"> </w:t>
      </w:r>
      <w:r w:rsidR="000920B2" w:rsidRPr="00D6722B">
        <w:t xml:space="preserve">Heat-inactivated yeast expressing a dsRNA insecticide have also been demonstrated to be successful in killing larvae of </w:t>
      </w:r>
      <w:r w:rsidR="00EE4992" w:rsidRPr="00D6722B">
        <w:t>mosquitoes</w:t>
      </w:r>
      <w:r w:rsidR="000920B2" w:rsidRPr="00D6722B">
        <w:t xml:space="preserve">, as a possible measure against this common malaria vector </w:t>
      </w:r>
      <w:r w:rsidR="005C0E76" w:rsidRPr="00D6722B">
        <w:fldChar w:fldCharType="begin" w:fldLock="1"/>
      </w:r>
      <w:r w:rsidR="0029702B" w:rsidRPr="00D6722B">
        <w:instrText>ADDIN CSL_CITATION {"citationItems":[{"id":"ITEM-1","itemData":{"DOI":"10.1186/s12936-017-2112-5","ISSN":"1475-2875","abstract":"Although larviciding can reduce the number of outdoor biting malaria vector mosquitoes, which may help to prevent residual malaria transmission, the current larvicide repertoire is faced with great challenges to sustainability. The identification of new effective, economical, and biorational larvicides could facilitate maintenance and expansion of the practice of larviciding in integrated malaria vector mosquito control programmes. Interfering RNA molecules represent a novel class of larvicides with untapped potential for sustainable mosquito control. This investigation tested the hypothesis that short interfering RNA molecules can be used as mosquito larvicides. A small interfering RNA (siRNA) screen for larval lethal genes identified siRNAs corresponding to the Anopheles gambiae suppressor of actin (Sac1), leukocyte receptor complex member (lrc), and offtrack (otk) genes. Saccharomyces cerevisiae (baker’s yeast) was engineered to produce short hairpin RNAs (shRNAs) for silencing of these genes. Feeding larvae with the engineered yeasts resulted in silenced target gene expression, a severe loss of neural synapses in the larval brain, and high levels of larval mortality. The larvicidal activities of yeast interfering RNA larvicides were retained following heat inactivation and drying of the yeast into user-friendly tablet formulations that induced up to 100% larval mortality in laboratory trials. Ready-to-use dried inactivated yeast interfering RNA larvicide tablets may someday be an effective and inexpensive addition to malaria mosquito control programmes and a valuable, biorational tool for addressing residual malaria transmission.","author":[{"dropping-particle":"","family":"Mysore","given":"Keshava","non-dropping-particle":"","parse-names":false,"suffix":""},{"dropping-particle":"","family":"Hapairai","given":"Limb K.","non-dropping-particle":"","parse-names":false,"suffix":""},{"dropping-particle":"","family":"Sun","given":"Longhua","non-dropping-particle":"","parse-names":false,"suffix":""},{"dropping-particle":"","family":"Harper","given":"Elizabeth I.","non-dropping-particle":"","parse-names":false,"suffix":""},{"dropping-particle":"","family":"Chen","given":"Yingying","non-dropping-particle":"","parse-names":false,"suffix":""},{"dropping-particle":"","family":"Eggleson","given":"Kathleen K.","non-dropping-particle":"","parse-names":false,"suffix":""},{"dropping-particle":"","family":"Realey","given":"Jacob S.","non-dropping-particle":"","parse-names":false,"suffix":""},{"dropping-particle":"","family":"Scheel","given":"Nicholas D.","non-dropping-particle":"","parse-names":false,"suffix":""},{"dropping-particle":"","family":"Severson","given":"David W.","non-dropping-particle":"","parse-names":false,"suffix":""},{"dropping-particle":"","family":"Wei","given":"Na","non-dropping-particle":"","parse-names":false,"suffix":""},{"dropping-particle":"","family":"Duman-Scheel","given":"Molly","non-dropping-particle":"","parse-names":false,"suffix":""}],"container-title":"Malaria Journal","id":"ITEM-1","issue":"1","issued":{"date-parts":[["2017","12","13"]]},"page":"461","publisher":"BioMed Central","title":"Yeast interfering RNA larvicides targeting neural genes induce high rates of Anopheles larval mortality","type":"article-journal","volume":"16"},"uris":["http://www.mendeley.com/documents/?uuid=bad5de08-9908-374e-b864-da171086ac2d"]}],"mendeley":{"formattedCitation":"(Mysore &lt;i&gt;et al.&lt;/i&gt;, 2017)","plainTextFormattedCitation":"(Mysore et al., 2017)","previouslyFormattedCitation":"(Mysore &lt;i&gt;et al.&lt;/i&gt;, 2017)"},"properties":{"noteIndex":0},"schema":"https://github.com/citation-style-language/schema/raw/master/csl-citation.json"}</w:instrText>
      </w:r>
      <w:r w:rsidR="005C0E76" w:rsidRPr="00D6722B">
        <w:fldChar w:fldCharType="separate"/>
      </w:r>
      <w:r w:rsidR="000920B2" w:rsidRPr="00D6722B">
        <w:rPr>
          <w:noProof/>
        </w:rPr>
        <w:t xml:space="preserve">(Mysore </w:t>
      </w:r>
      <w:r w:rsidR="000920B2" w:rsidRPr="00D6722B">
        <w:rPr>
          <w:i/>
          <w:noProof/>
        </w:rPr>
        <w:t>et al.</w:t>
      </w:r>
      <w:r w:rsidR="000920B2" w:rsidRPr="00D6722B">
        <w:rPr>
          <w:noProof/>
        </w:rPr>
        <w:t>, 2017)</w:t>
      </w:r>
      <w:r w:rsidR="005C0E76" w:rsidRPr="00D6722B">
        <w:fldChar w:fldCharType="end"/>
      </w:r>
      <w:r w:rsidR="000920B2" w:rsidRPr="00D6722B">
        <w:t xml:space="preserve">. </w:t>
      </w:r>
      <w:r w:rsidR="004D39CA" w:rsidRPr="00D6722B">
        <w:t xml:space="preserve">dsRNA produced in </w:t>
      </w:r>
      <w:r w:rsidR="004D39CA" w:rsidRPr="00D6722B">
        <w:rPr>
          <w:i/>
        </w:rPr>
        <w:t>E. coli</w:t>
      </w:r>
      <w:r w:rsidR="004D39CA" w:rsidRPr="00D6722B">
        <w:t xml:space="preserve"> which are subsequently heat-inactivated has</w:t>
      </w:r>
      <w:r w:rsidR="006A2D7A" w:rsidRPr="00D6722B">
        <w:t xml:space="preserve"> also</w:t>
      </w:r>
      <w:r w:rsidR="004D39CA" w:rsidRPr="00D6722B">
        <w:t xml:space="preserve"> been demonstrated to successfully induce RNAi in fish cells </w:t>
      </w:r>
      <w:r w:rsidR="005C0E76" w:rsidRPr="00D6722B">
        <w:fldChar w:fldCharType="begin" w:fldLock="1"/>
      </w:r>
      <w:r w:rsidR="00A551AB" w:rsidRPr="00D6722B">
        <w:instrText>ADDIN CSL_CITATION {"citationItems":[{"id":"ITEM-1","itemData":{"DOI":"10.3389/fmicb.2015.00300","ISSN":"1664-302X","abstract":"Infectious salmon anemia virus (ISAV) has caused great losses to the Chilean salmon industry, and the success of prevention and treatment strategies is uncertain. The use of RNA interference (RNAi) is a promising approach because during the replication cycle, the ISAV genome must be transcribed to mRNA in the cytoplasm. We explored the capacity of E. coli transformed with plasmids that produce double-stranded RNA (dsRNA) to induce antiviral activity when added to infected ASK cells. We transformed the non-pathogenic Escherichia coli HT115 (DE3) with plasmids that expressed highly conserved regions of the ISAV genes encoding the nucleoprotein (NP), fusion (F), hemagglutinin (HE) and matrix (M) proteins as dsRNA, which is the precursor of the RNAi mechanism. The inactivated transformed bacteria carrying dsRNA were tested for their capacity to silence the target ISAV genes, and the dsRNA that were able to inhibit gene expression were subsequently tested for their ability to attenuate the cytopathic effect (CPE) and reduce the viral load. Of the four target genes tested, inactivated E. coli transformed with plasmids producing dsRNA targeting HE showed antiviral activity when added to infected ASK cells.","author":[{"dropping-particle":"","family":"Garci­a","given":"Katherine","non-dropping-particle":"","parse-names":false,"suffix":""},{"dropping-particle":"","family":"Rami­rez-Araya","given":"Sebastia¡n","non-dropping-particle":"","parse-names":false,"suffix":""},{"dropping-particle":"","family":"Di­az","given":"Ã</w:instrText>
      </w:r>
      <w:r w:rsidR="00A551AB" w:rsidRPr="00D6722B">
        <w:rPr>
          <w:rFonts w:ascii="Calibri" w:hAnsi="Calibri" w:cs="Calibri"/>
        </w:rPr>
        <w:instrText>lvaro","non-dropping-particle":"","parse-names":false,"suffix":""},{"dropping-particle":"","family":"Reyes-Cerpa","given":"Sebastia¡n","non-dropping-particle":"","parse-names":false,"suffix":""},{"dropping-particle":"","family":"Espe</w:instrText>
      </w:r>
      <w:r w:rsidR="00A551AB" w:rsidRPr="00D6722B">
        <w:instrText>jo","given":"Romilio T.","non-dropping-particle":"","parse-names":false,"suffix":""},{"dropping-particle":"","family":"Higuera","given":"Gaston","non-dropping-particle":"","parse-names":false,"suffix":""},{"dropping-particle":"","family":"Romero","given":"Jaime","non-dropping-particle":"","parse-names":false,"suffix":""}],"container-title":"Frontiers in Microbiology","id":"ITEM-1","issued":{"date-parts":[["2015","4","16"]]},"page":"300","publisher":"Frontiers","title":"Inactivated E. coli transformed with plasmids that produce dsRNA against infectious salmon anemia virus hemagglutinin show antiviral activity when added to infected ASK cells","type":"article-journal","volume":"6"},"uris":["http://www.mendeley.com/documents/?uuid=24f31b25-7bf5-3216-b53c-9eb88e05d227"]}],"mendeley":{"formattedCitation":"(Garci­a &lt;i&gt;et al.&lt;/i&gt;, 2015)","manualFormatting":"(Garcia et al., 2015)","plainTextFormattedCitation":"(Garci­a et al., 2015)","previouslyFormattedCitation":"(Garci­a &lt;i&gt;et al.&lt;/i&gt;, 2015)"},"properties":{"noteIndex":0},"schema":"https://github.com/citation-style-language/schema/raw/master/csl-citation.json"}</w:instrText>
      </w:r>
      <w:r w:rsidR="005C0E76" w:rsidRPr="00D6722B">
        <w:fldChar w:fldCharType="separate"/>
      </w:r>
      <w:r w:rsidR="004D39CA" w:rsidRPr="00D6722B">
        <w:rPr>
          <w:noProof/>
        </w:rPr>
        <w:t xml:space="preserve">(Garcia </w:t>
      </w:r>
      <w:r w:rsidR="004D39CA" w:rsidRPr="00D6722B">
        <w:rPr>
          <w:i/>
          <w:noProof/>
        </w:rPr>
        <w:t>et al.</w:t>
      </w:r>
      <w:r w:rsidR="004D39CA" w:rsidRPr="00D6722B">
        <w:rPr>
          <w:noProof/>
        </w:rPr>
        <w:t>, 2015)</w:t>
      </w:r>
      <w:r w:rsidR="005C0E76" w:rsidRPr="00D6722B">
        <w:fldChar w:fldCharType="end"/>
      </w:r>
      <w:r w:rsidR="000920B2" w:rsidRPr="00D6722B">
        <w:t xml:space="preserve"> and this technique may have </w:t>
      </w:r>
      <w:r w:rsidR="00C21F69" w:rsidRPr="00D6722B">
        <w:t>applications outside of insecti</w:t>
      </w:r>
      <w:r w:rsidR="00EE4992" w:rsidRPr="00D6722B">
        <w:t>ci</w:t>
      </w:r>
      <w:r w:rsidR="00C21F69" w:rsidRPr="00D6722B">
        <w:t>des, such as viral or parasite control.</w:t>
      </w:r>
    </w:p>
    <w:p w:rsidR="00024F30" w:rsidRPr="00D6722B" w:rsidRDefault="00024F30" w:rsidP="000441D9">
      <w:pPr>
        <w:spacing w:line="360" w:lineRule="auto"/>
        <w:ind w:firstLine="284"/>
      </w:pPr>
      <w:r w:rsidRPr="00D6722B">
        <w:t xml:space="preserve">The concept of production of dsRNA insecticides in microorganisms has been extended to the suggestion that they could be simultaneously produced and delivered in live microorganisms capable of symbiotically colonising the insect gut </w:t>
      </w:r>
      <w:r w:rsidR="005C0E76" w:rsidRPr="00D6722B">
        <w:fldChar w:fldCharType="begin" w:fldLock="1"/>
      </w:r>
      <w:r w:rsidR="006A4FEC" w:rsidRPr="00D6722B">
        <w:instrText>ADDIN CSL_CITATION {"citationItems":[{"id":"ITEM-1","itemData":{"DOI":"10.1098/rspb.2016.0042","ISBN":"0000000205","ISSN":"0962-8452","PMID":"26911963","abstract":"RNA interference (RNAi) methods for insects are often limited by problems with double-stranded (ds) RNA delivery, which restricts reverse genetics studies and the development of RNAi-based biocides. We therefore delegated to insect symbiotic bacteria the task of: (i) constitutive dsRNA synthesis and (ii) trauma-free delivery. RNaseIII-deficient, dsRNA-expressing bacterial strains were created from the symbionts of two very diverse pest species: a long-lived blood-sucking bug, Rhodnius prolixus, and a short-lived globally invasive polyphagous agricultural pest, western flower thrips (Frankliniella occidentalis). When ingested, the manipulated bacteria colonized the insects, successfully competed with the wild-type microflora, and sustainably mediated systemic knockdown phenotypes that were horizontally transmissible. This represents a significant advance in the ability to deliver RNAi, potentially to a large range of non-model insects.","author":[{"dropping-particle":"","family":"Whitten","given":"Miranda M. A.","non-dropping-particle":"","parse-names":false,"suffix":""},{"dropping-particle":"","family":"Facey","given":"Paul D.","non-dropping-particle":"","parse-names":false,"suffix":""},{"dropping-particle":"","family":"Sol","given":"Ricardo","non-dropping-particle":"Del","parse-names":false,"suffix":""},{"dropping-particle":"","family":"Fernández-Martínez","given":"Lorena T.","non-dropping-particle":"","parse-names":false,"suffix":""},{"dropping-particle":"","family":"Evans","given":"Meirwyn C.","non-dropping-particle":"","parse-names":false,"suffix":""},{"dropping-particle":"","family":"Mitchell","given":"Jacob J.","non-dropping-particle":"","parse-names":false,"suffix":""},{"dropping-particle":"","family":"Bodger","given":"Owen G.","non-dropping-particle":"","parse-names":false,"suffix":""},{"dropping-particle":"","family":"Dyson","given":"Paul J.","non-dropping-particle":"","parse-names":false,"suffix":""}],"container-title":"Proceedings of the Royal Society B: Biological Sciences","id":"ITEM-1","issue":"1825","issued":{"date-parts":[["2016"]]},"page":"20160042","title":"Symbiont-mediated RNA interference in insects","type":"article-journal","volume":"283"},"uris":["http://www.mendeley.com/documents/?uuid=a728933d-847e-40e5-870b-33527b67f1f8"]}],"mendeley":{"formattedCitation":"(Whitten &lt;i&gt;et al.&lt;/i&gt;, 2016)","plainTextFormattedCitation":"(Whitten et al., 2016)","previouslyFormattedCitation":"(Whitten &lt;i&gt;et al.&lt;/i&gt;, 2016)"},"properties":{"noteIndex":0},"schema":"https://github.com/citation-style-language/schema/raw/master/csl-citation.json"}</w:instrText>
      </w:r>
      <w:r w:rsidR="005C0E76" w:rsidRPr="00D6722B">
        <w:fldChar w:fldCharType="separate"/>
      </w:r>
      <w:r w:rsidRPr="00D6722B">
        <w:rPr>
          <w:noProof/>
        </w:rPr>
        <w:t xml:space="preserve">(Whitten </w:t>
      </w:r>
      <w:r w:rsidRPr="00D6722B">
        <w:rPr>
          <w:i/>
          <w:noProof/>
        </w:rPr>
        <w:t>et al.</w:t>
      </w:r>
      <w:r w:rsidRPr="00D6722B">
        <w:rPr>
          <w:noProof/>
        </w:rPr>
        <w:t>, 2016)</w:t>
      </w:r>
      <w:r w:rsidR="005C0E76" w:rsidRPr="00D6722B">
        <w:fldChar w:fldCharType="end"/>
      </w:r>
      <w:r w:rsidRPr="00D6722B">
        <w:t xml:space="preserve">. This requires the choice and subsequent engineering of a suitable microbe strain, as the </w:t>
      </w:r>
      <w:r w:rsidRPr="00D6722B">
        <w:rPr>
          <w:i/>
        </w:rPr>
        <w:t>E. coli</w:t>
      </w:r>
      <w:r w:rsidRPr="00D6722B">
        <w:t xml:space="preserve"> </w:t>
      </w:r>
      <w:r w:rsidR="00EE4992" w:rsidRPr="00D6722B">
        <w:t xml:space="preserve">strains </w:t>
      </w:r>
      <w:r w:rsidRPr="00D6722B">
        <w:t>commonly used for</w:t>
      </w:r>
      <w:r w:rsidR="006A4FEC" w:rsidRPr="00D6722B">
        <w:t xml:space="preserve"> dsRNA production </w:t>
      </w:r>
      <w:r w:rsidR="00EE4992" w:rsidRPr="00D6722B">
        <w:t>may</w:t>
      </w:r>
      <w:r w:rsidR="006A4FEC" w:rsidRPr="00D6722B">
        <w:t xml:space="preserve"> induce an immune reaction</w:t>
      </w:r>
      <w:r w:rsidR="00EE4992" w:rsidRPr="00D6722B">
        <w:t>. However</w:t>
      </w:r>
      <w:r w:rsidR="006A4FEC" w:rsidRPr="00D6722B">
        <w:t xml:space="preserve">, bacterial species such as </w:t>
      </w:r>
      <w:r w:rsidR="006A4FEC" w:rsidRPr="00D6722B">
        <w:rPr>
          <w:i/>
        </w:rPr>
        <w:t>Rhodococcus rhodnii</w:t>
      </w:r>
      <w:r w:rsidR="006A4FEC" w:rsidRPr="00D6722B">
        <w:t xml:space="preserve"> that is a natural symbiont of blood-sucking triatomine insects </w:t>
      </w:r>
      <w:r w:rsidR="00EE4992" w:rsidRPr="00D6722B">
        <w:t>may be more suitable.</w:t>
      </w:r>
    </w:p>
    <w:p w:rsidR="002C76DC" w:rsidRPr="00D6722B" w:rsidRDefault="002C76DC" w:rsidP="000441D9">
      <w:pPr>
        <w:spacing w:line="360" w:lineRule="auto"/>
        <w:ind w:firstLine="284"/>
      </w:pPr>
    </w:p>
    <w:p w:rsidR="002108CC" w:rsidRDefault="002C76DC" w:rsidP="000441D9">
      <w:pPr>
        <w:spacing w:line="360" w:lineRule="auto"/>
        <w:ind w:firstLine="284"/>
      </w:pPr>
      <w:r w:rsidRPr="00D6722B">
        <w:t>Expression of dsRNA targeted against insect pests by crop plants themselves, foliar application of formulated dsRNA, or foliar application of microorganisms containing insecticidal dsRNA</w:t>
      </w:r>
      <w:r w:rsidR="00C45102">
        <w:t>,</w:t>
      </w:r>
      <w:r w:rsidRPr="00D6722B">
        <w:t xml:space="preserve"> all appear viable potential methods of inducing RNAi effects in the pests</w:t>
      </w:r>
      <w:r w:rsidR="00C45102">
        <w:t>,</w:t>
      </w:r>
      <w:r w:rsidRPr="00D6722B">
        <w:t xml:space="preserve"> lead</w:t>
      </w:r>
      <w:r w:rsidR="00C45102">
        <w:t>ing</w:t>
      </w:r>
      <w:r w:rsidRPr="00D6722B">
        <w:t xml:space="preserve"> to mortality, and thus </w:t>
      </w:r>
      <w:r w:rsidR="00C45102">
        <w:t xml:space="preserve">are all potentially viable methods </w:t>
      </w:r>
      <w:r w:rsidRPr="00D6722B">
        <w:t>of controlling infestation.</w:t>
      </w:r>
    </w:p>
    <w:p w:rsidR="002108CC" w:rsidRDefault="002108CC">
      <w:pPr>
        <w:spacing w:after="200"/>
        <w:jc w:val="left"/>
      </w:pPr>
      <w:r>
        <w:br w:type="page"/>
      </w:r>
    </w:p>
    <w:p w:rsidR="00B12A13" w:rsidRDefault="00B12A13" w:rsidP="000441D9">
      <w:pPr>
        <w:pStyle w:val="Heading2"/>
        <w:spacing w:line="360" w:lineRule="auto"/>
      </w:pPr>
      <w:bookmarkStart w:id="24" w:name="_Toc35333925"/>
      <w:r>
        <w:lastRenderedPageBreak/>
        <w:t xml:space="preserve">A review of </w:t>
      </w:r>
      <w:r w:rsidR="00D26E06">
        <w:t>chemical</w:t>
      </w:r>
      <w:r>
        <w:t xml:space="preserve"> modifications applied to siRNAs</w:t>
      </w:r>
      <w:r w:rsidR="00D26E06">
        <w:t xml:space="preserve"> and oligonucleotides</w:t>
      </w:r>
      <w:r>
        <w:t xml:space="preserve"> for medical and functional genomics research</w:t>
      </w:r>
      <w:bookmarkEnd w:id="24"/>
    </w:p>
    <w:p w:rsidR="00256BC4" w:rsidRDefault="00FD3092" w:rsidP="000441D9">
      <w:pPr>
        <w:pStyle w:val="Heading3"/>
        <w:spacing w:line="360" w:lineRule="auto"/>
      </w:pPr>
      <w:bookmarkStart w:id="25" w:name="_Toc35333926"/>
      <w:r>
        <w:t>Introduction</w:t>
      </w:r>
      <w:bookmarkEnd w:id="25"/>
    </w:p>
    <w:p w:rsidR="00B41CEB" w:rsidRDefault="00B41CEB" w:rsidP="000441D9">
      <w:pPr>
        <w:spacing w:line="360" w:lineRule="auto"/>
        <w:ind w:firstLine="284"/>
      </w:pPr>
      <w:r>
        <w:t xml:space="preserve">Common nucleic acid chemical modifications generally fall into one of three categories, either backbone modifications which subdivide into those located on the phosphate or those located on the ribose/deoxyribose groups, or base modifications. Multiple modifications are also often found in concert together within the same molecule </w:t>
      </w:r>
      <w:r w:rsidR="005C0E76">
        <w:fldChar w:fldCharType="begin" w:fldLock="1"/>
      </w:r>
      <w:r>
        <w:instrText>ADDIN CSL_CITATION {"citationItems":[{"id":"ITEM-1","itemData":{"DOI":"10.1016/j.cell.2012.08.014","ISBN":"1097-4172 (Electronic)\\n0092-8674 (Linking)","ISSN":"00928674","PMID":"22939618","abstract":"The therapeutic utility of siRNAs is limited by the requirement for complex formulations to deliver them to tissues. If potent single-stranded RNAs could be identified, they would provide a simpler path to pharmacological agents. Here, we describe single-stranded siRNAs (ss-siRNAs) that silence gene expression in animals absent lipid formulation. Effective ss-siRNAs were identified by iterative design by determining structure-activity relationships correlating chemically modified single strands and Argonaute 2 (AGO2) activities, potency in cells, nuclease stability, and pharmacokinetics. We find that the passenger strand is not necessary for potent gene silencing. The guide-strand activity requires AGO2, demonstrating action through the RNAi pathway. ss-siRNA action requires a 5??? phosphate to achieve activity in vivo, and we developed a metabolically stable 5???-(E)-vinylphosphonate (5???-VP) with conformation and sterioelectronic properties similar to the natural phosphate. Identification of potent ss-siRNAs offers an additional option for RNAi therapeutics and an alternate perspective on RNAi mechanism. ?? 2012 Elsevier Inc.","author":[{"dropping-particle":"","family":"Lima","given":"Walt F.","non-dropping-particle":"","parse-names":false,"suffix":""},{"dropping-particle":"","family":"Prakash","given":"Thazha P.","non-dropping-particle":"","parse-names":false,"suffix":""},{"dropping-particle":"","family":"Murray","given":"Heather M.","non-dropping-particle":"","parse-names":false,"suffix":""},{"dropping-particle":"","family":"Kinberger","given":"Garth a.","non-dropping-particle":"","parse-names":false,"suffix":""},{"dropping-particle":"","family":"Li","given":"Wenyu","non-dropping-particle":"","parse-names":false,"suffix":""},{"dropping-particle":"","family":"Chappell","given":"Alfred E.","non-dropping-particle":"","parse-names":false,"suffix":""},{"dropping-particle":"","family":"Li","given":"Cheryl S.","non-dropping-particle":"","parse-names":false,"suffix":""},{"dropping-particle":"","family":"Murray","given":"Susan F.","non-dropping-particle":"","parse-names":false,"suffix":""},{"dropping-particle":"","family":"Gaus","given":"Hans","non-dropping-particle":"","parse-names":false,"suffix":""},{"dropping-particle":"","family":"Seth","given":"Punit P.","non-dropping-particle":"","parse-names":false,"suffix":""},{"dropping-particle":"","family":"Swayze","given":"Eric E.","non-dropping-particle":"","parse-names":false,"suffix":""},{"dropping-particle":"","family":"Crooke","given":"Stanley T.","non-dropping-particle":"","parse-names":false,"suffix":""}],"container-title":"Cell","id":"ITEM-1","issue":"5","issued":{"date-parts":[["2012"]]},"page":"883-894","title":"Single-stranded siRNAs activate RNAi in animals","type":"article-journal","volume":"150"},"uris":["http://www.mendeley.com/documents/?uuid=e48c26ed-f193-4362-8f77-f52acb596b63"]},{"id":"ITEM-2","itemData":{"DOI":"10.1021/jacs.6b04454","ISSN":"0002-7863","abstract":"Incorporation of chemical modifications into small interfering RNAs (siRNAs) increases their metabolic stability and improves their tissue distribution. However, how these modifications impact interactions with Argonaute-2 (Ago2), the molecular target of siRNAs, is not known. Herein we present the crystal structure of human Ago2 bound to a metabolically stable siRNA containing extensive backbone modifications. Comparison to the structure of an equivalent unmodified-siRNA complex indicates that the structure of Ago2 is relatively unaffected by chemical modifications in the bound siRNA. In contrast, the modified siRNA appears to be much more plastic and shifts, relative to the unmodified siRNA, to optimize contacts with Ago2. Structure–activity analysis reveals that even major conformational perturbations in the 3′ half of the siRNA seed region have a relatively modest effect on knockdown potency. These findings provide an explanation for a variety of modification patterns tolerated in siRNAs and a structur...","author":[{"dropping-particle":"","family":"Schirle","given":"Nicole T.","non-dropping-particle":"","parse-names":false,"suffix":""},{"dropping-particle":"","family":"Kinberger","given":"Garth A.","non-dropping-particle":"","parse-names":false,"suffix":""},{"dropping-particle":"","family":"Murray","given":"Heather F.","non-dropping-particle":"","parse-names":false,"suffix":""},{"dropping-particle":"","family":"Lima","given":"Walt F.","non-dropping-particle":"","parse-names":false,"suffix":""},{"dropping-particle":"","family":"Prakash","given":"Thazha P.","non-dropping-particle":"","parse-names":false,"suffix":""},{"dropping-particle":"","family":"MacRae","given":"Ian J.","non-dropping-particle":"","parse-names":false,"suffix":""}],"container-title":"Journal of the American Chemical Society","id":"ITEM-2","issue":"28","issued":{"date-parts":[["2016","7","20"]]},"page":"8694-8697","publisher":"American Chemical Society","title":"Structural Analysis of Human Argonaute-2 Bound to a Modified siRNA Guide","type":"article-journal","volume":"138"},"uris":["http://www.mendeley.com/documents/?uuid=b45e7b7a-f26a-3ea7-9ef1-f0e0965079b4"]},{"id":"ITEM-3","itemData":{"DOI":"10.1093/nar/gkx1239","ISSN":"0305-1048","author":[{"dropping-particle":"","family":"Shen","given":"Xiulong","non-dropping-particle":"","parse-names":false,"suffix":""},{"dropping-particle":"","family":"Corey","given":"David R","non-dropping-particle":"","parse-names":false,"suffix":""}],"container-title":"Nucleic Acids Research","id":"ITEM-3","issue":"4","issued":{"date-parts":[["2018","2","28"]]},"page":"1584-1600","publisher":"Oxford University Press","title":"Chemistry, mechanism and clinical status of antisense oligonucleotides and duplex RNAs","type":"article-journal","volume":"46"},"uris":["http://www.mendeley.com/documents/?uuid=6295d2c5-0f98-380e-8eb5-eb8c980ea206"]}],"mendeley":{"formattedCitation":"(Lima &lt;i&gt;et al.&lt;/i&gt;, 2012; Schirle &lt;i&gt;et al.&lt;/i&gt;, 2016; Shen and Corey, 2018b)","plainTextFormattedCitation":"(Lima et al., 2012; Schirle et al., 2016; Shen and Corey, 2018b)","previouslyFormattedCitation":"(Lima &lt;i&gt;et al.&lt;/i&gt;, 2012; Schirle &lt;i&gt;et al.&lt;/i&gt;, 2016; Shen and Corey, 2018b)"},"properties":{"noteIndex":0},"schema":"https://github.com/citation-style-language/schema/raw/master/csl-citation.json"}</w:instrText>
      </w:r>
      <w:r w:rsidR="005C0E76">
        <w:fldChar w:fldCharType="separate"/>
      </w:r>
      <w:r w:rsidRPr="00C44B4D">
        <w:rPr>
          <w:noProof/>
        </w:rPr>
        <w:t xml:space="preserve">(Lima </w:t>
      </w:r>
      <w:r w:rsidRPr="00C44B4D">
        <w:rPr>
          <w:i/>
          <w:noProof/>
        </w:rPr>
        <w:t>et al.</w:t>
      </w:r>
      <w:r w:rsidRPr="00C44B4D">
        <w:rPr>
          <w:noProof/>
        </w:rPr>
        <w:t xml:space="preserve">, 2012; Schirle </w:t>
      </w:r>
      <w:r w:rsidRPr="00C44B4D">
        <w:rPr>
          <w:i/>
          <w:noProof/>
        </w:rPr>
        <w:t>et al.</w:t>
      </w:r>
      <w:r w:rsidRPr="00C44B4D">
        <w:rPr>
          <w:noProof/>
        </w:rPr>
        <w:t>, 2016; Shen and Corey, 2018b)</w:t>
      </w:r>
      <w:r w:rsidR="005C0E76">
        <w:fldChar w:fldCharType="end"/>
      </w:r>
      <w:r>
        <w:t xml:space="preserve"> based on rational design rules to maximise the efficacy of the siRNA or oligonucleotide. Chemical modifications are also naturally found in some nucleic acids in some systems. These topics are briefly reviewed individually below.</w:t>
      </w:r>
    </w:p>
    <w:p w:rsidR="004D5C49" w:rsidRDefault="00256BC4" w:rsidP="000441D9">
      <w:pPr>
        <w:spacing w:line="360" w:lineRule="auto"/>
        <w:ind w:firstLine="284"/>
      </w:pPr>
      <w:r>
        <w:t xml:space="preserve">Improving </w:t>
      </w:r>
      <w:r w:rsidR="00D26E06">
        <w:t>silencing</w:t>
      </w:r>
      <w:r>
        <w:t xml:space="preserve"> efficacy and stability </w:t>
      </w:r>
      <w:r w:rsidR="00D26E06">
        <w:t xml:space="preserve">of siRNAs and antisense oligonucleotides </w:t>
      </w:r>
      <w:r>
        <w:t xml:space="preserve">by means of chemical modification </w:t>
      </w:r>
      <w:r w:rsidR="00D26E06">
        <w:t>of</w:t>
      </w:r>
      <w:r>
        <w:t xml:space="preserve"> the nucleotides has received considerable study in a variety of organisms and cell types, particularly </w:t>
      </w:r>
      <w:r w:rsidRPr="00485860">
        <w:rPr>
          <w:i/>
        </w:rPr>
        <w:t>C. elegans</w:t>
      </w:r>
      <w:r>
        <w:t xml:space="preserve"> and mammalian cells</w:t>
      </w:r>
      <w:r w:rsidR="00752F27">
        <w:t xml:space="preserve">. </w:t>
      </w:r>
      <w:r w:rsidR="008B707B">
        <w:t xml:space="preserve">Chemical modification of nucleic acids pre-dates the discovery of RNAi, with studies being undertaken prior to the discovery of RNAi in 1998 in to the ability of 2’-modified nucleic acids to be enzymatically synthesised by T7 RNA polymerase </w:t>
      </w:r>
      <w:r w:rsidR="005C0E76">
        <w:fldChar w:fldCharType="begin" w:fldLock="1"/>
      </w:r>
      <w:r w:rsidR="008B707B">
        <w:instrText>ADDIN CSL_CITATION {"citationItems":[{"id":"ITEM-1","itemData":{"ISBN":"0305-1048","ISSN":"0305-1048","PMID":"7541130","abstract":"For the first time mosaic nucleic acids composed of 50% RNA and 50% DNA can be obtained as transcripts with T7 RNA polymerase. Two NTPs could be replaced simultaneously in a transcription reaction. This means more than 40 deoxynucleotides were inserted in one transcript. Previously, a maximum of two deoxynucleotides could be incorporated and 2'-O-methyl-NTPs were not substrates at all. We obtained reasonable transcript yields with a maximal level of 99% 2'-O-methyl-NTPs, and the products contained up to 58% 2'-O-methylnucleotides at more than 20 positions. Sequence-specific nucleotide incorporation was monitored by sequence ladders (partial alkali or iodine cleavage). No base misincorporations were detected with 100% dGTP, dCTP and dTTP, and with partial incorporation of dATP alpha S, 2'-O-methyl-GTP alpha S and 2'-O-methyl-CTP alpha S, whereas they were found with dATP, 2'-O-methyl-ATP alpha S and 2'-O-methyl-UTP alpha S. Quantitative data allow predetermined modification levels of partially modified transcripts. Highly modified transcripts can be used for structural and functional studies, in modification interference approaches and for in vitro evolution procedures. Modification interference studies revealed a small number of important phosphate and ribose moieties in RNase P substrates. The conversion of T7 RNA polymerase to a DNA polymerase extends the observation that there is no absolute distinction between RNA and DNA polymerases. Accordingly, an adapted concept of a primordial RNA world is presented.","author":[{"dropping-particle":"","family":"Conrad","given":"F","non-dropping-particle":"","parse-names":false,"suffix":""},{"dropping-particle":"","family":"Hanne","given":"a","non-dropping-particle":"","parse-names":false,"suffix":""},{"dropping-particle":"","family":"Gaur","given":"R K","non-dropping-particle":"","parse-names":false,"suffix":""},{"dropping-particle":"","family":"Krupp","given":"G","non-dropping-particle":"","parse-names":false,"suffix":""}],"container-title":"Nucleic acids research","id":"ITEM-1","issue":"11","issued":{"date-parts":[["1995"]]},"page":"1845-53","title":"Enzymatic synthesis of 2'-modified nucleic acids: identification of important phosphate and ribose moieties in RNase P substrates.","type":"article-journal","volume":"23"},"uris":["http://www.mendeley.com/documents/?uuid=e974ed1e-0032-47fb-aeae-f019ee56bb19"]}],"mendeley":{"formattedCitation":"(Conrad &lt;i&gt;et al.&lt;/i&gt;, 1995)","plainTextFormattedCitation":"(Conrad et al., 1995)","previouslyFormattedCitation":"(Conrad &lt;i&gt;et al.&lt;/i&gt;, 1995)"},"properties":{"noteIndex":0},"schema":"https://github.com/citation-style-language/schema/raw/master/csl-citation.json"}</w:instrText>
      </w:r>
      <w:r w:rsidR="005C0E76">
        <w:fldChar w:fldCharType="separate"/>
      </w:r>
      <w:r w:rsidR="008B707B" w:rsidRPr="00485860">
        <w:rPr>
          <w:noProof/>
        </w:rPr>
        <w:t xml:space="preserve">(Conrad </w:t>
      </w:r>
      <w:r w:rsidR="008B707B" w:rsidRPr="00485860">
        <w:rPr>
          <w:i/>
          <w:noProof/>
        </w:rPr>
        <w:t>et al.</w:t>
      </w:r>
      <w:r w:rsidR="008B707B" w:rsidRPr="00485860">
        <w:rPr>
          <w:noProof/>
        </w:rPr>
        <w:t>, 1995)</w:t>
      </w:r>
      <w:r w:rsidR="005C0E76">
        <w:fldChar w:fldCharType="end"/>
      </w:r>
      <w:r w:rsidR="008B707B">
        <w:t xml:space="preserve">, as well as creating a mosaic of both DNA and RNA. This work focused on 2’-O-methyl NTPs, which have later been </w:t>
      </w:r>
      <w:r w:rsidR="002029F9">
        <w:t>utilised</w:t>
      </w:r>
      <w:r w:rsidR="008B707B">
        <w:t xml:space="preserve"> in the context of RNAi, along with other 2’ modified NTPs (see below).</w:t>
      </w:r>
      <w:r w:rsidR="004D5C49">
        <w:t xml:space="preserve"> Many of the siRNA and antisense oligonucleotide drugs approved for use in clinical trials are heavily chemically modified </w:t>
      </w:r>
      <w:r w:rsidR="005C0E76">
        <w:fldChar w:fldCharType="begin" w:fldLock="1"/>
      </w:r>
      <w:r w:rsidR="004D5C49">
        <w:instrText>ADDIN CSL_CITATION {"citationItems":[{"id":"ITEM-1","itemData":{"DOI":"10.1093/nar/gkx1239","ISSN":"0305-1048","author":[{"dropping-particle":"","family":"Shen","given":"Xiulong","non-dropping-particle":"","parse-names":false,"suffix":""},{"dropping-particle":"","family":"Corey","given":"David R","non-dropping-particle":"","parse-names":false,"suffix":""}],"container-title":"Nucleic Acids Research","id":"ITEM-1","issue":"4","issued":{"date-parts":[["2018","2","28"]]},"page":"1584-1600","publisher":"Narnia","title":"Chemistry, mechanism and clinical status of antisense oligonucleotides and duplex RNAs","type":"article-journal","volume":"46"},"uris":["http://www.mendeley.com/documents/?uuid=005e68f5-ed4a-3ec6-bc6b-31aa77bbeb2d"]}],"mendeley":{"formattedCitation":"(Shen and Corey, 2018a)","plainTextFormattedCitation":"(Shen and Corey, 2018a)","previouslyFormattedCitation":"(Shen and Corey, 2018a)"},"properties":{"noteIndex":0},"schema":"https://github.com/citation-style-language/schema/raw/master/csl-citation.json"}</w:instrText>
      </w:r>
      <w:r w:rsidR="005C0E76">
        <w:fldChar w:fldCharType="separate"/>
      </w:r>
      <w:r w:rsidR="004D5C49" w:rsidRPr="00C44B4D">
        <w:rPr>
          <w:noProof/>
        </w:rPr>
        <w:t>(Shen and Corey, 2018a)</w:t>
      </w:r>
      <w:r w:rsidR="005C0E76">
        <w:fldChar w:fldCharType="end"/>
      </w:r>
      <w:r w:rsidR="004D5C49">
        <w:t>. As unmodified dsRNA insecticides and chemically modified siRNA drugs have both been given regulatory approval, the chances are that given sufficient research to confirm the safety of a chemically modified dsRNA insecticide, it would be likely to gain regulatory approval as well.</w:t>
      </w:r>
    </w:p>
    <w:p w:rsidR="00FD269C" w:rsidRDefault="00165863" w:rsidP="000441D9">
      <w:pPr>
        <w:spacing w:line="360" w:lineRule="auto"/>
        <w:ind w:firstLine="284"/>
      </w:pPr>
      <w:r>
        <w:t xml:space="preserve">As discussed above, nuclease degradation of dsRNA is a major barrier to successfully triggering RNAi in insects through oral application of the dsRNA, and chemically modifications have been shown to improve nucleic acid resistance against mammalian nucleases. </w:t>
      </w:r>
      <w:r w:rsidR="00D26E06">
        <w:t>However, t</w:t>
      </w:r>
      <w:r w:rsidR="00752F27">
        <w:t xml:space="preserve">here has been little investigation </w:t>
      </w:r>
      <w:r w:rsidR="004D5C49">
        <w:t xml:space="preserve">of chemically modified siRNAs or dsRNA </w:t>
      </w:r>
      <w:r w:rsidR="00752F27">
        <w:t xml:space="preserve">in </w:t>
      </w:r>
      <w:r w:rsidR="00752F27" w:rsidRPr="00752F27">
        <w:rPr>
          <w:i/>
        </w:rPr>
        <w:t>Drosophila</w:t>
      </w:r>
      <w:r w:rsidR="00752F27">
        <w:t xml:space="preserve"> or insects as</w:t>
      </w:r>
      <w:r w:rsidR="00FD269C">
        <w:t xml:space="preserve"> unmodified long dsRNA is already efficacious for RNAi, and</w:t>
      </w:r>
      <w:r w:rsidR="00752F27">
        <w:t xml:space="preserve"> </w:t>
      </w:r>
      <w:r w:rsidR="00D26E06">
        <w:t xml:space="preserve">naked </w:t>
      </w:r>
      <w:r w:rsidR="00752F27">
        <w:t>siRNAs</w:t>
      </w:r>
      <w:r w:rsidR="00D26E06">
        <w:t xml:space="preserve"> cannot be uptaken by insects.</w:t>
      </w:r>
      <w:r w:rsidR="00752F27">
        <w:t xml:space="preserve"> </w:t>
      </w:r>
      <w:r w:rsidR="00256BC4">
        <w:t xml:space="preserve">RNAi can be induced by siRNAs in </w:t>
      </w:r>
      <w:r w:rsidR="00256BC4" w:rsidRPr="00485860">
        <w:rPr>
          <w:i/>
        </w:rPr>
        <w:t>Drosophila</w:t>
      </w:r>
      <w:r w:rsidR="00256BC4">
        <w:t xml:space="preserve"> cell lysate </w:t>
      </w:r>
      <w:r w:rsidR="005C0E76">
        <w:fldChar w:fldCharType="begin" w:fldLock="1"/>
      </w:r>
      <w:r w:rsidR="00256BC4">
        <w:instrText>ADDIN CSL_CITATION {"citationItems":[{"id":"ITEM-1","itemData":{"DOI":"10.1093/emboj/20.23.6877","ISBN":"doi:10.1093/emboj/20.23.6877","ISSN":"02614189","PMID":"11726523","abstract":"Duplexes of 21-23 nucleotide (nt) RNAs are the sequence-specific mediators of RNA interference (RNAi) and post-transcriptional gene silencing (PTGS). Synthetic, short interfering RNAs (siRNAs) were examined in Drosophila melanogaster embryo lysate for their requirements regarding length, structure, chemical composition and sequence in order to mediate efficient RNAi. Duplexes of 21 nt siRNAs with 2 nt 3' overhangs were the most efficient triggers of sequence-specific mRNA degradation. Substitution of one or both siRNA strands by 2'-deoxy or 2'-O-methyl oligonucleotides abolished RNAi, although multiple 2'-deoxynucleotide substitutions at the 3' end of siRNAs were tolerated. The target recognition process is highly sequence specific, but not all positions of a siRNA contribute equally to target recognition; mismatches in the centre of the siRNA duplex prevent target RNA cleavage. The position of the cleavage site in the target RNA is defined by the 5' end of the guide siRNA rather than its 3' end. These results provide a rational basis for the design of siRNAs in future gene targeting experiments.","author":[{"dropping-particle":"","family":"Elbashir","given":"S. M.","non-dropping-particle":"","parse-names":false,"suffix":""},{"dropping-particle":"","family":"Martinez","given":"J.","non-dropping-particle":"","parse-names":false,"suffix":""},{"dropping-particle":"","family":"Patkaniowska","given":"a.","non-dropping-particle":"","parse-names":false,"suffix":""},{"dropping-particle":"","family":"Lendeckel","given":"W.","non-dropping-particle":"","parse-names":false,"suffix":""},{"dropping-particle":"","family":"Tuschl","given":"T.","non-dropping-particle":"","parse-names":false,"suffix":""}],"container-title":"EMBO Journal","id":"ITEM-1","issue":"23","issued":{"date-parts":[["2001"]]},"page":"6877-6888","title":"Functional anatomy of siRNAs for mediating efficient RNAi in Drosophila melanogaster embryo lysate","type":"article-journal","volume":"20"},"uris":["http://www.mendeley.com/documents/?uuid=896d0f93-c136-46be-8edb-4c7fa48a23dd"]}],"mendeley":{"formattedCitation":"(Elbashir &lt;i&gt;et al.&lt;/i&gt;, 2001)","plainTextFormattedCitation":"(Elbashir et al., 2001)","previouslyFormattedCitation":"(Elbashir &lt;i&gt;et al.&lt;/i&gt;, 2001)"},"properties":{"noteIndex":0},"schema":"https://github.com/citation-style-language/schema/raw/master/csl-citation.json"}</w:instrText>
      </w:r>
      <w:r w:rsidR="005C0E76">
        <w:fldChar w:fldCharType="separate"/>
      </w:r>
      <w:r w:rsidR="00256BC4" w:rsidRPr="00485860">
        <w:rPr>
          <w:noProof/>
        </w:rPr>
        <w:t xml:space="preserve">(Elbashir </w:t>
      </w:r>
      <w:r w:rsidR="00256BC4" w:rsidRPr="00485860">
        <w:rPr>
          <w:i/>
          <w:noProof/>
        </w:rPr>
        <w:t>et al.</w:t>
      </w:r>
      <w:r w:rsidR="00256BC4" w:rsidRPr="00485860">
        <w:rPr>
          <w:noProof/>
        </w:rPr>
        <w:t>, 2001)</w:t>
      </w:r>
      <w:r w:rsidR="005C0E76">
        <w:fldChar w:fldCharType="end"/>
      </w:r>
      <w:r w:rsidR="00D26E06">
        <w:t xml:space="preserve"> and the same study tested 2’-deoxy and 2’-O-Me modified siRNAs</w:t>
      </w:r>
      <w:r w:rsidR="00256BC4">
        <w:t>.</w:t>
      </w:r>
      <w:r w:rsidR="00D26E06">
        <w:t xml:space="preserve"> However, to our knowledge, no studies have examined the efficacy of chemically modified siRNAs or dsRNA in whole cell or whole organism insect systems.</w:t>
      </w:r>
      <w:r w:rsidR="00256BC4">
        <w:t xml:space="preserve"> </w:t>
      </w:r>
      <w:r w:rsidR="008B707B">
        <w:t xml:space="preserve">The literature on chemically modified siRNAs and antisense oligonucleotides for use in mammalian, </w:t>
      </w:r>
      <w:r w:rsidR="008B707B" w:rsidRPr="008B707B">
        <w:rPr>
          <w:i/>
        </w:rPr>
        <w:t>C. elegans</w:t>
      </w:r>
      <w:r w:rsidR="008B707B">
        <w:t>, and other non-insect systems is therefore a solid basis from which to select chemical modifications which may modulate the RNAi efficacy of long chemically modified dsRNA in insects.</w:t>
      </w:r>
    </w:p>
    <w:p w:rsidR="00D6722B" w:rsidRDefault="00D6722B" w:rsidP="000441D9">
      <w:pPr>
        <w:spacing w:line="360" w:lineRule="auto"/>
        <w:ind w:firstLine="284"/>
      </w:pPr>
    </w:p>
    <w:p w:rsidR="00B12A13" w:rsidRDefault="009D551A" w:rsidP="000441D9">
      <w:pPr>
        <w:pStyle w:val="Heading3"/>
        <w:spacing w:line="360" w:lineRule="auto"/>
      </w:pPr>
      <w:bookmarkStart w:id="26" w:name="_Toc35333927"/>
      <w:r>
        <w:lastRenderedPageBreak/>
        <w:t>Nucleic acid b</w:t>
      </w:r>
      <w:r w:rsidR="00B12A13">
        <w:t xml:space="preserve">ackbone </w:t>
      </w:r>
      <w:r>
        <w:t xml:space="preserve">chemical </w:t>
      </w:r>
      <w:r w:rsidR="00B12A13">
        <w:t>modifications</w:t>
      </w:r>
      <w:bookmarkEnd w:id="26"/>
    </w:p>
    <w:p w:rsidR="00256BC4" w:rsidRDefault="00256BC4" w:rsidP="000441D9">
      <w:pPr>
        <w:spacing w:line="360" w:lineRule="auto"/>
        <w:ind w:firstLine="284"/>
      </w:pPr>
      <w:r w:rsidRPr="00D6722B">
        <w:t xml:space="preserve">The majority of backbone </w:t>
      </w:r>
      <w:r w:rsidR="004F5C82" w:rsidRPr="00D6722B">
        <w:t xml:space="preserve">chemical </w:t>
      </w:r>
      <w:r w:rsidRPr="00D6722B">
        <w:t xml:space="preserve">modifications incorporated into siRNAs for </w:t>
      </w:r>
      <w:r w:rsidR="004F5C82" w:rsidRPr="00D6722B">
        <w:t xml:space="preserve">research in mammalian and other systems </w:t>
      </w:r>
      <w:r w:rsidRPr="00D6722B">
        <w:t>have been either phosphorothioate modifications or 2’ ribose modifications, including 2’</w:t>
      </w:r>
      <w:r w:rsidR="004F5C82" w:rsidRPr="00D6722B">
        <w:t>-</w:t>
      </w:r>
      <w:r w:rsidRPr="00D6722B">
        <w:t>fluoro, 2’-O-methyl, 2’</w:t>
      </w:r>
      <w:r w:rsidR="004F5C82" w:rsidRPr="00D6722B">
        <w:t>-</w:t>
      </w:r>
      <w:r w:rsidRPr="00D6722B">
        <w:t xml:space="preserve">amino and locked nucleic acid (LNA) modifications. These </w:t>
      </w:r>
      <w:r w:rsidR="00433B29" w:rsidRPr="00D6722B">
        <w:t xml:space="preserve">chemical </w:t>
      </w:r>
      <w:r w:rsidRPr="00D6722B">
        <w:t>modifications</w:t>
      </w:r>
      <w:r w:rsidR="00433B29" w:rsidRPr="00D6722B">
        <w:t xml:space="preserve"> have been utilised repeatedly in research in mammalian and other systems</w:t>
      </w:r>
      <w:r w:rsidRPr="00D6722B">
        <w:t xml:space="preserve"> </w:t>
      </w:r>
      <w:r w:rsidR="005C0E76" w:rsidRPr="00717CC7">
        <w:fldChar w:fldCharType="begin" w:fldLock="1"/>
      </w:r>
      <w:r w:rsidRPr="00717CC7">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&lt;sup&gt;†&lt;/sup&gt;","type":"article-journal","volume":"42"},"uris":["http://www.mendeley.com/documents/?uuid=64a42631-2469-393f-899d-064802514614"]},{"id":"ITEM-2","itemData":{"DOI":"10.1093/nar/gkp106","ISBN":"1362-4962 (Electronic)\\n0305-1048 (Linking)","ISSN":"03051048","PMID":"19282453","abstract":"The use of chemically synthesized short interfering RNAs (siRNAs) is currently the method of choice to manipulate gene expression in mammalian cell culture, yet improvements of siRNA design is expectably required for successful application in vivo. Several studies have aimed at improving siRNA performance through the introduction of chemical modifications but a direct comparison of these results is difficult. We have directly compared the effect of 21 types of chemical modifications on siRNA activity and toxicity in a total of 2160 siRNA duplexes. We demonstrate that siRNA activity is primarily enhanced by favouring the incorporation of the intended antisense strand during RNA-induced silencing complex (RISC) loading by modulation of siRNA thermodynamic asymmetry and engineering of siRNA 3'-overhangs. Collectively, our results provide unique insights into the tolerance for chemical modifications and provide a simple guide to successful chemical modification of siRNAs with improved activity, stability and low toxicity.","author":[{"dropping-particle":"","family":"Bramsen","given":"Jesper B.","non-dropping-particle":"","parse-names":false,"suffix":""},{"dropping-particle":"","family":"Laursen","given":"Maria B.","non-dropping-particle":"","parse-names":false,"suffix":""},{"dropping-particle":"","family":"Nielsen","given":"Anne F.","non-dropping-particle":"","parse-names":false,"suffix":""},{"dropping-particle":"","family":"Hansen","given":"Thomas B.","non-dropping-particle":"","parse-names":false,"suffix":""},{"dropping-particle":"","family":"Bus","given":"Claus","non-dropping-particle":"","parse-names":false,"suffix":""},{"dropping-particle":"","family":"Langkjoør","given":"Niels","non-dropping-particle":"","parse-names":false,"suffix":""},{"dropping-particle":"","family":"Babu","given":"B. Ravindra","non-dropping-particle":"","parse-names":false,"suffix":""},{"dropping-particle":"","family":"Højland","given":"Torben","non-dropping-particle":"","parse-names":false,"suffix":""},{"dropping-particle":"","family":"Abramov","given":"Mikhail","non-dropping-particle":"","parse-names":false,"suffix":""},{"dropping-particle":"","family":"Aerschot","given":"Arthur","non-dropping-particle":"Van","parse-names":false,"suffix":""},{"dropping-particle":"","family":"Odadzic","given":"Dalibor","non-dropping-particle":"","parse-names":false,"suffix":""},{"dropping-particle":"","family":"Smicius","given":"Romualdas","non-dropping-particle":"","parse-names":false,"suffix":""},{"dropping-particle":"","family":"Haas","given":"Jens","non-dropping-particle":"","parse-names":false,"suffix":""},{"dropping-particle":"","family":"Andree","given":"Cordula","non-dropping-particle":"","parse-names":false,"suffix":""},{"dropping-particle":"","family":"Barman","given":"Jharna","non-dropping-particle":"","parse-names":false,"suffix":""},{"dropping-particle":"","family":"Wenska","given":"Malgorzata","non-dropping-particle":"","parse-names":false,"suffix":""},{"dropping-particle":"","family":"Srivastava","given":"Puneet","non-dropping-particle":"","parse-names":false,"suffix":""},{"dropping-particle":"","family":"Zhou","given":"Chuanzheng","non-dropping-particle":"","parse-names":false,"suffix":""},{"dropping-particle":"","family":"Honcharenko","given":"Dmytro","non-dropping-particle":"","parse-names":false,"suffix":""},{"dropping-particle":"","family":"Hess","given":"Simone","non-dropping-particle":"","parse-names":false,"suffix":""},{"dropping-particle":"","family":"Müller","given":"Elke","non-dropping-particle":"","parse-names":false,"suffix":""},{"dropping-particle":"V.","family":"Bobkov","given":"Georgii","non-dropping-particle":"","parse-names":false,"suffix":""},{"dropping-particle":"","family":"Mikhailov","given":"Sergey N.","non-dropping-particle":"","parse-names":false,"suffix":""},{"dropping-particle":"","family":"Fava","given":"Eugenio","non-dropping-particle":"","parse-names":false,"suffix":""},{"dropping-particle":"","family":"Meyer","given":"Thomas F.","non-dropping-particle":"","parse-names":false,"suffix":""},{"dropping-particle":"","family":"Chattopadhyaya","given":"Jyoti","non-dropping-particle":"","parse-names":false,"suffix":""},{"dropping-particle":"","family":"Zerial","given":"Marino","non-dropping-particle":"","parse-names":false,"suffix":""},{"dropping-particle":"","family":"Engels","given":"Joachim W.","non-dropping-particle":"","parse-names":false,"suffix":""},{"dropping-particle":"","family":"Herdewijn","given":"Piet","non-dropping-particle":"","parse-names":false,"suffix":""},{"dropping-particle":"","family":"Wengel","given":"Jesper","non-dropping-particle":"","parse-names":false,"suffix":""},{"dropping-particle":"","family":"Kjems","given":"Jørgen","non-dropping-particle":"","parse-names":false,"suffix":""}],"container-title":"Nucleic Acids Research","id":"ITEM-2","issue":"9","issued":{"date-parts":[["2009"]]},"page":"2867-2881","title":"A large-scale chemical modification screen identifies design rules to generate siRNAs with high activity, high stability and low toxicity","type":"article-journal","volume":"37"},"uris":["http://www.mendeley.com/documents/?uuid=f0ca2a66-5bdf-4f38-9409-6893e9982616"]},{"id":"ITEM-3","itemData":{"DOI":"10.1016/j.cell.2012.08.014","ISBN":"1097-4172 (Electronic)\\n0092-8674 (Linking)","ISSN":"00928674","PMID":"22939618","abstract":"The therapeutic utility of siRNAs is limited by the requirement for complex formulations to deliver them to tissues. If potent single-stranded RNAs could be identified, they would provide a simpler path to pharmacological agents. Here, we describe single-stranded siRNAs (ss-siRNAs) that silence gene expression in animals absent lipid formulation. Effective ss-siRNAs were identified by iterative design by determining structure-activity relationships correlating chemically modified single strands and Argonaute 2 (AGO2) activities, potency in cells, nuclease stability, and pharmacokinetics. We find that the passenger strand is not necessary for potent gene silencing. The guide-strand activity requires AGO2, demonstrating action through the RNAi pathway. ss-siRNA action requires a 5??? phosphate to achieve activity in vivo, and we developed a metabolically stable 5???-(E)-vinylphosphonate (5???-VP) with conformation and sterioelectronic properties similar to the natural phosphate. Identification of potent ss-siRNAs offers an additional option for RNAi therapeutics and an alternate perspective on RNAi mechanism. ?? 2012 Elsevier Inc.","author":[{"dropping-particle":"","family":"Lima","given":"Walt F.","non-dropping-particle":"","parse-names":false,"suffix":""},{"dropping-particle":"","family":"Prakash","given":"Thazha P.","non-dropping-particle":"","parse-names":false,"suffix":""},{"dropping-particle":"","family":"Murray","given":"Heather M.","non-dropping-particle":"","parse-names":false,"suffix":""},{"dropping-particle":"","family":"Kinberger","given":"Garth a.","non-dropping-particle":"","parse-names":false,"suffix":""},{"dropping-particle":"","family":"Li","given":"Wenyu","non-dropping-particle":"","parse-names":false,"suffix":""},{"dropping-particle":"","family":"Chappell","given":"Alfred E.","non-dropping-particle":"","parse-names":false,"suffix":""},{"dropping-particle":"","family":"Li","given":"Cheryl S.","non-dropping-particle":"","parse-names":false,"suffix":""},{"dropping-particle":"","family":"Murray","given":"Susan F.","non-dropping-particle":"","parse-names":false,"suffix":""},{"dropping-particle":"","family":"Gaus","given":"Hans","non-dropping-particle":"","parse-names":false,"suffix":""},{"dropping-particle":"","family":"Seth","given":"Punit P.","non-dropping-particle":"","parse-names":false,"suffix":""},{"dropping-particle":"","family":"Swayze","given":"Eric E.","non-dropping-particle":"","parse-names":false,"suffix":""},{"dropping-particle":"","family":"Crooke","given":"Stanley T.","non-dropping-particle":"","parse-names":false,"suffix":""}],"container-title":"Cell","id":"ITEM-3","issue":"5","issued":{"date-parts":[["2012"]]},"page":"883-894","title":"Single-stranded siRNAs activate RNAi in animals","type":"article-journal","volume":"150"},"uris":["http://www.mendeley.com/documents/?uuid=e48c26ed-f193-4362-8f77-f52acb596b63"]},{"id":"ITEM-4","itemData":{"ISSN":"1097-2765","PMID":"11106747","abstract":"In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cell","id":"ITEM-4","issue":"5","issued":{"date-parts":[["2000","11"]]},"page":"1077-87","title":"Functional anatomy of a dsRNA trigger: differential requirement for the two trigger strands in RNA interference.","type":"article-journal","volume":"6"},"uris":["http://www.mendeley.com/documents/?uuid=42e8fc97-72a8-376f-85fe-7340e9548145"]},{"id":"ITEM-5","itemData":{"DOI":"10.1021/jm050822c","ISSN":"0022-2623","PMID":"16509579","abstract":"A systematic structure-activity relationship study of 4'-thioribose containing small interfering RNAs (siRNAs) has led to the identification of highly potent and stable antisense constructs. To enable this optimization effort for both in vitro and in vivo applications, we have significantly improved the yields of 4'-thioribonucleosides by using a chirally pure (R)-sulfoxide precursor. siRNA duplexes containing strategically placed regions of 4'-thio-RNA were synthesized and evaluated for RNA interference activity and plasma stability. Stretches of 4'-thio-RNA were well tolerated in both the antisense and sense strands. However, optimization of both the number and placement of 4'-thioribonucleosides was necessary for maximal potency. These optimized siRNAs were generally equipotent or superior to native siRNAs and exhibited increased thermal and plasma stability. Furthermore, significant improvements in siRNA activity and plasma stability were achieved by judicious combination of 4'-thioribose with 2'-O-methyl and 2'-O-methoxyethyl modifications. These optimized 4'-thio-siRNAs may be valuable for developing stable siRNAs for therapeutic applications.","author":[{"dropping-particle":"","family":"Dande","given":"Prasad","non-dropping-particle":"","parse-names":false,"suffix":""},{"dropping-particle":"","family":"Prakash","given":"Thazha P","non-dropping-particle":"","parse-names":false,"suffix":""},{"dropping-particle":"","family":"Sioufi","given":"Namir","non-dropping-particle":"","parse-names":false,"suffix":""},{"dropping-particle":"","family":"Gaus","given":"Hans","non-dropping-particle":"","parse-names":false,"suffix":""},{"dropping-particle":"","family":"Jarres","given":"Russell","non-dropping-particle":"","parse-names":false,"suffix":""},{"dropping-particle":"","family":"Berdeja","given":"Andreas","non-dropping-particle":"","parse-names":false,"suffix":""},{"dropping-particle":"","family":"Swayze","given":"Eric E","non-dropping-particle":"","parse-names":false,"suffix":""},{"dropping-particle":"","family":"Griffey","given":"Richard H","non-dropping-particle":"","parse-names":false,"suffix":""},{"dropping-particle":"","family":"Bhat","given":"Balkrishen","non-dropping-particle":"","parse-names":false,"suffix":""}],"container-title":"Journal of medicinal chemistry","id":"ITEM-5","issue":"5","issued":{"date-parts":[["2006","3","9"]]},"page":"1624-34","title":"Improving RNA interference in mammalian cells by 4'-thio-modified small interfering RNA (siRNA): effect on siRNA activity and nuclease stability when used in combination with 2'-O-alkyl modifications.","type":"article-journal","volume":"49"},"uris":["http://www.mendeley.com/documents/?uuid=588ff7ac-f78c-3aca-a63e-043bb8f2422b"]}],"mendeley":{"formattedCitation":"(Parrish &lt;i&gt;et al.&lt;/i&gt;, 2000; Braasch &lt;i&gt;et al.&lt;/i&gt;, 2003; Dande &lt;i&gt;et al.&lt;/i&gt;, 2006; Bramsen &lt;i&gt;et al.&lt;/i&gt;, 2009; Lima &lt;i&gt;et al.&lt;/i&gt;, 2012)","plainTextFormattedCitation":"(Parrish et al., 2000; Braasch et al., 2003; Dande et al., 2006; Bramsen et al., 2009; Lima et al., 2012)","previouslyFormattedCitation":"(Parrish &lt;i&gt;et al.&lt;/i&gt;, 2000; Braasch &lt;i&gt;et al.&lt;/i&gt;, 2003; Dande &lt;i&gt;et al.&lt;/i&gt;, 2006; Bramsen &lt;i&gt;et al.&lt;/i&gt;, 2009; Lima &lt;i&gt;et al.&lt;/i&gt;, 2012)"},"properties":{"noteIndex":0},"schema":"https://github.com/citation-style-language/schema/raw/master/csl-citation.json"}</w:instrText>
      </w:r>
      <w:r w:rsidR="005C0E76" w:rsidRPr="00717CC7">
        <w:fldChar w:fldCharType="separate"/>
      </w:r>
      <w:r w:rsidRPr="00717CC7">
        <w:rPr>
          <w:noProof/>
        </w:rPr>
        <w:t xml:space="preserve">(Parrish </w:t>
      </w:r>
      <w:r w:rsidRPr="00717CC7">
        <w:rPr>
          <w:i/>
          <w:noProof/>
        </w:rPr>
        <w:t>et al.</w:t>
      </w:r>
      <w:r w:rsidRPr="00717CC7">
        <w:rPr>
          <w:noProof/>
        </w:rPr>
        <w:t xml:space="preserve">, 2000; Braasch </w:t>
      </w:r>
      <w:r w:rsidRPr="00717CC7">
        <w:rPr>
          <w:i/>
          <w:noProof/>
        </w:rPr>
        <w:t>et al.</w:t>
      </w:r>
      <w:r w:rsidRPr="00717CC7">
        <w:rPr>
          <w:noProof/>
        </w:rPr>
        <w:t xml:space="preserve">, 2003; Dande </w:t>
      </w:r>
      <w:r w:rsidRPr="00717CC7">
        <w:rPr>
          <w:i/>
          <w:noProof/>
        </w:rPr>
        <w:t>et al.</w:t>
      </w:r>
      <w:r w:rsidRPr="00717CC7">
        <w:rPr>
          <w:noProof/>
        </w:rPr>
        <w:t xml:space="preserve">, 2006; Bramsen </w:t>
      </w:r>
      <w:r w:rsidRPr="00717CC7">
        <w:rPr>
          <w:i/>
          <w:noProof/>
        </w:rPr>
        <w:t>et al.</w:t>
      </w:r>
      <w:r w:rsidRPr="00717CC7">
        <w:rPr>
          <w:noProof/>
        </w:rPr>
        <w:t xml:space="preserve">, 2009; Lima </w:t>
      </w:r>
      <w:r w:rsidRPr="00717CC7">
        <w:rPr>
          <w:i/>
          <w:noProof/>
        </w:rPr>
        <w:t>et al.</w:t>
      </w:r>
      <w:r w:rsidRPr="00717CC7">
        <w:rPr>
          <w:noProof/>
        </w:rPr>
        <w:t>, 2012)</w:t>
      </w:r>
      <w:r w:rsidR="005C0E76" w:rsidRPr="00717CC7">
        <w:fldChar w:fldCharType="end"/>
      </w:r>
      <w:r w:rsidRPr="00717CC7">
        <w:t xml:space="preserve"> and are shown in figure 1.</w:t>
      </w:r>
      <w:r w:rsidR="002108CC" w:rsidRPr="00717CC7">
        <w:t>4</w:t>
      </w:r>
      <w:r w:rsidRPr="00717CC7">
        <w:t>. 2’</w:t>
      </w:r>
      <w:r w:rsidR="004F5C82" w:rsidRPr="00717CC7">
        <w:t>-</w:t>
      </w:r>
      <w:r w:rsidRPr="00717CC7">
        <w:t>amino</w:t>
      </w:r>
      <w:r w:rsidRPr="00D6722B">
        <w:t xml:space="preserve"> modifications failed to be compatible with RNAi machinery and so are omitted </w:t>
      </w:r>
      <w:r w:rsidR="005C0E76" w:rsidRPr="00D6722B">
        <w:fldChar w:fldCharType="begin" w:fldLock="1"/>
      </w:r>
      <w:r w:rsidR="00FD3092"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rsidRPr="00D6722B">
        <w:fldChar w:fldCharType="separate"/>
      </w:r>
      <w:r w:rsidR="0029702B" w:rsidRPr="00D6722B">
        <w:rPr>
          <w:noProof/>
        </w:rPr>
        <w:t xml:space="preserve">(Parrish </w:t>
      </w:r>
      <w:r w:rsidR="0029702B" w:rsidRPr="00D6722B">
        <w:rPr>
          <w:i/>
          <w:noProof/>
        </w:rPr>
        <w:t>et al.</w:t>
      </w:r>
      <w:r w:rsidR="0029702B" w:rsidRPr="00D6722B">
        <w:rPr>
          <w:noProof/>
        </w:rPr>
        <w:t>, 2000)</w:t>
      </w:r>
      <w:r w:rsidR="005C0E76" w:rsidRPr="00D6722B">
        <w:fldChar w:fldCharType="end"/>
      </w:r>
      <w:r w:rsidRPr="00D6722B">
        <w:t>.</w:t>
      </w:r>
    </w:p>
    <w:p w:rsidR="002108CC" w:rsidRDefault="002108CC" w:rsidP="000441D9">
      <w:pPr>
        <w:spacing w:line="360" w:lineRule="auto"/>
        <w:ind w:firstLine="284"/>
      </w:pPr>
    </w:p>
    <w:p w:rsidR="002108CC" w:rsidRDefault="002108CC" w:rsidP="002108CC">
      <w:pPr>
        <w:keepNext/>
        <w:spacing w:line="360" w:lineRule="auto"/>
        <w:ind w:firstLine="284"/>
        <w:jc w:val="center"/>
      </w:pPr>
      <w:r w:rsidRPr="002108CC">
        <w:rPr>
          <w:noProof/>
          <w:lang w:eastAsia="en-GB"/>
        </w:rPr>
        <w:drawing>
          <wp:inline distT="0" distB="0" distL="0" distR="0">
            <wp:extent cx="5256584" cy="3919736"/>
            <wp:effectExtent l="19050" t="0" r="0" b="0"/>
            <wp:docPr id="13"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56584" cy="3919736"/>
                      <a:chOff x="2100300" y="1905000"/>
                      <a:chExt cx="5256584" cy="3919736"/>
                    </a:xfrm>
                  </a:grpSpPr>
                  <a:grpSp>
                    <a:nvGrpSpPr>
                      <a:cNvPr id="18" name="Group 17"/>
                      <a:cNvGrpSpPr/>
                    </a:nvGrpSpPr>
                    <a:grpSpPr>
                      <a:xfrm>
                        <a:off x="2100300" y="1905000"/>
                        <a:ext cx="5256584" cy="3919736"/>
                        <a:chOff x="2100300" y="1905000"/>
                        <a:chExt cx="5256584" cy="3919736"/>
                      </a:xfrm>
                    </a:grpSpPr>
                    <a:pic>
                      <a:nvPicPr>
                        <a:cNvPr id="10" name="Picture 2" descr="C:\Users\John\Desktop\University\PhD\Presentations\Chemical Diagrams\Unmodified RNA.tif"/>
                        <a:cNvPicPr>
                          <a:picLocks noChangeAspect="1" noChangeArrowheads="1"/>
                        </a:cNvPicPr>
                      </a:nvPicPr>
                      <a:blipFill>
                        <a:blip r:embed="rId17" cstate="print"/>
                        <a:srcRect r="22736" b="50000"/>
                        <a:stretch>
                          <a:fillRect/>
                        </a:stretch>
                      </a:blipFill>
                      <a:spPr bwMode="auto">
                        <a:xfrm>
                          <a:off x="2133600" y="1905000"/>
                          <a:ext cx="4876800" cy="1708150"/>
                        </a:xfrm>
                        <a:prstGeom prst="rect">
                          <a:avLst/>
                        </a:prstGeom>
                        <a:noFill/>
                      </a:spPr>
                    </a:pic>
                    <a:pic>
                      <a:nvPicPr>
                        <a:cNvPr id="11" name="Picture 3" descr="C:\Users\John\Desktop\University\PhD\Presentations\Chemical Diagrams\Unmodified RNA.tif"/>
                        <a:cNvPicPr>
                          <a:picLocks noChangeAspect="1" noChangeArrowheads="1"/>
                        </a:cNvPicPr>
                      </a:nvPicPr>
                      <a:blipFill>
                        <a:blip r:embed="rId17" cstate="print"/>
                        <a:srcRect l="14487" t="47769" r="7042"/>
                        <a:stretch>
                          <a:fillRect/>
                        </a:stretch>
                      </a:blipFill>
                      <a:spPr bwMode="auto">
                        <a:xfrm>
                          <a:off x="2133600" y="3685220"/>
                          <a:ext cx="4953000" cy="1784350"/>
                        </a:xfrm>
                        <a:prstGeom prst="rect">
                          <a:avLst/>
                        </a:prstGeom>
                        <a:noFill/>
                      </a:spPr>
                    </a:pic>
                    <a:pic>
                      <a:nvPicPr>
                        <a:cNvPr id="12" name="Picture 2" descr="C:\Users\John\Desktop\University\PhD\Presentations\Chemical Diagrams\Unmodified RNA.tif"/>
                        <a:cNvPicPr>
                          <a:picLocks noChangeAspect="1" noChangeArrowheads="1"/>
                        </a:cNvPicPr>
                      </a:nvPicPr>
                      <a:blipFill>
                        <a:blip r:embed="rId17" cstate="print"/>
                        <a:srcRect l="77264" b="50000"/>
                        <a:stretch>
                          <a:fillRect/>
                        </a:stretch>
                      </a:blipFill>
                      <a:spPr bwMode="auto">
                        <a:xfrm>
                          <a:off x="3869556" y="3844516"/>
                          <a:ext cx="1435100" cy="1708150"/>
                        </a:xfrm>
                        <a:prstGeom prst="rect">
                          <a:avLst/>
                        </a:prstGeom>
                        <a:noFill/>
                      </a:spPr>
                    </a:pic>
                    <a:sp>
                      <a:nvSpPr>
                        <a:cNvPr id="4" name="TextBox 3"/>
                        <a:cNvSpPr txBox="1"/>
                      </a:nvSpPr>
                      <a:spPr>
                        <a:xfrm>
                          <a:off x="2100300" y="3412468"/>
                          <a:ext cx="1371600" cy="461665"/>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200" b="1" dirty="0" smtClean="0">
                                <a:solidFill>
                                  <a:srgbClr val="7030A0"/>
                                </a:solidFill>
                              </a:rPr>
                              <a:t>Phosphorothioate</a:t>
                            </a:r>
                          </a:p>
                          <a:p>
                            <a:pPr algn="ctr"/>
                            <a:r>
                              <a:rPr lang="en-GB" sz="1200" b="1" dirty="0" smtClean="0">
                                <a:solidFill>
                                  <a:srgbClr val="7030A0"/>
                                </a:solidFill>
                              </a:rPr>
                              <a:t>(PS)</a:t>
                            </a:r>
                            <a:endParaRPr lang="en-GB" sz="1200" b="1" dirty="0">
                              <a:solidFill>
                                <a:srgbClr val="7030A0"/>
                              </a:solidFill>
                            </a:endParaRPr>
                          </a:p>
                        </a:txBody>
                        <a:useSpRect/>
                      </a:txSp>
                    </a:sp>
                    <a:sp>
                      <a:nvSpPr>
                        <a:cNvPr id="5" name="TextBox 4"/>
                        <a:cNvSpPr txBox="1"/>
                      </a:nvSpPr>
                      <a:spPr>
                        <a:xfrm>
                          <a:off x="3877816" y="3412468"/>
                          <a:ext cx="1354832" cy="461665"/>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200" b="1" dirty="0" smtClean="0">
                                <a:solidFill>
                                  <a:srgbClr val="7030A0"/>
                                </a:solidFill>
                              </a:rPr>
                              <a:t>Unmodified RNA</a:t>
                            </a:r>
                          </a:p>
                          <a:p>
                            <a:pPr algn="ctr"/>
                            <a:r>
                              <a:rPr lang="en-GB" sz="1200" b="1" dirty="0" smtClean="0">
                                <a:solidFill>
                                  <a:srgbClr val="7030A0"/>
                                </a:solidFill>
                              </a:rPr>
                              <a:t>(Unmod)</a:t>
                            </a:r>
                            <a:endParaRPr lang="en-GB" sz="1200" b="1" dirty="0">
                              <a:solidFill>
                                <a:srgbClr val="7030A0"/>
                              </a:solidFill>
                            </a:endParaRPr>
                          </a:p>
                        </a:txBody>
                        <a:useSpRect/>
                      </a:txSp>
                    </a:sp>
                    <a:sp>
                      <a:nvSpPr>
                        <a:cNvPr id="7" name="TextBox 6"/>
                        <a:cNvSpPr txBox="1"/>
                      </a:nvSpPr>
                      <a:spPr>
                        <a:xfrm>
                          <a:off x="2329644" y="5356684"/>
                          <a:ext cx="1066800" cy="461665"/>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200" b="1" dirty="0" smtClean="0">
                                <a:solidFill>
                                  <a:srgbClr val="7030A0"/>
                                </a:solidFill>
                              </a:rPr>
                              <a:t>2’-O-Methyl</a:t>
                            </a:r>
                          </a:p>
                          <a:p>
                            <a:pPr algn="ctr"/>
                            <a:r>
                              <a:rPr lang="en-GB" sz="1200" b="1" dirty="0" smtClean="0">
                                <a:solidFill>
                                  <a:srgbClr val="7030A0"/>
                                </a:solidFill>
                              </a:rPr>
                              <a:t>(2’-O-Me)</a:t>
                            </a:r>
                            <a:endParaRPr lang="en-GB" sz="1200" b="1" dirty="0">
                              <a:solidFill>
                                <a:srgbClr val="7030A0"/>
                              </a:solidFill>
                            </a:endParaRPr>
                          </a:p>
                        </a:txBody>
                        <a:useSpRect/>
                      </a:txSp>
                    </a:sp>
                    <a:pic>
                      <a:nvPicPr>
                        <a:cNvPr id="13" name="Picture 2" descr="C:\Users\John\Desktop\University\PhD\Presentations\Chemical Diagrams\Unmodified RNA.tif"/>
                        <a:cNvPicPr>
                          <a:picLocks noChangeAspect="1" noChangeArrowheads="1"/>
                        </a:cNvPicPr>
                      </a:nvPicPr>
                      <a:blipFill>
                        <a:blip r:embed="rId17" cstate="print"/>
                        <a:srcRect l="25098" r="48662" b="50000"/>
                        <a:stretch>
                          <a:fillRect/>
                        </a:stretch>
                      </a:blipFill>
                      <a:spPr bwMode="auto">
                        <a:xfrm>
                          <a:off x="5520680" y="3844516"/>
                          <a:ext cx="1692188" cy="1745283"/>
                        </a:xfrm>
                        <a:prstGeom prst="rect">
                          <a:avLst/>
                        </a:prstGeom>
                        <a:noFill/>
                      </a:spPr>
                    </a:pic>
                    <a:sp>
                      <a:nvSpPr>
                        <a:cNvPr id="14" name="Rectangle 13"/>
                        <a:cNvSpPr/>
                      </a:nvSpPr>
                      <a:spPr>
                        <a:xfrm>
                          <a:off x="6217464" y="4574480"/>
                          <a:ext cx="248851" cy="82950"/>
                        </a:xfrm>
                        <a:prstGeom prst="rect">
                          <a:avLst/>
                        </a:prstGeom>
                        <a:solidFill>
                          <a:schemeClr val="bg1"/>
                        </a:solidFill>
                        <a:ln>
                          <a:no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TextBox 7"/>
                        <a:cNvSpPr txBox="1"/>
                      </a:nvSpPr>
                      <a:spPr>
                        <a:xfrm>
                          <a:off x="3540460" y="5363071"/>
                          <a:ext cx="2057400" cy="461665"/>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200" b="1" dirty="0" smtClean="0">
                                <a:solidFill>
                                  <a:srgbClr val="7030A0"/>
                                </a:solidFill>
                              </a:rPr>
                              <a:t>Locked Nucleic Acid</a:t>
                            </a:r>
                          </a:p>
                          <a:p>
                            <a:pPr algn="ctr"/>
                            <a:r>
                              <a:rPr lang="en-GB" sz="1200" b="1" dirty="0" smtClean="0">
                                <a:solidFill>
                                  <a:srgbClr val="7030A0"/>
                                </a:solidFill>
                              </a:rPr>
                              <a:t>(LNA)</a:t>
                            </a:r>
                            <a:endParaRPr lang="en-GB" sz="1200" b="1" dirty="0">
                              <a:solidFill>
                                <a:srgbClr val="7030A0"/>
                              </a:solidFill>
                            </a:endParaRPr>
                          </a:p>
                        </a:txBody>
                        <a:useSpRect/>
                      </a:txSp>
                    </a:sp>
                    <a:sp>
                      <a:nvSpPr>
                        <a:cNvPr id="16" name="TextBox 15"/>
                        <a:cNvSpPr txBox="1"/>
                      </a:nvSpPr>
                      <a:spPr>
                        <a:xfrm>
                          <a:off x="5299484" y="5356684"/>
                          <a:ext cx="2057400" cy="461665"/>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200" b="1" dirty="0" smtClean="0">
                                <a:solidFill>
                                  <a:srgbClr val="7030A0"/>
                                </a:solidFill>
                              </a:rPr>
                              <a:t>Unlocked Nucleic Acid</a:t>
                            </a:r>
                          </a:p>
                          <a:p>
                            <a:pPr algn="ctr"/>
                            <a:r>
                              <a:rPr lang="en-GB" sz="1200" b="1" dirty="0" smtClean="0">
                                <a:solidFill>
                                  <a:srgbClr val="7030A0"/>
                                </a:solidFill>
                              </a:rPr>
                              <a:t>(UNA)</a:t>
                            </a:r>
                            <a:endParaRPr lang="en-GB" sz="1200" b="1" dirty="0">
                              <a:solidFill>
                                <a:srgbClr val="7030A0"/>
                              </a:solidFill>
                            </a:endParaRPr>
                          </a:p>
                        </a:txBody>
                        <a:useSpRect/>
                      </a:txSp>
                    </a:sp>
                    <a:sp>
                      <a:nvSpPr>
                        <a:cNvPr id="6" name="TextBox 5"/>
                        <a:cNvSpPr txBox="1"/>
                      </a:nvSpPr>
                      <a:spPr>
                        <a:xfrm>
                          <a:off x="5715000" y="3454859"/>
                          <a:ext cx="1219200" cy="461665"/>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200" b="1" dirty="0" smtClean="0">
                                <a:solidFill>
                                  <a:srgbClr val="7030A0"/>
                                </a:solidFill>
                              </a:rPr>
                              <a:t>2’-Fluoro</a:t>
                            </a:r>
                          </a:p>
                          <a:p>
                            <a:pPr algn="ctr"/>
                            <a:r>
                              <a:rPr lang="en-GB" sz="1200" b="1" dirty="0" smtClean="0">
                                <a:solidFill>
                                  <a:srgbClr val="7030A0"/>
                                </a:solidFill>
                              </a:rPr>
                              <a:t>(2’F)</a:t>
                            </a:r>
                            <a:endParaRPr lang="en-GB" sz="1200" b="1" dirty="0">
                              <a:solidFill>
                                <a:srgbClr val="7030A0"/>
                              </a:solidFill>
                            </a:endParaRPr>
                          </a:p>
                        </a:txBody>
                        <a:useSpRect/>
                      </a:txSp>
                    </a:sp>
                  </a:grpSp>
                </lc:lockedCanvas>
              </a:graphicData>
            </a:graphic>
          </wp:inline>
        </w:drawing>
      </w:r>
    </w:p>
    <w:p w:rsidR="00717CC7" w:rsidRDefault="002108CC" w:rsidP="00717CC7">
      <w:pPr>
        <w:pStyle w:val="Caption"/>
        <w:spacing w:after="120"/>
        <w:rPr>
          <w:color w:val="auto"/>
        </w:rPr>
      </w:pPr>
      <w:bookmarkStart w:id="27" w:name="_Toc20411629"/>
      <w:r w:rsidRPr="002108CC">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1</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4</w:t>
      </w:r>
      <w:r w:rsidR="005C0E76">
        <w:rPr>
          <w:color w:val="auto"/>
        </w:rPr>
        <w:fldChar w:fldCharType="end"/>
      </w:r>
      <w:r w:rsidRPr="002108CC">
        <w:rPr>
          <w:color w:val="auto"/>
        </w:rPr>
        <w:t xml:space="preserve"> Structural formulae of common nucleic acid chemical modifications.</w:t>
      </w:r>
      <w:bookmarkEnd w:id="27"/>
      <w:r w:rsidRPr="002108CC">
        <w:rPr>
          <w:color w:val="auto"/>
        </w:rPr>
        <w:t xml:space="preserve"> </w:t>
      </w:r>
    </w:p>
    <w:p w:rsidR="002108CC" w:rsidRPr="002108CC" w:rsidRDefault="002108CC" w:rsidP="00717CC7">
      <w:pPr>
        <w:pStyle w:val="Caption"/>
        <w:spacing w:after="120"/>
        <w:rPr>
          <w:b w:val="0"/>
          <w:color w:val="auto"/>
        </w:rPr>
      </w:pPr>
      <w:r w:rsidRPr="002108CC">
        <w:rPr>
          <w:b w:val="0"/>
          <w:color w:val="auto"/>
        </w:rPr>
        <w:t>Structural diagrams demonstrating common nucleic acid chemical modifications (of RNA in this case) previously used to modulate RNAi in mammalian or other systems.</w:t>
      </w:r>
    </w:p>
    <w:p w:rsidR="002108CC" w:rsidRPr="00D6722B" w:rsidRDefault="002108CC" w:rsidP="000441D9">
      <w:pPr>
        <w:spacing w:line="360" w:lineRule="auto"/>
        <w:ind w:firstLine="284"/>
      </w:pPr>
    </w:p>
    <w:p w:rsidR="008B707B" w:rsidRPr="00D6722B" w:rsidRDefault="00433B29" w:rsidP="000441D9">
      <w:pPr>
        <w:spacing w:line="360" w:lineRule="auto"/>
        <w:ind w:firstLine="284"/>
      </w:pPr>
      <w:r w:rsidRPr="00D6722B">
        <w:t xml:space="preserve">Unfortunately, there are many contradictory studies in the literature utilising chemically modified siRNAs. </w:t>
      </w:r>
      <w:r w:rsidR="00256BC4" w:rsidRPr="00D6722B">
        <w:t xml:space="preserve">For example, an early study conducted on knockdown of the </w:t>
      </w:r>
      <w:r w:rsidR="00256BC4" w:rsidRPr="00D6722B">
        <w:rPr>
          <w:i/>
        </w:rPr>
        <w:t>unc-22</w:t>
      </w:r>
      <w:r w:rsidR="00256BC4" w:rsidRPr="00D6722B">
        <w:t xml:space="preserve"> gene in </w:t>
      </w:r>
      <w:r w:rsidR="00256BC4" w:rsidRPr="00D6722B">
        <w:rPr>
          <w:i/>
        </w:rPr>
        <w:t>C. elegans</w:t>
      </w:r>
      <w:r w:rsidR="00256BC4" w:rsidRPr="00D6722B">
        <w:t xml:space="preserve"> showed that phosphorothioate modifications to A, C or G residues resulted in full interference, whereas </w:t>
      </w:r>
      <w:r w:rsidR="008B707B" w:rsidRPr="00D6722B">
        <w:t xml:space="preserve">dsRNA with phosphorothioate U residues </w:t>
      </w:r>
      <w:r w:rsidR="00256BC4" w:rsidRPr="00D6722B">
        <w:t xml:space="preserve">resulted in </w:t>
      </w:r>
      <w:r w:rsidR="008B707B" w:rsidRPr="00D6722B">
        <w:t xml:space="preserve">slightly </w:t>
      </w:r>
      <w:r w:rsidR="004F5C82" w:rsidRPr="00D6722B">
        <w:t xml:space="preserve">reduced interference activity </w:t>
      </w:r>
      <w:r w:rsidR="005C0E76" w:rsidRPr="00D6722B">
        <w:fldChar w:fldCharType="begin" w:fldLock="1"/>
      </w:r>
      <w:r w:rsidR="004F2E09"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rsidRPr="00D6722B">
        <w:fldChar w:fldCharType="separate"/>
      </w:r>
      <w:r w:rsidR="004F5C82" w:rsidRPr="00D6722B">
        <w:rPr>
          <w:noProof/>
        </w:rPr>
        <w:t xml:space="preserve">(Parrish </w:t>
      </w:r>
      <w:r w:rsidR="004F5C82" w:rsidRPr="00D6722B">
        <w:rPr>
          <w:i/>
          <w:noProof/>
        </w:rPr>
        <w:t>et al.</w:t>
      </w:r>
      <w:r w:rsidR="004F5C82" w:rsidRPr="00D6722B">
        <w:rPr>
          <w:noProof/>
        </w:rPr>
        <w:t>, 2000)</w:t>
      </w:r>
      <w:r w:rsidR="005C0E76" w:rsidRPr="00D6722B">
        <w:fldChar w:fldCharType="end"/>
      </w:r>
      <w:r w:rsidR="004F5C82" w:rsidRPr="00D6722B">
        <w:t>.</w:t>
      </w:r>
      <w:r w:rsidR="00256BC4" w:rsidRPr="00D6722B">
        <w:t xml:space="preserve"> </w:t>
      </w:r>
      <w:r w:rsidR="004F5C82" w:rsidRPr="00D6722B">
        <w:t>siRNAs</w:t>
      </w:r>
      <w:r w:rsidR="00256BC4" w:rsidRPr="00D6722B">
        <w:t xml:space="preserve"> with two </w:t>
      </w:r>
      <w:r w:rsidR="004F5C82" w:rsidRPr="00D6722B">
        <w:t xml:space="preserve">bases or more fully replaced by phosphorothioate </w:t>
      </w:r>
      <w:r w:rsidR="00256BC4" w:rsidRPr="00D6722B">
        <w:t>modified bases</w:t>
      </w:r>
      <w:r w:rsidR="004F5C82" w:rsidRPr="00D6722B">
        <w:t xml:space="preserve"> </w:t>
      </w:r>
      <w:r w:rsidR="00256BC4" w:rsidRPr="00D6722B">
        <w:t xml:space="preserve">became unstable in vitro and did not survive long enough to be used in an assay </w:t>
      </w:r>
      <w:r w:rsidR="005C0E76" w:rsidRPr="00D6722B">
        <w:fldChar w:fldCharType="begin" w:fldLock="1"/>
      </w:r>
      <w:r w:rsidR="00256BC4"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rsidRPr="00D6722B">
        <w:fldChar w:fldCharType="separate"/>
      </w:r>
      <w:r w:rsidR="00256BC4" w:rsidRPr="00D6722B">
        <w:rPr>
          <w:noProof/>
        </w:rPr>
        <w:t xml:space="preserve">(Parrish </w:t>
      </w:r>
      <w:r w:rsidR="00256BC4" w:rsidRPr="00D6722B">
        <w:rPr>
          <w:i/>
          <w:noProof/>
        </w:rPr>
        <w:t>et al.</w:t>
      </w:r>
      <w:r w:rsidR="00256BC4" w:rsidRPr="00D6722B">
        <w:rPr>
          <w:noProof/>
        </w:rPr>
        <w:t>, 2000)</w:t>
      </w:r>
      <w:r w:rsidR="005C0E76" w:rsidRPr="00D6722B">
        <w:fldChar w:fldCharType="end"/>
      </w:r>
      <w:r w:rsidR="00256BC4" w:rsidRPr="00D6722B">
        <w:t xml:space="preserve">. </w:t>
      </w:r>
      <w:r w:rsidRPr="00D6722B">
        <w:t xml:space="preserve">However, </w:t>
      </w:r>
      <w:r w:rsidR="008B707B" w:rsidRPr="00D6722B">
        <w:t>siRNAs partly or fully substituted with phosphorothioate linkages</w:t>
      </w:r>
      <w:r w:rsidR="002029F9">
        <w:t xml:space="preserve"> were shown to </w:t>
      </w:r>
      <w:r w:rsidR="002029F9">
        <w:lastRenderedPageBreak/>
        <w:t>result</w:t>
      </w:r>
      <w:r w:rsidR="008B707B" w:rsidRPr="00D6722B">
        <w:t xml:space="preserve"> in high levels of </w:t>
      </w:r>
      <w:r w:rsidRPr="00D6722B">
        <w:t>mRNA</w:t>
      </w:r>
      <w:r w:rsidR="008B707B" w:rsidRPr="00D6722B">
        <w:t xml:space="preserve"> knockdown in human HeLa cells </w:t>
      </w:r>
      <w:r w:rsidR="005C0E76" w:rsidRPr="00D6722B">
        <w:fldChar w:fldCharType="begin" w:fldLock="1"/>
      </w:r>
      <w:r w:rsidR="008B707B" w:rsidRPr="00D6722B">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&lt;sup&gt;†&lt;/sup&gt;","type":"article-journal","volume":"42"},"uris":["http://www.mendeley.com/documents/?uuid=64a42631-2469-393f-899d-064802514614"]}],"mendeley":{"formattedCitation":"(Braasch &lt;i&gt;et al.&lt;/i&gt;, 2003)","plainTextFormattedCitation":"(Braasch et al., 2003)","previouslyFormattedCitation":"(Braasch &lt;i&gt;et al.&lt;/i&gt;, 2003)"},"properties":{"noteIndex":0},"schema":"https://github.com/citation-style-language/schema/raw/master/csl-citation.json"}</w:instrText>
      </w:r>
      <w:r w:rsidR="005C0E76" w:rsidRPr="00D6722B">
        <w:fldChar w:fldCharType="separate"/>
      </w:r>
      <w:r w:rsidR="008B707B" w:rsidRPr="00D6722B">
        <w:rPr>
          <w:noProof/>
        </w:rPr>
        <w:t xml:space="preserve">(Braasch </w:t>
      </w:r>
      <w:r w:rsidR="008B707B" w:rsidRPr="00D6722B">
        <w:rPr>
          <w:i/>
          <w:noProof/>
        </w:rPr>
        <w:t>et al.</w:t>
      </w:r>
      <w:r w:rsidR="008B707B" w:rsidRPr="00D6722B">
        <w:rPr>
          <w:noProof/>
        </w:rPr>
        <w:t>, 2003)</w:t>
      </w:r>
      <w:r w:rsidR="005C0E76" w:rsidRPr="00D6722B">
        <w:fldChar w:fldCharType="end"/>
      </w:r>
      <w:r w:rsidR="008B707B" w:rsidRPr="00D6722B">
        <w:t xml:space="preserve">. </w:t>
      </w:r>
      <w:r w:rsidR="00256BC4" w:rsidRPr="00D6722B">
        <w:t>Phosphorothioate linkages in th</w:t>
      </w:r>
      <w:r w:rsidR="008B707B" w:rsidRPr="00D6722B">
        <w:t xml:space="preserve">e RNA backbone are believed to </w:t>
      </w:r>
      <w:r w:rsidR="00256BC4" w:rsidRPr="00D6722B">
        <w:t>reduce clea</w:t>
      </w:r>
      <w:r w:rsidR="008B707B" w:rsidRPr="00D6722B">
        <w:t xml:space="preserve">vage by nucleases and increase </w:t>
      </w:r>
      <w:r w:rsidR="00256BC4" w:rsidRPr="00D6722B">
        <w:t xml:space="preserve">half-life </w:t>
      </w:r>
      <w:r w:rsidR="00256BC4" w:rsidRPr="00D6722B">
        <w:rPr>
          <w:i/>
        </w:rPr>
        <w:t>in vivo</w:t>
      </w:r>
      <w:r w:rsidR="00256BC4" w:rsidRPr="00D6722B">
        <w:t xml:space="preserve"> </w:t>
      </w:r>
      <w:r w:rsidR="005C0E76" w:rsidRPr="00D6722B">
        <w:fldChar w:fldCharType="begin" w:fldLock="1"/>
      </w:r>
      <w:r w:rsidR="00256BC4" w:rsidRPr="00D6722B">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&lt;sup&gt;†&lt;/sup&gt;","type":"article-journal","volume":"42"},"uris":["http://www.mendeley.com/documents/?uuid=64a42631-2469-393f-899d-064802514614"]}],"mendeley":{"formattedCitation":"(Braasch &lt;i&gt;et al.&lt;/i&gt;, 2003)","plainTextFormattedCitation":"(Braasch et al., 2003)","previouslyFormattedCitation":"(Braasch &lt;i&gt;et al.&lt;/i&gt;, 2003)"},"properties":{"noteIndex":0},"schema":"https://github.com/citation-style-language/schema/raw/master/csl-citation.json"}</w:instrText>
      </w:r>
      <w:r w:rsidR="005C0E76" w:rsidRPr="00D6722B">
        <w:fldChar w:fldCharType="separate"/>
      </w:r>
      <w:r w:rsidR="00256BC4" w:rsidRPr="00D6722B">
        <w:rPr>
          <w:noProof/>
        </w:rPr>
        <w:t xml:space="preserve">(Braasch </w:t>
      </w:r>
      <w:r w:rsidR="00256BC4" w:rsidRPr="00D6722B">
        <w:rPr>
          <w:i/>
          <w:noProof/>
        </w:rPr>
        <w:t>et al.</w:t>
      </w:r>
      <w:r w:rsidR="00256BC4" w:rsidRPr="00D6722B">
        <w:rPr>
          <w:noProof/>
        </w:rPr>
        <w:t>, 2003)</w:t>
      </w:r>
      <w:r w:rsidR="005C0E76" w:rsidRPr="00D6722B">
        <w:fldChar w:fldCharType="end"/>
      </w:r>
      <w:r w:rsidR="00256BC4" w:rsidRPr="00D6722B">
        <w:t xml:space="preserve"> and also increase binding to serum proteins</w:t>
      </w:r>
      <w:r w:rsidR="008B707B" w:rsidRPr="00D6722B">
        <w:t>,</w:t>
      </w:r>
      <w:r w:rsidR="00256BC4" w:rsidRPr="00D6722B">
        <w:t xml:space="preserve"> reduc</w:t>
      </w:r>
      <w:r w:rsidR="008B707B" w:rsidRPr="00D6722B">
        <w:t>ing</w:t>
      </w:r>
      <w:r w:rsidR="00256BC4" w:rsidRPr="00D6722B">
        <w:t xml:space="preserve"> rates of clearance and improv</w:t>
      </w:r>
      <w:r w:rsidR="008B707B" w:rsidRPr="00D6722B">
        <w:t>ing</w:t>
      </w:r>
      <w:r w:rsidR="00256BC4" w:rsidRPr="00D6722B">
        <w:t xml:space="preserve"> bioavailability </w:t>
      </w:r>
      <w:r w:rsidR="005C0E76" w:rsidRPr="00D6722B">
        <w:fldChar w:fldCharType="begin" w:fldLock="1"/>
      </w:r>
      <w:r w:rsidR="00256BC4" w:rsidRPr="00D6722B">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&lt;sup&gt;†&lt;/sup&gt;","type":"article-journal","volume":"42"},"uris":["http://www.mendeley.com/documents/?uuid=64a42631-2469-393f-899d-064802514614"]},{"id":"ITEM-2","itemData":{"ISSN":"1472-4472","PMID":"11566019","abstract":"Phosphorothioate (PS) oligodeoxynucleotides represent the class of antisense drugs most advanced in development and clinical testing. Exploitation of antisense oligonucleotide technology for development of rationally designed therapeutic drugs has presented a unique set of challenges, some of which relate to their pharmacokinetic behavior in vivo. Pharmacokinetic studies of PS oligodeoxynucleotides demonstrate that they are well absorbed from parenteral sites, rapidly distributed broadly to all peripheral tissues, do not cross the blood-brain barrier, and are eliminated primarily by slow metabolism in tissues. In general, the pharmacokinetic properties of this class of compounds appear to be largely driven by chemistry rather than sequence.","author":[{"dropping-particle":"","family":"Geary","given":"R S","non-dropping-particle":"","parse-names":false,"suffix":""},{"dropping-particle":"","family":"Yu","given":"R Z","non-dropping-particle":"","parse-names":false,"suffix":""},{"dropping-particle":"","family":"Levin","given":"A A","non-dropping-particle":"","parse-names":false,"suffix":""}],"container-title":"Current opinion in investigational drugs (London, England : 2000)","id":"ITEM-2","issue":"4","issued":{"date-parts":[["2001","4"]]},"page":"562-73","title":"Pharmacokinetics of phosphorothioate antisense oligodeoxynucleotides.","type":"article-journal","volume":"2"},"uris":["http://www.mendeley.com/documents/?uuid=be94f2cb-f9bc-3f6d-b4de-3ecb426b771a"]}],"mendeley":{"formattedCitation":"(Geary, Yu and Levin, 2001; Braasch &lt;i&gt;et al.&lt;/i&gt;, 2003)","plainTextFormattedCitation":"(Geary, Yu and Levin, 2001; Braasch et al., 2003)","previouslyFormattedCitation":"(Geary, Yu and Levin, 2001; Braasch &lt;i&gt;et al.&lt;/i&gt;, 2003)"},"properties":{"noteIndex":0},"schema":"https://github.com/citation-style-language/schema/raw/master/csl-citation.json"}</w:instrText>
      </w:r>
      <w:r w:rsidR="005C0E76" w:rsidRPr="00D6722B">
        <w:fldChar w:fldCharType="separate"/>
      </w:r>
      <w:r w:rsidR="00256BC4" w:rsidRPr="00D6722B">
        <w:rPr>
          <w:noProof/>
        </w:rPr>
        <w:t xml:space="preserve">(Geary, Yu and Levin, 2001; Braasch </w:t>
      </w:r>
      <w:r w:rsidR="00256BC4" w:rsidRPr="00D6722B">
        <w:rPr>
          <w:i/>
          <w:noProof/>
        </w:rPr>
        <w:t>et al.</w:t>
      </w:r>
      <w:r w:rsidR="00256BC4" w:rsidRPr="00D6722B">
        <w:rPr>
          <w:noProof/>
        </w:rPr>
        <w:t>, 2003)</w:t>
      </w:r>
      <w:r w:rsidR="005C0E76" w:rsidRPr="00D6722B">
        <w:fldChar w:fldCharType="end"/>
      </w:r>
      <w:r w:rsidR="00256BC4" w:rsidRPr="00D6722B">
        <w:t xml:space="preserve">. While minimal substitution is tolerated by RNAi machinery, </w:t>
      </w:r>
      <w:r w:rsidR="008B707B" w:rsidRPr="00D6722B">
        <w:t xml:space="preserve">there is evidence that in some systems </w:t>
      </w:r>
      <w:r w:rsidR="00256BC4" w:rsidRPr="00D6722B">
        <w:t xml:space="preserve">extensive phosphorothioate substitution is toxic to cells </w:t>
      </w:r>
      <w:r w:rsidR="005C0E76" w:rsidRPr="00D6722B">
        <w:fldChar w:fldCharType="begin" w:fldLock="1"/>
      </w:r>
      <w:r w:rsidR="00256BC4" w:rsidRPr="00D6722B">
        <w:instrText>ADDIN CSL_CITATION {"citationItems":[{"id":"ITEM-1","itemData":{"DOI":"10.1093/nar/gkg147","ISSN":"13624962","PMID":"12527766","abstract":"Short interfering RNA (siRNA), the active agent of RNA interference, shows promise of becoming a valuable tool in both basic and clinical research. We explore the tolerance to mutations and chemical modifications in various parts of the two 21-nt strands of a siRNA targeting the blood clotting initiator Tissue Factor. The mutations were G/C transversions. The chemical modifications were 2'-O-methylation, 2'-O-allylation and phosphorothioates. We found that siRNA generally tolerated mutations in the 5' end, while the 3' end exhibited low tolerance. This observation may facilitate the design of siRNA for specific targeting of transcripts containing single nucleotide polymorphisms. We further demonstrate that in our system the single antisense strand of the wild-type siRNA is almost as effective as the siRNA duplex, while the corresponding methylated M2+4 version of the antisense had reduced activity. Most of the chemically modified versions tested had near-wild-type initial activity, while the long-term activity was increased for certain siRNA species. Our results may improve the design of siRNAs for in vivo experiments.","author":[{"dropping-particle":"","family":"Amarzguioui","given":"M.","non-dropping-particle":"","parse-names":false,"suffix":""},{"dropping-particle":"","family":"Holen","given":"Torgeir","non-dropping-particle":"","parse-names":false,"suffix":""},{"dropping-particle":"","family":"Babaie","given":"Eshrat","non-dropping-particle":"","parse-names":false,"suffix":""},{"dropping-particle":"","family":"Prydz","given":"Hans","non-dropping-particle":"","parse-names":false,"suffix":""}],"container-title":"Nucleic Acids Research","id":"ITEM-1","issue":"2","issued":{"date-parts":[["2003","1","15"]]},"page":"589-595","title":"Tolerance for mutations and chemical modifications in a siRNA","type":"article-journal","volume":"31"},"uris":["http://www.mendeley.com/documents/?uuid=ef016e64-6eb4-3b03-a910-cf8f15d060f6"]}],"mendeley":{"formattedCitation":"(Amarzguioui &lt;i&gt;et al.&lt;/i&gt;, 2003)","plainTextFormattedCitation":"(Amarzguioui et al., 2003)","previouslyFormattedCitation":"(Amarzguioui &lt;i&gt;et al.&lt;/i&gt;, 2003)"},"properties":{"noteIndex":0},"schema":"https://github.com/citation-style-language/schema/raw/master/csl-citation.json"}</w:instrText>
      </w:r>
      <w:r w:rsidR="005C0E76" w:rsidRPr="00D6722B">
        <w:fldChar w:fldCharType="separate"/>
      </w:r>
      <w:r w:rsidR="00256BC4" w:rsidRPr="00D6722B">
        <w:rPr>
          <w:noProof/>
        </w:rPr>
        <w:t xml:space="preserve">(Amarzguioui </w:t>
      </w:r>
      <w:r w:rsidR="00256BC4" w:rsidRPr="00D6722B">
        <w:rPr>
          <w:i/>
          <w:noProof/>
        </w:rPr>
        <w:t>et al.</w:t>
      </w:r>
      <w:r w:rsidR="00256BC4" w:rsidRPr="00D6722B">
        <w:rPr>
          <w:noProof/>
        </w:rPr>
        <w:t>, 2003)</w:t>
      </w:r>
      <w:r w:rsidR="005C0E76" w:rsidRPr="00D6722B">
        <w:fldChar w:fldCharType="end"/>
      </w:r>
      <w:r w:rsidR="008B707B" w:rsidRPr="00D6722B">
        <w:t>.</w:t>
      </w:r>
    </w:p>
    <w:p w:rsidR="00256BC4" w:rsidRPr="00D6722B" w:rsidRDefault="008B707B" w:rsidP="000441D9">
      <w:pPr>
        <w:spacing w:line="360" w:lineRule="auto"/>
        <w:ind w:firstLine="284"/>
      </w:pPr>
      <w:r w:rsidRPr="00D6722B">
        <w:t xml:space="preserve">dsRNA with </w:t>
      </w:r>
      <w:r w:rsidR="00256BC4" w:rsidRPr="00D6722B">
        <w:t>2’ modifications ha</w:t>
      </w:r>
      <w:r w:rsidRPr="00D6722B">
        <w:t>ve demonstrate</w:t>
      </w:r>
      <w:r w:rsidR="00256BC4" w:rsidRPr="00D6722B">
        <w:t xml:space="preserve">d mixed results, with 2’-deoxy and 2’-amino modifications showing decreases in </w:t>
      </w:r>
      <w:r w:rsidR="00433B29" w:rsidRPr="00D6722B">
        <w:t xml:space="preserve">RNA </w:t>
      </w:r>
      <w:r w:rsidR="00256BC4" w:rsidRPr="00D6722B">
        <w:t>interference</w:t>
      </w:r>
      <w:r w:rsidR="00FD3092" w:rsidRPr="00D6722B">
        <w:t xml:space="preserve"> </w:t>
      </w:r>
      <w:r w:rsidR="005C0E76" w:rsidRPr="00D6722B">
        <w:fldChar w:fldCharType="begin" w:fldLock="1"/>
      </w:r>
      <w:r w:rsidR="00FD3092"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rsidRPr="00D6722B">
        <w:fldChar w:fldCharType="separate"/>
      </w:r>
      <w:r w:rsidR="00FD3092" w:rsidRPr="00D6722B">
        <w:rPr>
          <w:noProof/>
        </w:rPr>
        <w:t xml:space="preserve">(Parrish </w:t>
      </w:r>
      <w:r w:rsidR="00FD3092" w:rsidRPr="00D6722B">
        <w:rPr>
          <w:i/>
          <w:noProof/>
        </w:rPr>
        <w:t>et al.</w:t>
      </w:r>
      <w:r w:rsidR="00FD3092" w:rsidRPr="00D6722B">
        <w:rPr>
          <w:noProof/>
        </w:rPr>
        <w:t>, 2000)</w:t>
      </w:r>
      <w:r w:rsidR="005C0E76" w:rsidRPr="00D6722B">
        <w:fldChar w:fldCharType="end"/>
      </w:r>
      <w:r w:rsidR="00256BC4" w:rsidRPr="00D6722B">
        <w:t xml:space="preserve"> especially when incorporated into the </w:t>
      </w:r>
      <w:r w:rsidRPr="00D6722B">
        <w:t>guide strand</w:t>
      </w:r>
      <w:r w:rsidR="00256BC4" w:rsidRPr="00D6722B">
        <w:t xml:space="preserve"> rather than </w:t>
      </w:r>
      <w:r w:rsidRPr="00D6722B">
        <w:t>the passenger</w:t>
      </w:r>
      <w:r w:rsidR="00256BC4" w:rsidRPr="00D6722B">
        <w:t xml:space="preserve"> strand</w:t>
      </w:r>
      <w:r w:rsidR="00433B29" w:rsidRPr="00D6722B">
        <w:t>.</w:t>
      </w:r>
      <w:r w:rsidR="00256BC4" w:rsidRPr="00D6722B">
        <w:t xml:space="preserve"> </w:t>
      </w:r>
      <w:r w:rsidR="00433B29" w:rsidRPr="00D6722B">
        <w:t>H</w:t>
      </w:r>
      <w:r w:rsidR="00256BC4" w:rsidRPr="00D6722B">
        <w:t>owever</w:t>
      </w:r>
      <w:r w:rsidR="00433B29" w:rsidRPr="00D6722B">
        <w:t>,</w:t>
      </w:r>
      <w:r w:rsidR="00256BC4" w:rsidRPr="00D6722B">
        <w:t xml:space="preserve"> multiple 2’-deoxynucleotide substitutions at the 3’ end of siRNAs </w:t>
      </w:r>
      <w:r w:rsidRPr="00D6722B">
        <w:t>a</w:t>
      </w:r>
      <w:r w:rsidR="00256BC4" w:rsidRPr="00D6722B">
        <w:t>re tolerated</w:t>
      </w:r>
      <w:r w:rsidRPr="00D6722B">
        <w:t xml:space="preserve"> in </w:t>
      </w:r>
      <w:r w:rsidRPr="00D6722B">
        <w:rPr>
          <w:i/>
        </w:rPr>
        <w:t>Drosophila</w:t>
      </w:r>
      <w:r w:rsidRPr="00D6722B">
        <w:t xml:space="preserve"> cell lysate</w:t>
      </w:r>
      <w:r w:rsidR="00256BC4" w:rsidRPr="00D6722B">
        <w:t xml:space="preserve"> </w:t>
      </w:r>
      <w:r w:rsidR="005C0E76" w:rsidRPr="00D6722B">
        <w:fldChar w:fldCharType="begin" w:fldLock="1"/>
      </w:r>
      <w:r w:rsidR="00256BC4" w:rsidRPr="00D6722B">
        <w:instrText>ADDIN CSL_CITATION {"citationItems":[{"id":"ITEM-1","itemData":{"DOI":"10.1093/emboj/20.23.6877","ISBN":"doi:10.1093/emboj/20.23.6877","ISSN":"02614189","PMID":"11726523","abstract":"Duplexes of 21-23 nucleotide (nt) RNAs are the sequence-specific mediators of RNA interference (RNAi) and post-transcriptional gene silencing (PTGS). Synthetic, short interfering RNAs (siRNAs) were examined in Drosophila melanogaster embryo lysate for their requirements regarding length, structure, chemical composition and sequence in order to mediate efficient RNAi. Duplexes of 21 nt siRNAs with 2 nt 3' overhangs were the most efficient triggers of sequence-specific mRNA degradation. Substitution of one or both siRNA strands by 2'-deoxy or 2'-O-methyl oligonucleotides abolished RNAi, although multiple 2'-deoxynucleotide substitutions at the 3' end of siRNAs were tolerated. The target recognition process is highly sequence specific, but not all positions of a siRNA contribute equally to target recognition; mismatches in the centre of the siRNA duplex prevent target RNA cleavage. The position of the cleavage site in the target RNA is defined by the 5' end of the guide siRNA rather than its 3' end. These results provide a rational basis for the design of siRNAs in future gene targeting experiments.","author":[{"dropping-particle":"","family":"Elbashir","given":"S. M.","non-dropping-particle":"","parse-names":false,"suffix":""},{"dropping-particle":"","family":"Martinez","given":"J.","non-dropping-particle":"","parse-names":false,"suffix":""},{"dropping-particle":"","family":"Patkaniowska","given":"a.","non-dropping-particle":"","parse-names":false,"suffix":""},{"dropping-particle":"","family":"Lendeckel","given":"W.","non-dropping-particle":"","parse-names":false,"suffix":""},{"dropping-particle":"","family":"Tuschl","given":"T.","non-dropping-particle":"","parse-names":false,"suffix":""}],"container-title":"EMBO Journal","id":"ITEM-1","issue":"23","issued":{"date-parts":[["2001"]]},"page":"6877-6888","title":"Functional anatomy of siRNAs for mediating efficient RNAi in Drosophila melanogaster embryo lysate","type":"article-journal","volume":"20"},"uris":["http://www.mendeley.com/documents/?uuid=896d0f93-c136-46be-8edb-4c7fa48a23dd"]}],"mendeley":{"formattedCitation":"(Elbashir &lt;i&gt;et al.&lt;/i&gt;, 2001)","plainTextFormattedCitation":"(Elbashir et al., 2001)","previouslyFormattedCitation":"(Elbashir &lt;i&gt;et al.&lt;/i&gt;, 2001)"},"properties":{"noteIndex":0},"schema":"https://github.com/citation-style-language/schema/raw/master/csl-citation.json"}</w:instrText>
      </w:r>
      <w:r w:rsidR="005C0E76" w:rsidRPr="00D6722B">
        <w:fldChar w:fldCharType="separate"/>
      </w:r>
      <w:r w:rsidR="00256BC4" w:rsidRPr="00D6722B">
        <w:rPr>
          <w:noProof/>
        </w:rPr>
        <w:t xml:space="preserve">(Elbashir </w:t>
      </w:r>
      <w:r w:rsidR="00256BC4" w:rsidRPr="00D6722B">
        <w:rPr>
          <w:i/>
          <w:noProof/>
        </w:rPr>
        <w:t>et al.</w:t>
      </w:r>
      <w:r w:rsidR="00256BC4" w:rsidRPr="00D6722B">
        <w:rPr>
          <w:noProof/>
        </w:rPr>
        <w:t>, 2001)</w:t>
      </w:r>
      <w:r w:rsidR="005C0E76" w:rsidRPr="00D6722B">
        <w:fldChar w:fldCharType="end"/>
      </w:r>
      <w:r w:rsidRPr="00D6722B">
        <w:t>. It was</w:t>
      </w:r>
      <w:r w:rsidR="00256BC4" w:rsidRPr="00D6722B">
        <w:t xml:space="preserve"> proposed that this was due to residues in the centre of siRNAs being more important for sequence specific target recognition and cleavage than those towards the 3’ and 5’ ends of the strands. Elbashir et al also proposed that the position of the </w:t>
      </w:r>
      <w:r w:rsidRPr="00D6722B">
        <w:t xml:space="preserve">target mRNA </w:t>
      </w:r>
      <w:r w:rsidR="00256BC4" w:rsidRPr="00D6722B">
        <w:t xml:space="preserve">cleavage site is defined </w:t>
      </w:r>
      <w:r w:rsidRPr="00D6722B">
        <w:t>from</w:t>
      </w:r>
      <w:r w:rsidR="00256BC4" w:rsidRPr="00D6722B">
        <w:t xml:space="preserve"> the 5’ end of the guide siRNA rather than </w:t>
      </w:r>
      <w:r w:rsidRPr="00D6722B">
        <w:t>the 3’ end</w:t>
      </w:r>
      <w:r w:rsidR="00256BC4" w:rsidRPr="00D6722B">
        <w:t xml:space="preserve">. DNA-RNA hybrids have also been found to lack </w:t>
      </w:r>
      <w:r w:rsidRPr="00D6722B">
        <w:t>RNAi</w:t>
      </w:r>
      <w:r w:rsidR="00256BC4" w:rsidRPr="00D6722B">
        <w:t xml:space="preserve"> activity</w:t>
      </w:r>
      <w:r w:rsidRPr="00D6722B">
        <w:t xml:space="preserve"> in </w:t>
      </w:r>
      <w:r w:rsidRPr="00D6722B">
        <w:rPr>
          <w:i/>
        </w:rPr>
        <w:t>C. elegans</w:t>
      </w:r>
      <w:r w:rsidR="00256BC4" w:rsidRPr="00D6722B">
        <w:t xml:space="preserve"> </w:t>
      </w:r>
      <w:r w:rsidR="005C0E76" w:rsidRPr="00D6722B">
        <w:fldChar w:fldCharType="begin" w:fldLock="1"/>
      </w:r>
      <w:r w:rsidR="00256BC4"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rsidRPr="00D6722B">
        <w:fldChar w:fldCharType="separate"/>
      </w:r>
      <w:r w:rsidR="00256BC4" w:rsidRPr="00D6722B">
        <w:rPr>
          <w:noProof/>
        </w:rPr>
        <w:t xml:space="preserve">(Parrish </w:t>
      </w:r>
      <w:r w:rsidR="00256BC4" w:rsidRPr="00D6722B">
        <w:rPr>
          <w:i/>
          <w:noProof/>
        </w:rPr>
        <w:t>et al.</w:t>
      </w:r>
      <w:r w:rsidR="00256BC4" w:rsidRPr="00D6722B">
        <w:rPr>
          <w:noProof/>
        </w:rPr>
        <w:t>, 2000)</w:t>
      </w:r>
      <w:r w:rsidR="005C0E76" w:rsidRPr="00D6722B">
        <w:fldChar w:fldCharType="end"/>
      </w:r>
      <w:r w:rsidR="00256BC4" w:rsidRPr="00D6722B">
        <w:t>.</w:t>
      </w:r>
      <w:r w:rsidR="00BB65DF" w:rsidRPr="00D6722B">
        <w:t xml:space="preserve"> </w:t>
      </w:r>
    </w:p>
    <w:p w:rsidR="00BB65DF" w:rsidRDefault="00256BC4" w:rsidP="000441D9">
      <w:pPr>
        <w:spacing w:line="360" w:lineRule="auto"/>
        <w:ind w:firstLine="284"/>
      </w:pPr>
      <w:r w:rsidRPr="00D6722B">
        <w:t xml:space="preserve"> On the other hand, 2’-fluoro modifications were found to be compatible with RNAi machinery</w:t>
      </w:r>
      <w:r w:rsidR="008B707B" w:rsidRPr="00D6722B">
        <w:t xml:space="preserve"> in </w:t>
      </w:r>
      <w:r w:rsidR="008B707B" w:rsidRPr="00D6722B">
        <w:rPr>
          <w:i/>
        </w:rPr>
        <w:t>C. elegans</w:t>
      </w:r>
      <w:r w:rsidR="008B707B" w:rsidRPr="00D6722B">
        <w:t xml:space="preserve"> and resulted in </w:t>
      </w:r>
      <w:r w:rsidR="00312BCD" w:rsidRPr="00D6722B">
        <w:t>comparable mRNA</w:t>
      </w:r>
      <w:r w:rsidR="008B707B" w:rsidRPr="00D6722B">
        <w:t xml:space="preserve"> knockdown </w:t>
      </w:r>
      <w:r w:rsidRPr="00D6722B">
        <w:t xml:space="preserve">when </w:t>
      </w:r>
      <w:r w:rsidR="008B707B" w:rsidRPr="00D6722B">
        <w:t>one of the four nucleotides was replaced by a 2’-fluoro analogue  in</w:t>
      </w:r>
      <w:r w:rsidRPr="00D6722B">
        <w:t xml:space="preserve"> either the </w:t>
      </w:r>
      <w:r w:rsidR="008B707B" w:rsidRPr="00D6722B">
        <w:t>passenger strand or</w:t>
      </w:r>
      <w:r w:rsidRPr="00D6722B">
        <w:t xml:space="preserve"> </w:t>
      </w:r>
      <w:r w:rsidR="008B707B" w:rsidRPr="00D6722B">
        <w:t>guide strand</w:t>
      </w:r>
      <w:r w:rsidRPr="00D6722B">
        <w:t xml:space="preserve"> </w:t>
      </w:r>
      <w:r w:rsidR="005C0E76" w:rsidRPr="00D6722B">
        <w:fldChar w:fldCharType="begin" w:fldLock="1"/>
      </w:r>
      <w:r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rsidRPr="00D6722B">
        <w:fldChar w:fldCharType="separate"/>
      </w:r>
      <w:r w:rsidRPr="00D6722B">
        <w:rPr>
          <w:noProof/>
        </w:rPr>
        <w:t xml:space="preserve">(Parrish </w:t>
      </w:r>
      <w:r w:rsidRPr="00D6722B">
        <w:rPr>
          <w:i/>
          <w:noProof/>
        </w:rPr>
        <w:t>et al.</w:t>
      </w:r>
      <w:r w:rsidRPr="00D6722B">
        <w:rPr>
          <w:noProof/>
        </w:rPr>
        <w:t>, 2000)</w:t>
      </w:r>
      <w:r w:rsidR="005C0E76" w:rsidRPr="00D6722B">
        <w:fldChar w:fldCharType="end"/>
      </w:r>
      <w:r w:rsidR="008B707B" w:rsidRPr="00D6722B">
        <w:t xml:space="preserve">. siRNAs with two of the four nucleotides replaced by 2’-fluoro analogues (2’-FC and 2’-FU) in either the guide strand, passenger strand, or both strands were also found to have comparable RNAi efficacy to unmodified siRNAs in human HeLa cells </w:t>
      </w:r>
      <w:r w:rsidR="005C0E76" w:rsidRPr="00D6722B">
        <w:fldChar w:fldCharType="begin" w:fldLock="1"/>
      </w:r>
      <w:r w:rsidR="008B707B" w:rsidRPr="00D6722B">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analysis","type":"article-journal","volume":"9"},"uris":["http://www.mendeley.com/documents/?uuid=b575ef29-2702-31fc-b85c-c66c1af1e55b"]}],"mendeley":{"formattedCitation":"(Chiu and Rana, 2003)","plainTextFormattedCitation":"(Chiu and Rana, 2003)","previouslyFormattedCitation":"(Chiu and Rana, 2003)"},"properties":{"noteIndex":0},"schema":"https://github.com/citation-style-language/schema/raw/master/csl-citation.json"}</w:instrText>
      </w:r>
      <w:r w:rsidR="005C0E76" w:rsidRPr="00D6722B">
        <w:fldChar w:fldCharType="separate"/>
      </w:r>
      <w:r w:rsidR="008B707B" w:rsidRPr="00D6722B">
        <w:rPr>
          <w:noProof/>
        </w:rPr>
        <w:t>(Chiu and Rana, 2003)</w:t>
      </w:r>
      <w:r w:rsidR="005C0E76" w:rsidRPr="00D6722B">
        <w:fldChar w:fldCharType="end"/>
      </w:r>
      <w:r w:rsidR="008B707B" w:rsidRPr="00D6722B">
        <w:t xml:space="preserve">.  </w:t>
      </w:r>
      <w:r w:rsidR="004F2E09" w:rsidRPr="00D6722B">
        <w:t>2’-deoxy and 2’</w:t>
      </w:r>
      <w:r w:rsidR="004F2E09">
        <w:t xml:space="preserve">-amino modifications reduce the helical A form character of siRNAs whereas 2’-fluoro modifications do not, and this has been proposed as a reason for the difference in RNAi efficacy between these modifications </w:t>
      </w:r>
      <w:r w:rsidR="005C0E76">
        <w:fldChar w:fldCharType="begin" w:fldLock="1"/>
      </w:r>
      <w:r w:rsidR="005F262C">
        <w:instrText>ADDIN CSL_CITATION {"citationItems":[{"id":"ITEM-1","itemData":{"DOI":"10.1093/nar/23.11.2019","ISSN":"0305-1048","PMID":"7541132","abstract":"The nuclease stability and melting temperatures (Tm) were compared for fully modified oligoribonucleotide sequences containing 2'-fluoro, 2'-O-methyl, 2'-O-propyl and 2'-O-pentyl nucleotides. Duplexes formed between 2' modified oligoribonucleotides and RNA have typical A-form geometry as observed by circular dichroism spectroscopy. Modifications, with the exception of 2'-O-pentyl, were observed to increase the Tm of duplexes formed with complementary RNA. Modified homoduplexes showed significantly higher Tms, with the following Tm order: 2'-fluoro:2'fluoro &gt; 2'-O-propyl:2'-O-propyl &gt; 2'-O-methyl:2'-O- methyl &gt; RNA:RNA &gt; DNA:DNA. The nuclease stability of 2'-modified oligoribonucleotides was examined using snake venom phosphodiesterase (SVPD) and nuclease S1. The stability imparted by 2' modifications was observed to correlate with the size of the modification. An additional level of nuclease stability was present in oligoribonucleotides having the potential for forming secondary structure, but only for 2' modified oligoribonucleotides and not for 2'-deoxy oligoribonucleotides.","author":[{"dropping-particle":"","family":"Cummins","given":"L L","non-dropping-particle":"","parse-names":false,"suffix":""},{"dropping-particle":"","family":"Owens","given":"S R","non-dropping-particle":"","parse-names":false,"suffix":""},{"dropping-particle":"","family":"Risen","given":"L M","non-dropping-particle":"","parse-names":false,"suffix":""},{"dropping-particle":"","family":"Lesnik","given":"E A","non-dropping-particle":"","parse-names":false,"suffix":""},{"dropping-particle":"","family":"Freier","given":"S M","non-dropping-particle":"","parse-names":false,"suffix":""},{"dropping-particle":"","family":"McGee","given":"D","non-dropping-particle":"","parse-names":false,"suffix":""},{"dropping-particle":"","family":"Guinosso","given":"C J","non-dropping-particle":"","parse-names":false,"suffix":""},{"dropping-particle":"","family":"Cook","given":"P D","non-dropping-particle":"","parse-names":false,"suffix":""}],"container-title":"Nucleic acids research","id":"ITEM-1","issue":"11","issued":{"date-parts":[["1995","6","11"]]},"page":"2019-24","publisher":"Oxford University Press","title":"Characterization of fully 2'-modified oligoribonucleotide hetero- and homoduplex hybridization and nuclease sensitivity.","type":"article-journal","volume":"23"},"uris":["http://www.mendeley.com/documents/?uuid=78979a26-836a-3263-aacd-132209763f9d"]},{"id":"ITEM-2","itemData":{"DOI":"10.1021/bi00034a013","ISSN":"0006-2960","PMID":"7662660","abstract":"Fourteen oligonucleotides 8-21 nucleotides in length and their complements were synthesized as DNA and RNA. For each sequence, four kinds of duplexes, DNA:DNA, RNA:RNA, DNA:RNA, and RNA:DNA, were prepared. Twelve sequences had A.T/U content varying from 25 to 80% and dPy content in the DNA strands varying from 0 to 100%. Thermodynamic stabilities of four duplexes for each sequence were determined in solution containing 100 mM Na+, 10 mM phosphate, and 0.1 mM EDTA, pH 7.1. CD spectra and electrophoretic mobility on native polyacrylamide gel were measured for most duplexes. Quantitative correlations of hybrid stability both with deoxypyrimidine content and, at fixed dPy content, with the fraction of A.T/U in duplexes were found. We also demonstrated that hybrids with 70-80% deoxypyrimidine DNA strand and a high or moderate A.T/U fraction displayed the highest relative stability compared to their RNA counterparts. Relationships of relative intensities of CD bands at 210 nm and relative electrophoretic mobilities of hybrids with relative hybrid stability suggested that hybrid conformation varies continuously between A- and B-form and is the decisive factor in relative hybrid stability.","author":[{"dropping-particle":"","family":"Lesnik","given":"Elena A.","non-dropping-particle":"","parse-names":false,"suffix":""},{"dropping-particle":"","family":"Freier","given":"Susan M.","non-dropping-particle":"","parse-names":false,"suffix":""}],"container-title":"Biochemistry","id":"ITEM-2","issue":"34","issued":{"date-parts":[["1995","8","29"]]},"page":"10807-10815","title":"Relative Thermodynamic Stability of DNA, RNA, and DNA:RNA Hybrid Duplexes: Relationship with Base Composition and Structure","type":"article-journal","volume":"34"},"uris":["http://www.mendeley.com/documents/?uuid=a5c4ccd6-cb87-31cd-9949-e023d386d33b"]},{"id":"ITEM-3","itemData":{"ISSN":"1097-2765","PMID":"11106747","abstract":"In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cell","id":"ITEM-3","issue":"5","issued":{"date-parts":[["2000","11"]]},"page":"1077-87","title":"Functional anatomy of a dsRNA trigger: differential requirement for the two trigger strands in RNA interference.","type":"article-journal","volume":"6"},"uris":["http://www.mendeley.com/documents/?uuid=42e8fc97-72a8-376f-85fe-7340e9548145"]}],"mendeley":{"formattedCitation":"(Cummins &lt;i&gt;et al.&lt;/i&gt;, 1995; Lesnik and Freier, 1995; Parrish &lt;i&gt;et al.&lt;/i&gt;, 2000)","plainTextFormattedCitation":"(Cummins et al., 1995; Lesnik and Freier, 1995; Parrish et al., 2000)","previouslyFormattedCitation":"(Cummins &lt;i&gt;et al.&lt;/i&gt;, 1995; Lesnik and Freier, 1995; Parrish &lt;i&gt;et al.&lt;/i&gt;, 2000)"},"properties":{"noteIndex":0},"schema":"https://github.com/citation-style-language/schema/raw/master/csl-citation.json"}</w:instrText>
      </w:r>
      <w:r w:rsidR="005C0E76">
        <w:fldChar w:fldCharType="separate"/>
      </w:r>
      <w:r w:rsidR="004F2E09" w:rsidRPr="004F2E09">
        <w:rPr>
          <w:noProof/>
        </w:rPr>
        <w:t xml:space="preserve">(Cummins </w:t>
      </w:r>
      <w:r w:rsidR="004F2E09" w:rsidRPr="004F2E09">
        <w:rPr>
          <w:i/>
          <w:noProof/>
        </w:rPr>
        <w:t>et al.</w:t>
      </w:r>
      <w:r w:rsidR="004F2E09" w:rsidRPr="004F2E09">
        <w:rPr>
          <w:noProof/>
        </w:rPr>
        <w:t xml:space="preserve">, 1995; Lesnik and Freier, 1995; Parrish </w:t>
      </w:r>
      <w:r w:rsidR="004F2E09" w:rsidRPr="004F2E09">
        <w:rPr>
          <w:i/>
          <w:noProof/>
        </w:rPr>
        <w:t>et al.</w:t>
      </w:r>
      <w:r w:rsidR="004F2E09" w:rsidRPr="004F2E09">
        <w:rPr>
          <w:noProof/>
        </w:rPr>
        <w:t>, 2000)</w:t>
      </w:r>
      <w:r w:rsidR="005C0E76">
        <w:fldChar w:fldCharType="end"/>
      </w:r>
    </w:p>
    <w:p w:rsidR="00256BC4" w:rsidRDefault="00256BC4" w:rsidP="000441D9">
      <w:pPr>
        <w:spacing w:line="360" w:lineRule="auto"/>
        <w:ind w:firstLine="284"/>
      </w:pPr>
      <w:r>
        <w:t xml:space="preserve">  </w:t>
      </w:r>
    </w:p>
    <w:p w:rsidR="00712B40" w:rsidRPr="00D6722B" w:rsidRDefault="00256BC4" w:rsidP="000441D9">
      <w:pPr>
        <w:spacing w:line="360" w:lineRule="auto"/>
        <w:ind w:firstLine="284"/>
      </w:pPr>
      <w:r w:rsidRPr="00D6722B">
        <w:t xml:space="preserve">Some modifications were originally concluded to be unviable for RNAi, such as 2’-O-methyl modifications </w:t>
      </w:r>
      <w:r w:rsidR="005C0E76" w:rsidRPr="00D6722B">
        <w:fldChar w:fldCharType="begin" w:fldLock="1"/>
      </w:r>
      <w:r w:rsidRPr="00D6722B">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id":"ITEM-2","itemData":{"DOI":"10.1093/emboj/20.23.6877","ISBN":"doi:10.1093/emboj/20.23.6877","ISSN":"02614189","PMID":"11726523","abstract":"Duplexes of 21-23 nucleotide (nt) RNAs are the sequence-specific mediators of RNA interference (RNAi) and post-transcriptional gene silencing (PTGS). Synthetic, short interfering RNAs (siRNAs) were examined in Drosophila melanogaster embryo lysate for their requirements regarding length, structure, chemical composition and sequence in order to mediate efficient RNAi. Duplexes of 21 nt siRNAs with 2 nt 3' overhangs were the most efficient triggers of sequence-specific mRNA degradation. Substitution of one or both siRNA strands by 2'-deoxy or 2'-O-methyl oligonucleotides abolished RNAi, although multiple 2'-deoxynucleotide substitutions at the 3' end of siRNAs were tolerated. The target recognition process is highly sequence specific, but not all positions of a siRNA contribute equally to target recognition; mismatches in the centre of the siRNA duplex prevent target RNA cleavage. The position of the cleavage site in the target RNA is defined by the 5' end of the guide siRNA rather than its 3' end. These results provide a rational basis for the design of siRNAs in future gene targeting experiments.","author":[{"dropping-particle":"","family":"Elbashir","given":"S. M.","non-dropping-particle":"","parse-names":false,"suffix":""},{"dropping-particle":"","family":"Martinez","given":"J.","non-dropping-particle":"","parse-names":false,"suffix":""},{"dropping-particle":"","family":"Patkaniowska","given":"a.","non-dropping-particle":"","parse-names":false,"suffix":""},{"dropping-particle":"","family":"Lendeckel","given":"W.","non-dropping-particle":"","parse-names":false,"suffix":""},{"dropping-particle":"","family":"Tuschl","given":"T.","non-dropping-particle":"","parse-names":false,"suffix":""}],"container-title":"EMBO Journal","id":"ITEM-2","issue":"23","issued":{"date-parts":[["2001"]]},"page":"6877-6888","title":"Functional anatomy of siRNAs for mediating efficient RNAi in Drosophila melanogaster embryo lysate","type":"article-journal","volume":"20"},"uris":["http://www.mendeley.com/documents/?uuid=896d0f93-c136-46be-8edb-4c7fa48a23dd"]}],"mendeley":{"formattedCitation":"(Elbashir &lt;i&gt;et al.&lt;/i&gt;, 2001; Braasch &lt;i&gt;et al.&lt;/i&gt;, 2003)","plainTextFormattedCitation":"(Elbashir et al., 2001; Braasch et al., 2003)","previouslyFormattedCitation":"(Elbashir &lt;i&gt;et al.&lt;/i&gt;, 2001; Braasch &lt;i&gt;et al.&lt;/i&gt;, 2003)"},"properties":{"noteIndex":0},"schema":"https://github.com/citation-style-language/schema/raw/master/csl-citation.json"}</w:instrText>
      </w:r>
      <w:r w:rsidR="005C0E76" w:rsidRPr="00D6722B">
        <w:fldChar w:fldCharType="separate"/>
      </w:r>
      <w:r w:rsidRPr="00D6722B">
        <w:rPr>
          <w:noProof/>
        </w:rPr>
        <w:t xml:space="preserve">(Elbashir </w:t>
      </w:r>
      <w:r w:rsidRPr="00D6722B">
        <w:rPr>
          <w:i/>
          <w:noProof/>
        </w:rPr>
        <w:t>et al.</w:t>
      </w:r>
      <w:r w:rsidRPr="00D6722B">
        <w:rPr>
          <w:noProof/>
        </w:rPr>
        <w:t xml:space="preserve">, 2001; Braasch </w:t>
      </w:r>
      <w:r w:rsidRPr="00D6722B">
        <w:rPr>
          <w:i/>
          <w:noProof/>
        </w:rPr>
        <w:t>et al.</w:t>
      </w:r>
      <w:r w:rsidRPr="00D6722B">
        <w:rPr>
          <w:noProof/>
        </w:rPr>
        <w:t>, 2003)</w:t>
      </w:r>
      <w:r w:rsidR="005C0E76" w:rsidRPr="00D6722B">
        <w:fldChar w:fldCharType="end"/>
      </w:r>
      <w:r w:rsidRPr="00D6722B">
        <w:t>, however siRNAs with various combinations of phosphorothioate, 2’-O-methyl and even 2’-O-MOE (O(CH</w:t>
      </w:r>
      <w:r w:rsidRPr="002029F9">
        <w:rPr>
          <w:vertAlign w:val="subscript"/>
        </w:rPr>
        <w:t>2</w:t>
      </w:r>
      <w:r w:rsidRPr="00D6722B">
        <w:t>)</w:t>
      </w:r>
      <w:r w:rsidRPr="002029F9">
        <w:rPr>
          <w:vertAlign w:val="subscript"/>
        </w:rPr>
        <w:t>2</w:t>
      </w:r>
      <w:r w:rsidRPr="00D6722B">
        <w:t>OCH</w:t>
      </w:r>
      <w:r w:rsidRPr="002029F9">
        <w:rPr>
          <w:vertAlign w:val="subscript"/>
        </w:rPr>
        <w:t>3</w:t>
      </w:r>
      <w:r w:rsidRPr="00D6722B">
        <w:t xml:space="preserve">) modifications confined to the end two or three residues at either or both the 3’ and 5’ end of either or both the </w:t>
      </w:r>
      <w:r w:rsidR="003217FB" w:rsidRPr="00D6722B">
        <w:t>passenger</w:t>
      </w:r>
      <w:r w:rsidRPr="00D6722B">
        <w:t xml:space="preserve"> and </w:t>
      </w:r>
      <w:r w:rsidR="003217FB" w:rsidRPr="00D6722B">
        <w:t>guide</w:t>
      </w:r>
      <w:r w:rsidR="00433B29" w:rsidRPr="00D6722B">
        <w:t xml:space="preserve"> strands produced siRNAs both </w:t>
      </w:r>
      <w:r w:rsidR="00135990">
        <w:t>“</w:t>
      </w:r>
      <w:r w:rsidRPr="00D6722B">
        <w:t xml:space="preserve">2-4 fold more potent and 13-18 fold more stable than unmodified siRNAs” </w:t>
      </w:r>
      <w:r w:rsidR="005C0E76" w:rsidRPr="00D6722B">
        <w:fldChar w:fldCharType="begin" w:fldLock="1"/>
      </w:r>
      <w:r w:rsidRPr="00D6722B">
        <w:instrText>ADDIN CSL_CITATION {"citationItems":[{"id":"ITEM-1","itemData":{"DOI":"10.1021/jm050822c","ISSN":"0022-2623","PMID":"16509579","abstract":"A systematic structure-activity relationship study of 4'-thioribose containing small interfering RNAs (siRNAs) has led to the identification of highly potent and stable antisense constructs. To enable this optimization effort for both in vitro and in vivo applications, we have significantly improved the yields of 4'-thioribonucleosides by using a chirally pure (R)-sulfoxide precursor. siRNA duplexes containing strategically placed regions of 4'-thio-RNA were synthesized and evaluated for RNA interference activity and plasma stability. Stretches of 4'-thio-RNA were well tolerated in both the antisense and sense strands. However, optimization of both the number and placement of 4'-thioribonucleosides was necessary for maximal potency. These optimized siRNAs were generally equipotent or superior to native siRNAs and exhibited increased thermal and plasma stability. Furthermore, significant improvements in siRNA activity and plasma stability were achieved by judicious combination of 4'-thioribose with 2'-O-methyl and 2'-O-methoxyethyl modifications. These optimized 4'-thio-siRNAs may be valuable for developing stable siRNAs for therapeutic applications.","author":[{"dropping-particle":"","family":"Dande","given":"Prasad","non-dropping-particle":"","parse-names":false,"suffix":""},{"dropping-particle":"","family":"Prakash","given":"Thazha P","non-dropping-particle":"","parse-names":false,"suffix":""},{"dropping-particle":"","family":"Sioufi","given":"Namir","non-dropping-particle":"","parse-names":false,"suffix":""},{"dropping-particle":"","family":"Gaus","given":"Hans","non-dropping-particle":"","parse-names":false,"suffix":""},{"dropping-particle":"","family":"Jarres","given":"Russell","non-dropping-particle":"","parse-names":false,"suffix":""},{"dropping-particle":"","family":"Berdeja","given":"Andreas","non-dropping-particle":"","parse-names":false,"suffix":""},{"dropping-particle":"","family":"Swayze","given":"Eric E","non-dropping-particle":"","parse-names":false,"suffix":""},{"dropping-particle":"","family":"Griffey","given":"Richard H","non-dropping-particle":"","parse-names":false,"suffix":""},{"dropping-particle":"","family":"Bhat","given":"Balkrishen","non-dropping-particle":"","parse-names":false,"suffix":""}],"container-title":"Journal of medicinal chemistry","id":"ITEM-1","issue":"5","issued":{"date-parts":[["2006","3","9"]]},"page":"1624-34","title":"Improving RNA interference in mammalian cells by 4'-thio-modified small interfering RNA (siRNA): effect on siRNA activity and nuclease stability when used in combination with 2'-O-alkyl modifications.","type":"article-journal","volume":"49"},"uris":["http://www.mendeley.com/documents/?uuid=588ff7ac-f78c-3aca-a63e-043bb8f2422b"]}],"mendeley":{"formattedCitation":"(Dande &lt;i&gt;et al.&lt;/i&gt;, 2006)","plainTextFormattedCitation":"(Dande et al., 2006)","previouslyFormattedCitation":"(Dande &lt;i&gt;et al.&lt;/i&gt;, 2006)"},"properties":{"noteIndex":0},"schema":"https://github.com/citation-style-language/schema/raw/master/csl-citation.json"}</w:instrText>
      </w:r>
      <w:r w:rsidR="005C0E76" w:rsidRPr="00D6722B">
        <w:fldChar w:fldCharType="separate"/>
      </w:r>
      <w:r w:rsidRPr="00D6722B">
        <w:rPr>
          <w:noProof/>
        </w:rPr>
        <w:t xml:space="preserve">(Dande </w:t>
      </w:r>
      <w:r w:rsidRPr="00D6722B">
        <w:rPr>
          <w:i/>
          <w:noProof/>
        </w:rPr>
        <w:t>et al.</w:t>
      </w:r>
      <w:r w:rsidRPr="00D6722B">
        <w:rPr>
          <w:noProof/>
        </w:rPr>
        <w:t>, 2006)</w:t>
      </w:r>
      <w:r w:rsidR="005C0E76" w:rsidRPr="00D6722B">
        <w:fldChar w:fldCharType="end"/>
      </w:r>
      <w:r w:rsidR="003217FB" w:rsidRPr="00D6722B">
        <w:t xml:space="preserve">. </w:t>
      </w:r>
    </w:p>
    <w:p w:rsidR="007E0E3D" w:rsidRDefault="003217FB" w:rsidP="000441D9">
      <w:pPr>
        <w:spacing w:line="360" w:lineRule="auto"/>
        <w:ind w:firstLine="284"/>
      </w:pPr>
      <w:r w:rsidRPr="003217FB">
        <w:t>Further</w:t>
      </w:r>
      <w:r>
        <w:t xml:space="preserve"> studies also suggested that wi</w:t>
      </w:r>
      <w:r w:rsidR="00D20888">
        <w:t>der 2’-O-Me modification of the passenger strand was tolerated, where previous evidence had suggested it was not, though the reasons for this were not immediately determined</w:t>
      </w:r>
      <w:r w:rsidRPr="003217FB">
        <w:t xml:space="preserve"> </w:t>
      </w:r>
      <w:r w:rsidR="005C0E76" w:rsidRPr="003217FB">
        <w:fldChar w:fldCharType="begin" w:fldLock="1"/>
      </w:r>
      <w:r w:rsidR="00D20888">
        <w:instrText>ADDIN CSL_CITATION {"citationItems":[{"id":"ITEM-1","itemData":{"DOI":"10.1261/rna.2150806","ISSN":"1355-8382","PMID":"16301602","abstract":"RNA interference (RNAi) is a process by which short interfering RNAs (siRNAs) direct the degradation of complementary single-strand RNAs. In this study, we investigated the effects of full-strand phosphorothioate (PS) backbone and 2'-O-methyl (2'-OMe) sugar modifications on RNAi-mediated silencing. In contrast to previous reports, we have identified active siRNA duplexes containing full 2'-OMe-modified sense strands that display comparable activity to the unmodified analog of similar sequence. The structure of these modified siRNAs is the predominant determinant of their activity, with sequence and backbone composition being secondary. We further show, by using biotin-tagged siRNAs and affinity-tagged hAgo2/eIF2C2, that activity of siRNA duplexes containing full 2'-OMe substitutions in the sense strand is mediated by the RNA-induced silencing complex (RISC) and that strand-specific loading (or binding) to hAgo2 may be modulated through selective incorporation of these modifications.","author":[{"dropping-particle":"","family":"Kraynack","given":"Bryan A","non-dropping-particle":"","parse-names":false,"suffix":""},{"dropping-particle":"","family":"Baker","given":"Brenda F","non-dropping-particle":"","parse-names":false,"suffix":""}],"container-title":"RNA (New York, N.Y.)","id":"ITEM-1","issue":"1","issued":{"date-parts":[["2006","1","1"]]},"page":"163-76","publisher":"Cold Spring Harbor Laboratory Press","title":"Small interfering RNAs containing full 2'-O-methylribonucleotide-modified sense strands display Argonaute2/eIF2C2-dependent activity.","type":"article-journal","volume":"12"},"uris":["http://www.mendeley.com/documents/?uuid=b5852482-24b0-3e94-81e0-f1425836370c"]}],"mendeley":{"formattedCitation":"(Kraynack and Baker, 2006)","plainTextFormattedCitation":"(Kraynack and Baker, 2006)","previouslyFormattedCitation":"(Kraynack and Baker, 2006)"},"properties":{"noteIndex":0},"schema":"https://github.com/citation-style-language/schema/raw/master/csl-citation.json"}</w:instrText>
      </w:r>
      <w:r w:rsidR="005C0E76" w:rsidRPr="003217FB">
        <w:fldChar w:fldCharType="separate"/>
      </w:r>
      <w:r w:rsidRPr="003217FB">
        <w:rPr>
          <w:noProof/>
        </w:rPr>
        <w:t>(Kraynack and Baker, 2006)</w:t>
      </w:r>
      <w:r w:rsidR="005C0E76" w:rsidRPr="003217FB">
        <w:fldChar w:fldCharType="end"/>
      </w:r>
      <w:r w:rsidR="00D20888">
        <w:t xml:space="preserve">. More recent evidence suggests 2’-O-Me </w:t>
      </w:r>
      <w:r w:rsidR="00D20888">
        <w:lastRenderedPageBreak/>
        <w:t xml:space="preserve">modifications are more widely tolerated by RNAi machinery than previously thought, and 2’-O-Me modification of large sections of the guide strand </w:t>
      </w:r>
      <w:r w:rsidR="007C113C">
        <w:t xml:space="preserve">is possible </w:t>
      </w:r>
      <w:r w:rsidR="00D20888">
        <w:t xml:space="preserve">whilst retaining full RNAi activity </w:t>
      </w:r>
      <w:r w:rsidR="005C0E76">
        <w:fldChar w:fldCharType="begin" w:fldLock="1"/>
      </w:r>
      <w:r w:rsidR="007E0E3D">
        <w:instrText>ADDIN CSL_CITATION {"citationItems":[{"id":"ITEM-1","itemData":{"DOI":"10.1021/acsomega.7b00291","ISSN":"2470-1343","PMID":"29450406","abstract":"Chemical modifications of 2'-O-methyl (2'-OMe) and locked nucleic acid (LNA) of the nucleotides in the seed region (positions 2-8) of the small interfering RNA (siRNA) guide strand significantly reduced seed-matched (SM) off-target effects. The siRNA with 2'-OMe modifications inhibited the expression of a completely-matched (CM) target gene, whereas that with LNA modifications did not inhibit the expression of the CM target. By computational predictions of conformational changes of siRNA by these modifications, we revealed that both modifications in the siRNA seed region reduce SM off-target effects by steric hindrance to base-pairing with target transcripts but LNA modifications also disturb the association of the siRNA guide strand with the Argonaute (AGO) protein by altering RNA conformation. Thus, chemical modifications of the siRNA guide strand, which alter steric conformation to disturb base-pairing with target transcripts but do not disturb the association with the AGO protein, may successfully suppress off-target effects without substantial loss of RNA silencing activity.","author":[{"dropping-particle":"","family":"Iribe","given":"Hanna","non-dropping-particle":"","parse-names":false,"suffix":""},{"dropping-particle":"","family":"Miyamoto","given":"Kengo","non-dropping-particle":"","parse-names":false,"suffix":""},{"dropping-particle":"","family":"Takahashi","given":"Tomoko","non-dropping-particle":"","parse-names":false,"suffix":""},{"dropping-particle":"","family":"Kobayashi","given":"Yoshiaki","non-dropping-particle":"","parse-names":false,"suffix":""},{"dropping-particle":"","family":"Leo","given":"Jastina","non-dropping-particle":"","parse-names":false,"suffix":""},{"dropping-particle":"","family":"Aida","given":"Misako","non-dropping-particle":"","parse-names":false,"suffix":""},{"dropping-particle":"","family":"Ui-Tei","given":"Kumiko","non-dropping-particle":"","parse-names":false,"suffix":""}],"container-title":"ACS omega","id":"ITEM-1","issue":"5","issued":{"date-parts":[["2017","5","31"]]},"page":"2055-2064","publisher":"American Chemical Society","title":"Chemical Modification of the siRNA Seed Region Suppresses Off-Target Effects by Steric Hindrance to Base-Pairing with Targets.","type":"article-journal","volume":"2"},"uris":["http://www.mendeley.com/documents/?uuid=1d034da9-198a-32ef-88fd-c33d839435cd"]}],"mendeley":{"formattedCitation":"(Iribe &lt;i&gt;et al.&lt;/i&gt;, 2017)","plainTextFormattedCitation":"(Iribe et al., 2017)","previouslyFormattedCitation":"(Iribe &lt;i&gt;et al.&lt;/i&gt;, 2017)"},"properties":{"noteIndex":0},"schema":"https://github.com/citation-style-language/schema/raw/master/csl-citation.json"}</w:instrText>
      </w:r>
      <w:r w:rsidR="005C0E76">
        <w:fldChar w:fldCharType="separate"/>
      </w:r>
      <w:r w:rsidR="00D20888" w:rsidRPr="00D20888">
        <w:rPr>
          <w:noProof/>
        </w:rPr>
        <w:t xml:space="preserve">(Iribe </w:t>
      </w:r>
      <w:r w:rsidR="00D20888" w:rsidRPr="00D20888">
        <w:rPr>
          <w:i/>
          <w:noProof/>
        </w:rPr>
        <w:t>et al.</w:t>
      </w:r>
      <w:r w:rsidR="00D20888" w:rsidRPr="00D20888">
        <w:rPr>
          <w:noProof/>
        </w:rPr>
        <w:t>, 2017)</w:t>
      </w:r>
      <w:r w:rsidR="005C0E76">
        <w:fldChar w:fldCharType="end"/>
      </w:r>
      <w:r w:rsidR="00712B40">
        <w:t xml:space="preserve">, however universal substitution abolishes silencing </w:t>
      </w:r>
      <w:r w:rsidR="005C0E76">
        <w:fldChar w:fldCharType="begin" w:fldLock="1"/>
      </w:r>
      <w:r w:rsidR="00712B40">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&lt;sup&gt;†&lt;/sup&gt;","type":"article-journal","volume":"42"},"uris":["http://www.mendeley.com/documents/?uuid=64a42631-2469-393f-899d-064802514614"]}],"mendeley":{"formattedCitation":"(Braasch &lt;i&gt;et al.&lt;/i&gt;, 2003)","plainTextFormattedCitation":"(Braasch et al., 2003)","previouslyFormattedCitation":"(Braasch &lt;i&gt;et al.&lt;/i&gt;, 2003)"},"properties":{"noteIndex":0},"schema":"https://github.com/citation-style-language/schema/raw/master/csl-citation.json"}</w:instrText>
      </w:r>
      <w:r w:rsidR="005C0E76">
        <w:fldChar w:fldCharType="separate"/>
      </w:r>
      <w:r w:rsidR="00712B40" w:rsidRPr="00712B40">
        <w:rPr>
          <w:noProof/>
        </w:rPr>
        <w:t xml:space="preserve">(Braasch </w:t>
      </w:r>
      <w:r w:rsidR="00712B40" w:rsidRPr="00712B40">
        <w:rPr>
          <w:i/>
          <w:noProof/>
        </w:rPr>
        <w:t>et al.</w:t>
      </w:r>
      <w:r w:rsidR="00712B40" w:rsidRPr="00712B40">
        <w:rPr>
          <w:noProof/>
        </w:rPr>
        <w:t>, 2003)</w:t>
      </w:r>
      <w:r w:rsidR="005C0E76">
        <w:fldChar w:fldCharType="end"/>
      </w:r>
      <w:r w:rsidR="00712B40">
        <w:t>.</w:t>
      </w:r>
      <w:r w:rsidR="00D20888">
        <w:t xml:space="preserve"> </w:t>
      </w:r>
      <w:r w:rsidR="00712B40">
        <w:t xml:space="preserve">2’-O-Me modifications have a strong thermal stability effect, increasing the duplex melting temperature of an siRNA by up to 1 °C per modification </w:t>
      </w:r>
      <w:r w:rsidR="005C0E76">
        <w:fldChar w:fldCharType="begin" w:fldLock="1"/>
      </w:r>
      <w:r w:rsidR="00360979">
        <w:instrText>ADDIN CSL_CITATION {"citationItems":[{"id":"ITEM-1","itemData":{"DOI":"10.1039/b920362c","ISSN":"0306-0012","PMID":"20717561","abstract":"Since the first unequivocal description of RNA interference (RNAi) in 1998, it has remained one of the hottest topics under investigation, culminating in the award of a Nobel Prize to its discoverers in 2006. Excitement over this technique derives from the ease with which it can be used to switch-off a specific gene in almost any organism, thereby allowing the role of that gene to be identified. More importantly, it offers the potential to treat certain diseases by switching-off the causative genes. Key to the RNAi pathway are the small-interfering RNAs (siRNAs), which at 21-23 nucleotides in length are very amenable to analogue development by chemists. However in comparison to the use of oligonucleotides as antisense agents, an area where many chemists first developed an interest in nucleic acids, the RNAi pathway is exceedingly complex. The literature is also complicated by the fact that the phenomenon has been studied in a wide range of organisms. In this tutorial review we have presented the subject from a more chemical perspective, incorporating a glossary to give a clear explanation of the specialist terms. However, the coverage of the biology remains sufficiently detailed to give the reader the necessary insight that we believe will be essential for the successful design of chemically modified siRNA.","author":[{"dropping-particle":"","family":"Gaynor","given":"James W.","non-dropping-particle":"","parse-names":false,"suffix":""},{"dropping-particle":"","family":"Campbell","given":"Barry J.","non-dropping-particle":"","parse-names":false,"suffix":""},{"dropping-particle":"","family":"Cosstick","given":"Richard","non-dropping-particle":"","parse-names":false,"suffix":""}],"container-title":"Chemical Society Reviews","id":"ITEM-1","issue":"11","issued":{"date-parts":[["2010","11"]]},"page":"4169","title":"RNA interference: a chemist's perspective","type":"article-journal","volume":"39"},"uris":["http://www.mendeley.com/documents/?uuid=c5f091f3-dc89-3bd6-a347-04440a09f1d6"]}],"mendeley":{"formattedCitation":"(Gaynor, Campbell and Cosstick, 2010)","plainTextFormattedCitation":"(Gaynor, Campbell and Cosstick, 2010)","previouslyFormattedCitation":"(Gaynor, Campbell and Cosstick, 2010)"},"properties":{"noteIndex":0},"schema":"https://github.com/citation-style-language/schema/raw/master/csl-citation.json"}</w:instrText>
      </w:r>
      <w:r w:rsidR="005C0E76">
        <w:fldChar w:fldCharType="separate"/>
      </w:r>
      <w:r w:rsidR="00712B40" w:rsidRPr="00712B40">
        <w:rPr>
          <w:noProof/>
        </w:rPr>
        <w:t>(Gaynor, Campbell and Cosstick, 2010)</w:t>
      </w:r>
      <w:r w:rsidR="005C0E76">
        <w:fldChar w:fldCharType="end"/>
      </w:r>
      <w:r w:rsidR="00712B40">
        <w:t>.</w:t>
      </w:r>
    </w:p>
    <w:p w:rsidR="007C113C" w:rsidRPr="00D20888" w:rsidRDefault="007C113C" w:rsidP="000441D9">
      <w:pPr>
        <w:spacing w:line="360" w:lineRule="auto"/>
        <w:ind w:firstLine="284"/>
        <w:rPr>
          <w:color w:val="FF0000"/>
        </w:rPr>
      </w:pPr>
    </w:p>
    <w:p w:rsidR="00256BC4" w:rsidRPr="00D6722B" w:rsidRDefault="00256BC4" w:rsidP="000441D9">
      <w:pPr>
        <w:spacing w:line="360" w:lineRule="auto"/>
        <w:ind w:firstLine="284"/>
      </w:pPr>
      <w:r w:rsidRPr="00D6722B">
        <w:t xml:space="preserve">It has also been found that using </w:t>
      </w:r>
      <w:r w:rsidR="00FD3564" w:rsidRPr="00D6722B">
        <w:t>unlocked nucleic acid (UNA) modifications</w:t>
      </w:r>
      <w:r w:rsidRPr="00D6722B">
        <w:t xml:space="preserve"> </w:t>
      </w:r>
      <w:r w:rsidR="00443920" w:rsidRPr="00D6722B">
        <w:t>which reduce R</w:t>
      </w:r>
      <w:r w:rsidR="00177CEE" w:rsidRPr="00D6722B">
        <w:t xml:space="preserve">NAi efficacy </w:t>
      </w:r>
      <w:r w:rsidR="00FD3564" w:rsidRPr="00D6722B">
        <w:t>when included in</w:t>
      </w:r>
      <w:r w:rsidR="00177CEE" w:rsidRPr="00D6722B">
        <w:t xml:space="preserve"> central positions of</w:t>
      </w:r>
      <w:r w:rsidR="00FD3564" w:rsidRPr="00D6722B">
        <w:t xml:space="preserve"> either strand of an siRNA</w:t>
      </w:r>
      <w:r w:rsidR="00177CEE" w:rsidRPr="00D6722B">
        <w:t xml:space="preserve"> or the 5’ position of the guide strand,</w:t>
      </w:r>
      <w:r w:rsidRPr="00D6722B">
        <w:t xml:space="preserve"> </w:t>
      </w:r>
      <w:r w:rsidR="00914F56" w:rsidRPr="00D6722B">
        <w:t xml:space="preserve">can favour incorporation of the anti-sense </w:t>
      </w:r>
      <w:r w:rsidR="00135990">
        <w:t xml:space="preserve">(guide) </w:t>
      </w:r>
      <w:r w:rsidR="00914F56" w:rsidRPr="00D6722B">
        <w:t xml:space="preserve">strand into the RISC when incorporated </w:t>
      </w:r>
      <w:r w:rsidRPr="00D6722B">
        <w:t xml:space="preserve">in the </w:t>
      </w:r>
      <w:r w:rsidR="00914F56" w:rsidRPr="00D6722B">
        <w:t xml:space="preserve">5’ end of the </w:t>
      </w:r>
      <w:r w:rsidRPr="00D6722B">
        <w:t xml:space="preserve">sense </w:t>
      </w:r>
      <w:r w:rsidR="00135990">
        <w:t xml:space="preserve">(passenger) </w:t>
      </w:r>
      <w:r w:rsidRPr="00D6722B">
        <w:t xml:space="preserve">strand of siRNAs </w:t>
      </w:r>
      <w:r w:rsidR="005C0E76" w:rsidRPr="00D6722B">
        <w:fldChar w:fldCharType="begin" w:fldLock="1"/>
      </w:r>
      <w:r w:rsidR="008612BD" w:rsidRPr="00D6722B">
        <w:instrText>ADDIN CSL_CITATION {"citationItems":[{"id":"ITEM-1","itemData":{"DOI":"10.1093/nar/gkp106","ISBN":"1362-4962 (Electronic)\\n0305-1048 (Linking)","ISSN":"03051048","PMID":"19282453","abstract":"The use of chemically synthesized short interfering RNAs (siRNAs) is currently the method of choice to manipulate gene expression in mammalian cell culture, yet improvements of siRNA design is expectably required for successful application in vivo. Several studies have aimed at improving siRNA performance through the introduction of chemical modifications but a direct comparison of these results is difficult. We have directly compared the effect of 21 types of chemical modifications on siRNA activity and toxicity in a total of 2160 siRNA duplexes. We demonstrate that siRNA activity is primarily enhanced by favouring the incorporation of the intended antisense strand during RNA-induced silencing complex (RISC) loading by modulation of siRNA thermodynamic asymmetry and engineering of siRNA 3'-overhangs. Collectively, our results provide unique insights into the tolerance for chemical modifications and provide a simple guide to successful chemical modification of siRNAs with improved activity, stability and low toxicity.","author":[{"dropping-particle":"","family":"Bramsen","given":"Jesper B.","non-dropping-particle":"","parse-names":false,"suffix":""},{"dropping-particle":"","family":"Laursen","given":"Maria B.","non-dropping-particle":"","parse-names":false,"suffix":""},{"dropping-particle":"","family":"Nielsen","given":"Anne F.","non-dropping-particle":"","parse-names":false,"suffix":""},{"dropping-particle":"","family":"Hansen","given":"Thomas B.","non-dropping-particle":"","parse-names":false,"suffix":""},{"dropping-particle":"","family":"Bus","given":"Claus","non-dropping-particle":"","parse-names":false,"suffix":""},{"dropping-particle":"","family":"Langkjoør","given":"Niels","non-dropping-particle":"","parse-names":false,"suffix":""},{"dropping-particle":"","family":"Babu","given":"B. Ravindra","non-dropping-particle":"","parse-names":false,"suffix":""},{"dropping-particle":"","family":"Højland","given":"Torben","non-dropping-particle":"","parse-names":false,"suffix":""},{"dropping-particle":"","family":"Abramov","given":"Mikhail","non-dropping-particle":"","parse-names":false,"suffix":""},{"dropping-particle":"","family":"Aerschot","given":"Arthur","non-dropping-particle":"Van","parse-names":false,"suffix":""},{"dropping-particle":"","family":"Odadzic","given":"Dalibor","non-dropping-particle":"","parse-names":false,"suffix":""},{"dropping-particle":"","family":"Smicius","given":"Romualdas","non-dropping-particle":"","parse-names":false,"suffix":""},{"dropping-particle":"","family":"Haas","given":"Jens","non-dropping-particle":"","parse-names":false,"suffix":""},{"dropping-particle":"","family":"Andree","given":"Cordula","non-dropping-particle":"","parse-names":false,"suffix":""},{"dropping-particle":"","family":"Barman","given":"Jharna","non-dropping-particle":"","parse-names":false,"suffix":""},{"dropping-particle":"","family":"Wenska","given":"Malgorzata","non-dropping-particle":"","parse-names":false,"suffix":""},{"dropping-particle":"","family":"Srivastava","given":"Puneet","non-dropping-particle":"","parse-names":false,"suffix":""},{"dropping-particle":"","family":"Zhou","given":"Chuanzheng","non-dropping-particle":"","parse-names":false,"suffix":""},{"dropping-particle":"","family":"Honcharenko","given":"Dmytro","non-dropping-particle":"","parse-names":false,"suffix":""},{"dropping-particle":"","family":"Hess","given":"Simone","non-dropping-particle":"","parse-names":false,"suffix":""},{"dropping-particle":"","family":"Müller","given":"Elke","non-dropping-particle":"","parse-names":false,"suffix":""},{"dropping-particle":"V.","family":"Bobkov","given":"Georgii","non-dropping-particle":"","parse-names":false,"suffix":""},{"dropping-particle":"","family":"Mikhailov","given":"Sergey N.","non-dropping-particle":"","parse-names":false,"suffix":""},{"dropping-particle":"","family":"Fava","given":"Eugenio","non-dropping-particle":"","parse-names":false,"suffix":""},{"dropping-particle":"","family":"Meyer","given":"Thomas F.","non-dropping-particle":"","parse-names":false,"suffix":""},{"dropping-particle":"","family":"Chattopadhyaya","given":"Jyoti","non-dropping-particle":"","parse-names":false,"suffix":""},{"dropping-particle":"","family":"Zerial","given":"Marino","non-dropping-particle":"","parse-names":false,"suffix":""},{"dropping-particle":"","family":"Engels","given":"Joachim W.","non-dropping-particle":"","parse-names":false,"suffix":""},{"dropping-particle":"","family":"Herdewijn","given":"Piet","non-dropping-particle":"","parse-names":false,"suffix":""},{"dropping-particle":"","family":"Wengel","given":"Jesper","non-dropping-particle":"","parse-names":false,"suffix":""},{"dropping-particle":"","family":"Kjems","given":"Jørgen","non-dropping-particle":"","parse-names":false,"suffix":""}],"container-title":"Nucleic Acids Research","id":"ITEM-1","issue":"9","issued":{"date-parts":[["2009"]]},"page":"2867-2881","title":"A large-scale chemical modification screen identifies design rules to generate siRNAs with high activity, high stability and low toxicity","type":"article-journal","volume":"37"},"uris":["http://www.mendeley.com/documents/?uuid=f0ca2a66-5bdf-4f38-9409-6893e9982616"]},{"id":"ITEM-2","itemData":{"DOI":"10.1038/mtna.2013.36","ISBN":"2162-2531 (Electronic)","ISSN":"21622531","PMID":"23820891","abstract":"Optimization of small interfering RNAs (siRNAs) is important in RNA interference (RNAi)-based therapeutic development. Some specific chemical modifications can control which siRNA strand is selected by the RNA-induced silencing complex (RISC) for gene silencing. Intended strand selection will increase potency and reduce off-target effects from the unintended strand. Sometimes, blocking RISC loading of the unintended strand leads to improved intended strand-silencing potency, but the generality of this phenomenon is unclear. Specifically, unlocked nucleic acid (UNA) modification of the 5' end of canonical (i.e., 19+2) siRNAs abrogates gene silencing of the modified strand, but the fate and potency of the unmodified strand has not been investigated. Here, we show that 5' UNA-modified siRNAs show improved silencing potency of the unmodified strand. We harness this advantageous property in a therapeutic context, where a limited target region in a conserved HIV 5' long terminal repeat U5 region would otherwise yield siRNAs with undesired strand selection properties and poor silencing. Applying 5' UNA modification to the unintended sense (S) strand of these otherwise poorly targeted siRNAs dramatically improves on-target silencing by the intended antisense (AS) strand in pNL4-3.luciferase studies. This study highlights the utility of 5' UNA siRNA modification in therapeutic contexts where siRNA sequence selection is constrained.Molecular Therapy-Nucleic Acids (2013) 2, e103; doi:10.1038/mtna.2013.36; published online 2 July 2013.","author":[{"dropping-particle":"","family":"Snead","given":"Nicholas M.","non-dropping-particle":"","parse-names":false,"suffix":""},{"dropping-particle":"","family":"Escamilla-Powers","given":"Julie R.","non-dropping-particle":"","parse-names":false,"suffix":""},{"dropping-particle":"","family":"Rossi","given":"John J.","non-dropping-particle":"","parse-names":false,"suffix":""},{"dropping-particle":"","family":"McCaffrey","given":"Anton P.","non-dropping-particle":"","parse-names":false,"suffix":""}],"container-title":"Molecular Therapy - Nucleic Acids","id":"ITEM-2","issue":"May","issued":{"date-parts":[["2013"]]},"title":"5′ unlocked nucleic acid modification improves siRNA targeting","type":"article-journal","volume":"2"},"uris":["http://www.mendeley.com/documents/?uuid=e7a9a076-1055-41e9-88ab-a70345d589be"]}],"mendeley":{"formattedCitation":"(Bramsen &lt;i&gt;et al.&lt;/i&gt;, 2009; Nicholas M. Snead &lt;i&gt;et al.&lt;/i&gt;, 2013)","plainTextFormattedCitation":"(Bramsen et al., 2009; Nicholas M. Snead et al., 2013)","previouslyFormattedCitation":"(Bramsen &lt;i&gt;et al.&lt;/i&gt;, 2009; Nicholas M. Snead &lt;i&gt;et al.&lt;/i&gt;, 2013)"},"properties":{"noteIndex":0},"schema":"https://github.com/citation-style-language/schema/raw/master/csl-citation.json"}</w:instrText>
      </w:r>
      <w:r w:rsidR="005C0E76" w:rsidRPr="00D6722B">
        <w:fldChar w:fldCharType="separate"/>
      </w:r>
      <w:r w:rsidR="008612BD" w:rsidRPr="00D6722B">
        <w:rPr>
          <w:noProof/>
        </w:rPr>
        <w:t xml:space="preserve">(Bramsen </w:t>
      </w:r>
      <w:r w:rsidR="008612BD" w:rsidRPr="00D6722B">
        <w:rPr>
          <w:i/>
          <w:noProof/>
        </w:rPr>
        <w:t>et al.</w:t>
      </w:r>
      <w:r w:rsidR="008612BD" w:rsidRPr="00D6722B">
        <w:rPr>
          <w:noProof/>
        </w:rPr>
        <w:t xml:space="preserve">, 2009; Nicholas M. Snead </w:t>
      </w:r>
      <w:r w:rsidR="008612BD" w:rsidRPr="00D6722B">
        <w:rPr>
          <w:i/>
          <w:noProof/>
        </w:rPr>
        <w:t>et al.</w:t>
      </w:r>
      <w:r w:rsidR="008612BD" w:rsidRPr="00D6722B">
        <w:rPr>
          <w:noProof/>
        </w:rPr>
        <w:t>, 2013)</w:t>
      </w:r>
      <w:r w:rsidR="005C0E76" w:rsidRPr="00D6722B">
        <w:fldChar w:fldCharType="end"/>
      </w:r>
      <w:r w:rsidRPr="00D6722B">
        <w:t xml:space="preserve">. </w:t>
      </w:r>
    </w:p>
    <w:p w:rsidR="005F262C" w:rsidRDefault="005F262C" w:rsidP="000441D9">
      <w:pPr>
        <w:spacing w:line="360" w:lineRule="auto"/>
        <w:ind w:firstLine="284"/>
      </w:pPr>
      <w:r w:rsidRPr="00D6722B">
        <w:t>The effect of locked nucleic acid (LNA) modifications</w:t>
      </w:r>
      <w:r>
        <w:t xml:space="preserve"> of siRNAs on RNAi efficacy has also been tested. Early results were mixed, with similar number</w:t>
      </w:r>
      <w:r w:rsidR="00135990">
        <w:t>s</w:t>
      </w:r>
      <w:r>
        <w:t xml:space="preserve"> of LNA modifications in both strands resulting in high or low RNAi efficacy depending on distribution </w:t>
      </w:r>
      <w:r w:rsidR="005C0E76">
        <w:fldChar w:fldCharType="begin" w:fldLock="1"/>
      </w:r>
      <w:r>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&lt;sup&gt;†&lt;/sup&gt;","type":"article-journal","volume":"42"},"uris":["http://www.mendeley.com/documents/?uuid=64a42631-2469-393f-899d-064802514614"]}],"mendeley":{"formattedCitation":"(Braasch &lt;i&gt;et al.&lt;/i&gt;, 2003)","plainTextFormattedCitation":"(Braasch et al., 2003)","previouslyFormattedCitation":"(Braasch &lt;i&gt;et al.&lt;/i&gt;, 2003)"},"properties":{"noteIndex":0},"schema":"https://github.com/citation-style-language/schema/raw/master/csl-citation.json"}</w:instrText>
      </w:r>
      <w:r w:rsidR="005C0E76">
        <w:fldChar w:fldCharType="separate"/>
      </w:r>
      <w:r w:rsidRPr="00177CEE">
        <w:rPr>
          <w:noProof/>
        </w:rPr>
        <w:t xml:space="preserve">(Braasch </w:t>
      </w:r>
      <w:r w:rsidRPr="00177CEE">
        <w:rPr>
          <w:i/>
          <w:noProof/>
        </w:rPr>
        <w:t>et al.</w:t>
      </w:r>
      <w:r w:rsidRPr="00177CEE">
        <w:rPr>
          <w:noProof/>
        </w:rPr>
        <w:t>, 2003)</w:t>
      </w:r>
      <w:r w:rsidR="005C0E76">
        <w:fldChar w:fldCharType="end"/>
      </w:r>
      <w:r>
        <w:t xml:space="preserve">. Further work determined that siRNAs with LNA </w:t>
      </w:r>
      <w:r w:rsidRPr="005F262C">
        <w:t xml:space="preserve">modifications in the 3′ overhangs were as functional as unmodified </w:t>
      </w:r>
      <w:r>
        <w:t>siRNAs, and the</w:t>
      </w:r>
      <w:r w:rsidRPr="005F262C">
        <w:t xml:space="preserve"> 5′ end of the </w:t>
      </w:r>
      <w:r>
        <w:t>passenger</w:t>
      </w:r>
      <w:r w:rsidRPr="005F262C">
        <w:t xml:space="preserve"> strand could </w:t>
      </w:r>
      <w:r>
        <w:t xml:space="preserve">also </w:t>
      </w:r>
      <w:r w:rsidRPr="005F262C">
        <w:t xml:space="preserve">be modified without </w:t>
      </w:r>
      <w:r>
        <w:t xml:space="preserve">reducing RNAi efficacy </w:t>
      </w:r>
      <w:r w:rsidR="005C0E76">
        <w:fldChar w:fldCharType="begin" w:fldLock="1"/>
      </w:r>
      <w:r>
        <w:instrText>ADDIN CSL_CITATION {"citationItems":[{"id":"ITEM-1","itemData":{"DOI":"10.1093/nar/gki193","ISSN":"1362-4962","PMID":"15653644","abstract":"Therapeutic application of the recently discovered small interfering RNA (siRNA) gene silencing phenomenon will be dependent on improvements in molecule bio-stability, specificity and delivery. To address these issues, we have systematically modified siRNA with the synthetic RNA-like high affinity nucleotide analogue, Locked Nucleic Acid (LNA). Here, we show that incorporation of LNA substantially enhances serum half-life of siRNA's, which is a key requirement for therapeutic use. Moreover, we provide evidence that LNA is compatible with the intracellular siRNA machinery and can be used to reduce undesired, sequence-related off-target effects. LNA-modified siRNAs targeting the emerging disease SARS, show improved efficiency over unmodified siRNA on certain RNA motifs. The results from this study emphasize LNA's promise in converting siRNA from a functional genomics technology to a therapeutic platform.","author":[{"dropping-particle":"","family":"Elmén","given":"Joacim","non-dropping-particle":"","parse-names":false,"suffix":""},{"dropping-particle":"","family":"Thonberg","given":"Håkan","non-dropping-particle":"","parse-names":false,"suffix":""},{"dropping-particle":"","family":"Ljungberg","given":"Karl","non-dropping-particle":"","parse-names":false,"suffix":""},{"dropping-particle":"","family":"Frieden","given":"Miriam","non-dropping-particle":"","parse-names":false,"suffix":""},{"dropping-particle":"","family":"Westergaard","given":"Majken","non-dropping-particle":"","parse-names":false,"suffix":""},{"dropping-particle":"","family":"Xu","given":"Yunhe","non-dropping-particle":"","parse-names":false,"suffix":""},{"dropping-particle":"","family":"Wahren","given":"Britta","non-dropping-particle":"","parse-names":false,"suffix":""},{"dropping-particle":"","family":"Liang","given":"Zicai","non-dropping-particle":"","parse-names":false,"suffix":""},{"dropping-particle":"","family":"Ørum","given":"Henrik","non-dropping-particle":"","parse-names":false,"suffix":""},{"dropping-particle":"","family":"Koch","given":"Troels","non-dropping-particle":"","parse-names":false,"suffix":""},{"dropping-particle":"","family":"Wahlestedt","given":"Claes","non-dropping-particle":"","parse-names":false,"suffix":""}],"container-title":"Nucleic acids research","id":"ITEM-1","issue":"1","issued":{"date-parts":[["2005"]]},"page":"439-47","publisher":"Oxford University Press","title":"Locked nucleic acid (LNA) mediated improvements in siRNA stability and functionality.","type":"article-journal","volume":"33"},"uris":["http://www.mendeley.com/documents/?uuid=b4a91a65-ec35-3632-8c20-215d0f7798d7"]}],"mendeley":{"formattedCitation":"(Elmén &lt;i&gt;et al.&lt;/i&gt;, 2005)","plainTextFormattedCitation":"(Elmén et al., 2005)","previouslyFormattedCitation":"(Elmén &lt;i&gt;et al.&lt;/i&gt;, 2005)"},"properties":{"noteIndex":0},"schema":"https://github.com/citation-style-language/schema/raw/master/csl-citation.json"}</w:instrText>
      </w:r>
      <w:r w:rsidR="005C0E76">
        <w:fldChar w:fldCharType="separate"/>
      </w:r>
      <w:r w:rsidRPr="005F262C">
        <w:rPr>
          <w:noProof/>
        </w:rPr>
        <w:t xml:space="preserve">(Elmén </w:t>
      </w:r>
      <w:r w:rsidRPr="005F262C">
        <w:rPr>
          <w:i/>
          <w:noProof/>
        </w:rPr>
        <w:t>et al.</w:t>
      </w:r>
      <w:r w:rsidRPr="005F262C">
        <w:rPr>
          <w:noProof/>
        </w:rPr>
        <w:t>, 2005)</w:t>
      </w:r>
      <w:r w:rsidR="005C0E76">
        <w:fldChar w:fldCharType="end"/>
      </w:r>
      <w:r>
        <w:t>. The same study found that</w:t>
      </w:r>
      <w:r w:rsidRPr="005F262C">
        <w:t xml:space="preserve"> an LNA</w:t>
      </w:r>
      <w:r>
        <w:t xml:space="preserve"> modification</w:t>
      </w:r>
      <w:r w:rsidRPr="005F262C">
        <w:t xml:space="preserve"> </w:t>
      </w:r>
      <w:r>
        <w:t>at</w:t>
      </w:r>
      <w:r w:rsidRPr="005F262C">
        <w:t xml:space="preserve"> the 5′ </w:t>
      </w:r>
      <w:r>
        <w:t xml:space="preserve">end of the guide strand </w:t>
      </w:r>
      <w:r w:rsidRPr="005F262C">
        <w:t xml:space="preserve">significantly reduced </w:t>
      </w:r>
      <w:r>
        <w:t xml:space="preserve">RNAi efficacy. However, an siRNA with both a 5’ guide strand LNA as well as a </w:t>
      </w:r>
      <w:r w:rsidRPr="005F262C">
        <w:t xml:space="preserve">3′ </w:t>
      </w:r>
      <w:r>
        <w:t>passenger strand LNA recovered some RNAi activity</w:t>
      </w:r>
      <w:r w:rsidRPr="005F262C">
        <w:t xml:space="preserve"> and </w:t>
      </w:r>
      <w:r>
        <w:t xml:space="preserve">RNAi activity was recovered even further if there was also a </w:t>
      </w:r>
      <w:r w:rsidRPr="005F262C">
        <w:t xml:space="preserve">5′ </w:t>
      </w:r>
      <w:r>
        <w:t xml:space="preserve">passenger strand LNA modification. LNA modifications elsewhere in the guide strand were well tolerated, other than at positions 10, 12 and 14. The target mRNA cleavage site is between positions 10 and 11 so the reduced activity may be due to LNA modifications at these positions affecting the conformation of the catalytic site of Argonaute </w:t>
      </w:r>
      <w:r w:rsidR="005C0E76">
        <w:fldChar w:fldCharType="begin" w:fldLock="1"/>
      </w:r>
      <w:r w:rsidR="003217FB">
        <w:instrText>ADDIN CSL_CITATION {"citationItems":[{"id":"ITEM-1","itemData":{"DOI":"10.1093/nar/gki193","ISSN":"1362-4962","PMID":"15653644","abstract":"Therapeutic application of the recently discovered small interfering RNA (siRNA) gene silencing phenomenon will be dependent on improvements in molecule bio-stability, specificity and delivery. To address these issues, we have systematically modified siRNA with the synthetic RNA-like high affinity nucleotide analogue, Locked Nucleic Acid (LNA). Here, we show that incorporation of LNA substantially enhances serum half-life of siRNA's, which is a key requirement for therapeutic use. Moreover, we provide evidence that LNA is compatible with the intracellular siRNA machinery and can be used to reduce undesired, sequence-related off-target effects. LNA-modified siRNAs targeting the emerging disease SARS, show improved efficiency over unmodified siRNA on certain RNA motifs. The results from this study emphasize LNA's promise in converting siRNA from a functional genomics technology to a therapeutic platform.","author":[{"dropping-particle":"","family":"Elmén","given":"Joacim","non-dropping-particle":"","parse-names":false,"suffix":""},{"dropping-particle":"","family":"Thonberg","given":"Håkan","non-dropping-particle":"","parse-names":false,"suffix":""},{"dropping-particle":"","family":"Ljungberg","given":"Karl","non-dropping-particle":"","parse-names":false,"suffix":""},{"dropping-particle":"","family":"Frieden","given":"Miriam","non-dropping-particle":"","parse-names":false,"suffix":""},{"dropping-particle":"","family":"Westergaard","given":"Majken","non-dropping-particle":"","parse-names":false,"suffix":""},{"dropping-particle":"","family":"Xu","given":"Yunhe","non-dropping-particle":"","parse-names":false,"suffix":""},{"dropping-particle":"","family":"Wahren","given":"Britta","non-dropping-particle":"","parse-names":false,"suffix":""},{"dropping-particle":"","family":"Liang","given":"Zicai","non-dropping-particle":"","parse-names":false,"suffix":""},{"dropping-particle":"","family":"Ørum","given":"Henrik","non-dropping-particle":"","parse-names":false,"suffix":""},{"dropping-particle":"","family":"Koch","given":"Troels","non-dropping-particle":"","parse-names":false,"suffix":""},{"dropping-particle":"","family":"Wahlestedt","given":"Claes","non-dropping-particle":"","parse-names":false,"suffix":""}],"container-title":"Nucleic acids research","id":"ITEM-1","issue":"1","issued":{"date-parts":[["2005"]]},"page":"439-47","publisher":"Oxford University Press","title":"Locked nucleic acid (LNA) mediated improvements in siRNA stability and functionality.","type":"article-journal","volume":"33"},"uris":["http://www.mendeley.com/documents/?uuid=b4a91a65-ec35-3632-8c20-215d0f7798d7"]}],"mendeley":{"formattedCitation":"(Elmén &lt;i&gt;et al.&lt;/i&gt;, 2005)","plainTextFormattedCitation":"(Elmén et al., 2005)","previouslyFormattedCitation":"(Elmén &lt;i&gt;et al.&lt;/i&gt;, 2005)"},"properties":{"noteIndex":0},"schema":"https://github.com/citation-style-language/schema/raw/master/csl-citation.json"}</w:instrText>
      </w:r>
      <w:r w:rsidR="005C0E76">
        <w:fldChar w:fldCharType="separate"/>
      </w:r>
      <w:r w:rsidRPr="005F262C">
        <w:rPr>
          <w:noProof/>
        </w:rPr>
        <w:t xml:space="preserve">(Elmén </w:t>
      </w:r>
      <w:r w:rsidRPr="005F262C">
        <w:rPr>
          <w:i/>
          <w:noProof/>
        </w:rPr>
        <w:t>et al.</w:t>
      </w:r>
      <w:r w:rsidRPr="005F262C">
        <w:rPr>
          <w:noProof/>
        </w:rPr>
        <w:t>, 2005)</w:t>
      </w:r>
      <w:r w:rsidR="005C0E76">
        <w:fldChar w:fldCharType="end"/>
      </w:r>
      <w:r w:rsidR="00B36F20">
        <w:t>. LNA modifications have a significant effect on duplex the</w:t>
      </w:r>
      <w:r w:rsidR="00360979">
        <w:t xml:space="preserve">rmal stability, and an siRNA duplex with a fully LNA modified passenger strand could have a melting temperature of over 95 °C. Whether a helicase would be capable of unwinding such a stable duplex is questionable, yet such duplexes retain full RNAi activity </w:t>
      </w:r>
      <w:r w:rsidR="005C0E76">
        <w:fldChar w:fldCharType="begin" w:fldLock="1"/>
      </w:r>
      <w:r w:rsidR="00754AD5">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&lt;sup&gt;†&lt;/sup&gt;","type":"article-journal","volume":"42"},"uris":["http://www.mendeley.com/documents/?uuid=64a42631-2469-393f-899d-064802514614"]}],"mendeley":{"formattedCitation":"(Braasch &lt;i&gt;et al.&lt;/i&gt;, 2003)","plainTextFormattedCitation":"(Braasch et al., 2003)","previouslyFormattedCitation":"(Braasch &lt;i&gt;et al.&lt;/i&gt;, 2003)"},"properties":{"noteIndex":0},"schema":"https://github.com/citation-style-language/schema/raw/master/csl-citation.json"}</w:instrText>
      </w:r>
      <w:r w:rsidR="005C0E76">
        <w:fldChar w:fldCharType="separate"/>
      </w:r>
      <w:r w:rsidR="00360979" w:rsidRPr="00360979">
        <w:rPr>
          <w:noProof/>
        </w:rPr>
        <w:t xml:space="preserve">(Braasch </w:t>
      </w:r>
      <w:r w:rsidR="00360979" w:rsidRPr="00360979">
        <w:rPr>
          <w:i/>
          <w:noProof/>
        </w:rPr>
        <w:t>et al.</w:t>
      </w:r>
      <w:r w:rsidR="00360979" w:rsidRPr="00360979">
        <w:rPr>
          <w:noProof/>
        </w:rPr>
        <w:t>, 2003)</w:t>
      </w:r>
      <w:r w:rsidR="005C0E76">
        <w:fldChar w:fldCharType="end"/>
      </w:r>
      <w:r w:rsidR="00360979">
        <w:t>. It has been hypothesised that it may be that RISCs formed with LNA:RNA siRNA duplexes remove the passenger strand by cleaving it in the same manner as a target mRNA in order to form the active RISC, rather than by unwinding it by a helicase mechanism.</w:t>
      </w:r>
    </w:p>
    <w:p w:rsidR="005F262C" w:rsidRDefault="005F262C" w:rsidP="000441D9">
      <w:pPr>
        <w:spacing w:line="360" w:lineRule="auto"/>
        <w:ind w:firstLine="284"/>
      </w:pPr>
    </w:p>
    <w:p w:rsidR="00256BC4" w:rsidRPr="00D6722B" w:rsidRDefault="00256BC4" w:rsidP="000441D9">
      <w:pPr>
        <w:spacing w:line="360" w:lineRule="auto"/>
        <w:ind w:firstLine="284"/>
      </w:pPr>
      <w:r w:rsidRPr="00D6722B">
        <w:t xml:space="preserve">Phosphorothioate modifications appear especially promising and in fact the majority of single-stranded oligonucleotide therapeutics currently under investigation are phosphorothioate-based </w:t>
      </w:r>
      <w:r w:rsidR="005C0E76" w:rsidRPr="00D6722B">
        <w:fldChar w:fldCharType="begin" w:fldLock="1"/>
      </w:r>
      <w:r w:rsidR="00C44B4D" w:rsidRPr="00D6722B">
        <w:instrText>ADDIN CSL_CITATION {"citationItems":[{"id":"ITEM-1","itemData":{"DOI":"10.1093/nar/gkx1239","ISSN":"0305-1048","author":[{"dropping-particle":"","family":"Shen","given":"Xiulong","non-dropping-particle":"","parse-names":false,"suffix":""},{"dropping-particle":"","family":"Corey","given":"David R","non-dropping-particle":"","parse-names":false,"suffix":""}],"container-title":"Nucleic Acids Research","id":"ITEM-1","issue":"4","issued":{"date-parts":[["2018","2","28"]]},"page":"1584-1600","publisher":"Narnia","title":"Chemistry, mechanism and clinical status of antisense oligonucleotides and duplex RNAs","type":"article-journal","volume":"46"},"uris":["http://www.mendeley.com/documents/?uuid=005e68f5-ed4a-3ec6-bc6b-31aa77bbeb2d"]}],"mendeley":{"formattedCitation":"(Shen and Corey, 2018a)","plainTextFormattedCitation":"(Shen and Corey, 2018a)","previouslyFormattedCitation":"(Shen and Corey, 2018a)"},"properties":{"noteIndex":0},"schema":"https://github.com/citation-style-language/schema/raw/master/csl-citation.json"}</w:instrText>
      </w:r>
      <w:r w:rsidR="005C0E76" w:rsidRPr="00D6722B">
        <w:fldChar w:fldCharType="separate"/>
      </w:r>
      <w:r w:rsidR="00C44B4D" w:rsidRPr="00D6722B">
        <w:rPr>
          <w:noProof/>
        </w:rPr>
        <w:t>(Shen and Corey, 2018a)</w:t>
      </w:r>
      <w:r w:rsidR="005C0E76" w:rsidRPr="00D6722B">
        <w:fldChar w:fldCharType="end"/>
      </w:r>
      <w:r w:rsidRPr="00D6722B">
        <w:t xml:space="preserve">. However, phosphorothioate siRNAs behave differently depending on </w:t>
      </w:r>
      <w:r w:rsidRPr="00D6722B">
        <w:lastRenderedPageBreak/>
        <w:t xml:space="preserve">stereochemistry of the phosphorothioate groups </w:t>
      </w:r>
      <w:r w:rsidR="005C0E76" w:rsidRPr="00D6722B">
        <w:fldChar w:fldCharType="begin" w:fldLock="1"/>
      </w:r>
      <w:r w:rsidR="008612BD" w:rsidRPr="00D6722B">
        <w:instrText>ADDIN CSL_CITATION {"citationItems":[{"id":"ITEM-1","itemData":{"DOI":"10.1038/ncomms7317","ISSN":"20411723","PMID":"25744034","abstract":"An established means of improving the pharmacokinetics properties of oligoribonucleotides (ORNs) is to exchange their phosphodiester linkages for phosphorothioates (PSs). However, this strategy has not been pursued for small interfering RNAs (siRNAs), possibly because of sporadic reports that PS siRNAs show reduced inhibitory activity. The PS group is chiral at phosphorous (Rp/Sp centres), and conventional solid-phase synthesis of PS ORNs produces a population of diastereoisomers. Here we show that the choice of the activating agent for the synthesis of a PS ORN influences the Rp/Sp ratio of PS linkages throughout the strand. Furthermore, PS siRNAs composed of ORNs with a higher fraction of Rp centres show greater resistance to nucleases in serum and are more effective inhibitors in cells than their Sp counterparts. The finding that a stereochemically biased population of ORN diastereoisomers can be synthesized and exploited pharmacologically is important because uniform PS modification of siRNAs may provide a useful compromise of their pharmacokinetics and pharmacodynamics properties in RNAi therapeutic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Communications","id":"ITEM-1","issue":"May 2014","issued":{"date-parts":[["2015"]]},"page":"1-9","publisher":"Nature Publishing Group","title":"Stereochemical bias introduced during RNA synthesis modulates the activity of phosphorothioate siRNAs","type":"article-journal","volume":"6"},"uris":["http://www.mendeley.com/documents/?uuid=8e00cf7c-7714-4b6f-8c1f-e76a20aa8084"]}],"mendeley":{"formattedCitation":"(Jahns &lt;i&gt;et al.&lt;/i&gt;, 2015a)","plainTextFormattedCitation":"(Jahns et al., 2015a)","previouslyFormattedCitation":"(Jahns &lt;i&gt;et al.&lt;/i&gt;, 2015a)"},"properties":{"noteIndex":0},"schema":"https://github.com/citation-style-language/schema/raw/master/csl-citation.json"}</w:instrText>
      </w:r>
      <w:r w:rsidR="005C0E76" w:rsidRPr="00D6722B">
        <w:fldChar w:fldCharType="separate"/>
      </w:r>
      <w:r w:rsidR="008612BD" w:rsidRPr="00D6722B">
        <w:rPr>
          <w:noProof/>
        </w:rPr>
        <w:t xml:space="preserve">(Jahns </w:t>
      </w:r>
      <w:r w:rsidR="008612BD" w:rsidRPr="00D6722B">
        <w:rPr>
          <w:i/>
          <w:noProof/>
        </w:rPr>
        <w:t>et al.</w:t>
      </w:r>
      <w:r w:rsidR="008612BD" w:rsidRPr="00D6722B">
        <w:rPr>
          <w:noProof/>
        </w:rPr>
        <w:t>, 2015a)</w:t>
      </w:r>
      <w:r w:rsidR="005C0E76" w:rsidRPr="00D6722B">
        <w:fldChar w:fldCharType="end"/>
      </w:r>
      <w:r w:rsidRPr="00D6722B">
        <w:t xml:space="preserve"> and so investigations into producing stereochemically pure phosphorothioate oligonucleotides are being conducted. Every phosphorothioate linkage can exist as two different stereoisomers; a fully phosphorothioate-linked single stranded oligonucleotide containing 20 nucleotides can therefore exist as 220 (1,048,576) different stereoisomers, which presents an enormous challenge. However it has been suggested that a higher number of R (rather than S) linkages improves siRNA potency </w:t>
      </w:r>
      <w:r w:rsidR="005C0E76" w:rsidRPr="00D6722B">
        <w:fldChar w:fldCharType="begin" w:fldLock="1"/>
      </w:r>
      <w:r w:rsidR="008612BD" w:rsidRPr="00D6722B">
        <w:instrText>ADDIN CSL_CITATION {"citationItems":[{"id":"ITEM-1","itemData":{"DOI":"10.1038/ncomms7317","ISSN":"20411723","PMID":"25744034","abstract":"An established means of improving the pharmacokinetics properties of oligoribonucleotides (ORNs) is to exchange their phosphodiester linkages for phosphorothioates (PSs). However, this strategy has not been pursued for small interfering RNAs (siRNAs), possibly because of sporadic reports that PS siRNAs show reduced inhibitory activity. The PS group is chiral at phosphorous (Rp/Sp centres), and conventional solid-phase synthesis of PS ORNs produces a population of diastereoisomers. Here we show that the choice of the activating agent for the synthesis of a PS ORN influences the Rp/Sp ratio of PS linkages throughout the strand. Furthermore, PS siRNAs composed of ORNs with a higher fraction of Rp centres show greater resistance to nucleases in serum and are more effective inhibitors in cells than their Sp counterparts. The finding that a stereochemically biased population of ORN diastereoisomers can be synthesized and exploited pharmacologically is important because uniform PS modification of siRNAs may provide a useful compromise of their pharmacokinetics and pharmacodynamics properties in RNAi therapeutic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Communications","id":"ITEM-1","issue":"May 2014","issued":{"date-parts":[["2015"]]},"page":"1-9","publisher":"Nature Publishing Group","title":"Stereochemical bias introduced during RNA synthesis modulates the activity of phosphorothioate siRNAs","type":"article-journal","volume":"6"},"uris":["http://www.mendeley.com/documents/?uuid=8e00cf7c-7714-4b6f-8c1f-e76a20aa8084"]}],"mendeley":{"formattedCitation":"(Jahns &lt;i&gt;et al.&lt;/i&gt;, 2015a)","plainTextFormattedCitation":"(Jahns et al., 2015a)","previouslyFormattedCitation":"(Jahns &lt;i&gt;et al.&lt;/i&gt;, 2015a)"},"properties":{"noteIndex":0},"schema":"https://github.com/citation-style-language/schema/raw/master/csl-citation.json"}</w:instrText>
      </w:r>
      <w:r w:rsidR="005C0E76" w:rsidRPr="00D6722B">
        <w:fldChar w:fldCharType="separate"/>
      </w:r>
      <w:r w:rsidR="008612BD" w:rsidRPr="00D6722B">
        <w:rPr>
          <w:noProof/>
        </w:rPr>
        <w:t xml:space="preserve">(Jahns </w:t>
      </w:r>
      <w:r w:rsidR="008612BD" w:rsidRPr="00D6722B">
        <w:rPr>
          <w:i/>
          <w:noProof/>
        </w:rPr>
        <w:t>et al.</w:t>
      </w:r>
      <w:r w:rsidR="008612BD" w:rsidRPr="00D6722B">
        <w:rPr>
          <w:noProof/>
        </w:rPr>
        <w:t>, 2015a)</w:t>
      </w:r>
      <w:r w:rsidR="005C0E76" w:rsidRPr="00D6722B">
        <w:fldChar w:fldCharType="end"/>
      </w:r>
      <w:r w:rsidRPr="00D6722B">
        <w:t>.</w:t>
      </w:r>
    </w:p>
    <w:p w:rsidR="00256BC4" w:rsidRPr="00D6722B" w:rsidRDefault="00256BC4" w:rsidP="000441D9">
      <w:pPr>
        <w:spacing w:line="360" w:lineRule="auto"/>
        <w:ind w:firstLine="284"/>
      </w:pPr>
      <w:r w:rsidRPr="00D6722B">
        <w:t xml:space="preserve">A recent interesting development has been the use of single stranded short interfering RNAs (ss-siRNAs) to induce RNAi in mice </w:t>
      </w:r>
      <w:r w:rsidR="005C0E76" w:rsidRPr="00D6722B">
        <w:fldChar w:fldCharType="begin" w:fldLock="1"/>
      </w:r>
      <w:r w:rsidRPr="00D6722B">
        <w:instrText>ADDIN CSL_CITATION {"citationItems":[{"id":"ITEM-1","itemData":{"DOI":"10.1016/j.cell.2012.08.014","ISBN":"1097-4172 (Electronic)\\n0092-8674 (Linking)","ISSN":"00928674","PMID":"22939618","abstract":"The therapeutic utility of siRNAs is limited by the requirement for complex formulations to deliver them to tissues. If potent single-stranded RNAs could be identified, they would provide a simpler path to pharmacological agents. Here, we describe single-stranded siRNAs (ss-siRNAs) that silence gene expression in animals absent lipid formulation. Effective ss-siRNAs were identified by iterative design by determining structure-activity relationships correlating chemically modified single strands and Argonaute 2 (AGO2) activities, potency in cells, nuclease stability, and pharmacokinetics. We find that the passenger strand is not necessary for potent gene silencing. The guide-strand activity requires AGO2, demonstrating action through the RNAi pathway. ss-siRNA action requires a 5??? phosphate to achieve activity in vivo, and we developed a metabolically stable 5???-(E)-vinylphosphonate (5???-VP) with conformation and sterioelectronic properties similar to the natural phosphate. Identification of potent ss-siRNAs offers an additional option for RNAi therapeutics and an alternate perspective on RNAi mechanism. ?? 2012 Elsevier Inc.","author":[{"dropping-particle":"","family":"Lima","given":"Walt F.","non-dropping-particle":"","parse-names":false,"suffix":""},{"dropping-particle":"","family":"Prakash","given":"Thazha P.","non-dropping-particle":"","parse-names":false,"suffix":""},{"dropping-particle":"","family":"Murray","given":"Heather M.","non-dropping-particle":"","parse-names":false,"suffix":""},{"dropping-particle":"","family":"Kinberger","given":"Garth a.","non-dropping-particle":"","parse-names":false,"suffix":""},{"dropping-particle":"","family":"Li","given":"Wenyu","non-dropping-particle":"","parse-names":false,"suffix":""},{"dropping-particle":"","family":"Chappell","given":"Alfred E.","non-dropping-particle":"","parse-names":false,"suffix":""},{"dropping-particle":"","family":"Li","given":"Cheryl S.","non-dropping-particle":"","parse-names":false,"suffix":""},{"dropping-particle":"","family":"Murray","given":"Susan F.","non-dropping-particle":"","parse-names":false,"suffix":""},{"dropping-particle":"","family":"Gaus","given":"Hans","non-dropping-particle":"","parse-names":false,"suffix":""},{"dropping-particle":"","family":"Seth","given":"Punit P.","non-dropping-particle":"","parse-names":false,"suffix":""},{"dropping-particle":"","family":"Swayze","given":"Eric E.","non-dropping-particle":"","parse-names":false,"suffix":""},{"dropping-particle":"","family":"Crooke","given":"Stanley T.","non-dropping-particle":"","parse-names":false,"suffix":""}],"container-title":"Cell","id":"ITEM-1","issue":"5","issued":{"date-parts":[["2012"]]},"page":"883-894","title":"Single-stranded siRNAs activate RNAi in animals","type":"article-journal","volume":"150"},"uris":["http://www.mendeley.com/documents/?uuid=e48c26ed-f193-4362-8f77-f52acb596b63"]}],"mendeley":{"formattedCitation":"(Lima &lt;i&gt;et al.&lt;/i&gt;, 2012)","plainTextFormattedCitation":"(Lima et al., 2012)","previouslyFormattedCitation":"(Lima &lt;i&gt;et al.&lt;/i&gt;, 2012)"},"properties":{"noteIndex":0},"schema":"https://github.com/citation-style-language/schema/raw/master/csl-citation.json"}</w:instrText>
      </w:r>
      <w:r w:rsidR="005C0E76" w:rsidRPr="00D6722B">
        <w:fldChar w:fldCharType="separate"/>
      </w:r>
      <w:r w:rsidRPr="00D6722B">
        <w:rPr>
          <w:noProof/>
        </w:rPr>
        <w:t xml:space="preserve">(Lima </w:t>
      </w:r>
      <w:r w:rsidRPr="00D6722B">
        <w:rPr>
          <w:i/>
          <w:noProof/>
        </w:rPr>
        <w:t>et al.</w:t>
      </w:r>
      <w:r w:rsidRPr="00D6722B">
        <w:rPr>
          <w:noProof/>
        </w:rPr>
        <w:t>, 2012)</w:t>
      </w:r>
      <w:r w:rsidR="005C0E76" w:rsidRPr="00D6722B">
        <w:fldChar w:fldCharType="end"/>
      </w:r>
      <w:r w:rsidRPr="00D6722B">
        <w:t>. These ss-siRNAs were found to be active and most potent when containing the following modifications: a fully phosphorothioate-linked ss-siRNA; a 5’ terminal phosphonate analogue; a 2’-methoxyethyl (2’-MOE) nucleotide at the 5’ terminus to protect against exonuclease activity; two 2’-MOE nucleotides at the 3’ terminus; alternating 2’-F and 2’-O</w:t>
      </w:r>
      <w:r w:rsidR="00ED2E5F">
        <w:t>-</w:t>
      </w:r>
      <w:r w:rsidRPr="00D6722B">
        <w:t xml:space="preserve">Me modifications for the rest of the chain. These ss-siRNAs consisting of entirely modified nucleotides were able to invoke RNAi </w:t>
      </w:r>
      <w:r w:rsidRPr="00D6722B">
        <w:rPr>
          <w:i/>
        </w:rPr>
        <w:t>in vivo</w:t>
      </w:r>
      <w:r w:rsidRPr="00D6722B">
        <w:t xml:space="preserve"> in mice.</w:t>
      </w:r>
    </w:p>
    <w:p w:rsidR="004F2E09" w:rsidRPr="00D6722B" w:rsidRDefault="004F2E09" w:rsidP="000441D9">
      <w:pPr>
        <w:spacing w:line="360" w:lineRule="auto"/>
        <w:ind w:firstLine="284"/>
      </w:pPr>
      <w:r w:rsidRPr="00D6722B">
        <w:t xml:space="preserve">Promising modifications which merited further study were therefore: phosphorothioate modifications, which improve the RNAi effect by increasing binding of dsRNAs to serum proteins, thus reducing their clearance rate and increasing in vivo half life </w:t>
      </w:r>
      <w:r w:rsidR="005C0E76" w:rsidRPr="00D6722B">
        <w:fldChar w:fldCharType="begin" w:fldLock="1"/>
      </w:r>
      <w:r w:rsidRPr="00D6722B">
        <w:instrText>ADDIN CSL_CITATION {"citationItems":[{"id":"ITEM-1","itemData":{"ISSN":"1472-4472","PMID":"11566019","abstract":"Phosphorothioate (PS) oligodeoxynucleotides represent the class of antisense drugs most advanced in development and clinical testing. Exploitation of antisense oligonucleotide technology for development of rationally designed therapeutic drugs has presented a unique set of challenges, some of which relate to their pharmacokinetic behavior in vivo. Pharmacokinetic studies of PS oligodeoxynucleotides demonstrate that they are well absorbed from parenteral sites, rapidly distributed broadly to all peripheral tissues, do not cross the blood-brain barrier, and are eliminated primarily by slow metabolism in tissues. In general, the pharmacokinetic properties of this class of compounds appear to be largely driven by chemistry rather than sequence.","author":[{"dropping-particle":"","family":"Geary","given":"R S","non-dropping-particle":"","parse-names":false,"suffix":""},{"dropping-particle":"","family":"Yu","given":"R Z","non-dropping-particle":"","parse-names":false,"suffix":""},{"dropping-particle":"","family":"Levin","given":"A A","non-dropping-particle":"","parse-names":false,"suffix":""}],"container-title":"Current opinion in investigational drugs (London, England : 2000)","id":"ITEM-1","issue":"4","issued":{"date-parts":[["2001","4"]]},"page":"562-73","title":"Pharmacokinetics of phosphorothioate antisense oligodeoxynucleotides.","type":"article-journal","volume":"2"},"uris":["http://www.mendeley.com/documents/?uuid=be94f2cb-f9bc-3f6d-b4de-3ecb426b771a"]}],"mendeley":{"formattedCitation":"(Geary, Yu and Levin, 2001)","plainTextFormattedCitation":"(Geary, Yu and Levin, 2001)","previouslyFormattedCitation":"(Geary, Yu and Levin, 2001)"},"properties":{"noteIndex":0},"schema":"https://github.com/citation-style-language/schema/raw/master/csl-citation.json"}</w:instrText>
      </w:r>
      <w:r w:rsidR="005C0E76" w:rsidRPr="00D6722B">
        <w:fldChar w:fldCharType="separate"/>
      </w:r>
      <w:r w:rsidRPr="00D6722B">
        <w:rPr>
          <w:noProof/>
        </w:rPr>
        <w:t>(Geary, Yu and Levin, 2001)</w:t>
      </w:r>
      <w:r w:rsidR="005C0E76" w:rsidRPr="00D6722B">
        <w:fldChar w:fldCharType="end"/>
      </w:r>
      <w:r w:rsidRPr="00D6722B">
        <w:t xml:space="preserve"> as well as increasing nuclease resistance </w:t>
      </w:r>
      <w:r w:rsidR="005C0E76" w:rsidRPr="00D6722B">
        <w:fldChar w:fldCharType="begin" w:fldLock="1"/>
      </w:r>
      <w:r w:rsidRPr="00D6722B">
        <w:instrText>ADDIN CSL_CITATION {"citationItems":[{"id":"ITEM-1","itemData":{"DOI":"10.1038/ncomms7317","ISSN":"20411723","PMID":"25744034","abstract":"An established means of improving the pharmacokinetics properties of oligoribonucleotides (ORNs) is to exchange their phosphodiester linkages for phosphorothioates (PSs). However, this strategy has not been pursued for small interfering RNAs (siRNAs), possibly because of sporadic reports that PS siRNAs show reduced inhibitory activity. The PS group is chiral at phosphorous (Rp/Sp centres), and conventional solid-phase synthesis of PS ORNs produces a population of diastereoisomers. Here we show that the choice of the activating agent for the synthesis of a PS ORN influences the Rp/Sp ratio of PS linkages throughout the strand. Furthermore, PS siRNAs composed of ORNs with a higher fraction of Rp centres show greater resistance to nucleases in serum and are more effective inhibitors in cells than their Sp counterparts. The finding that a stereochemically biased population of ORN diastereoisomers can be synthesized and exploited pharmacologically is important because uniform PS modification of siRNAs may provide a useful compromise of their pharmacokinetics and pharmacodynamics properties in RNAi therapeutic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Communications","id":"ITEM-1","issue":"May 2014","issued":{"date-parts":[["2015"]]},"page":"1-9","publisher":"Nature Publishing Group","title":"Stereochemical bias introduced during RNA synthesis modulates the activity of phosphorothioate siRNAs","type":"article-journal","volume":"6"},"uris":["http://www.mendeley.com/documents/?uuid=8e00cf7c-7714-4b6f-8c1f-e76a20aa8084"]},{"id":"ITEM-2","itemData":{"DOI":"10.1261/rna.5103703","ISSN":"1355-8382","PMID":"12923253","abstract":"Various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M","non-dropping-particle":"","parse-names":false,"suffix":""}],"container-title":"RNA","id":"ITEM-2","issue":"9","issued":{"date-parts":[["2003","9","1"]]},"page":"1034-1048","title":"siRNA function in RNAi: A chemical modification analysis","type":"article-journal","volume":"9"},"uris":["http://www.mendeley.com/documents/?uuid=b575ef29-2702-31fc-b85c-c66c1af1e55b"]}],"mendeley":{"formattedCitation":"(Chiu and Rana, 2003; Jahns &lt;i&gt;et al.&lt;/i&gt;, 2015a)","plainTextFormattedCitation":"(Chiu and Rana, 2003; Jahns et al., 2015a)","previouslyFormattedCitation":"(Chiu and Rana, 2003; Jahns &lt;i&gt;et al.&lt;/i&gt;, 2015a)"},"properties":{"noteIndex":0},"schema":"https://github.com/citation-style-language/schema/raw/master/csl-citation.json"}</w:instrText>
      </w:r>
      <w:r w:rsidR="005C0E76" w:rsidRPr="00D6722B">
        <w:fldChar w:fldCharType="separate"/>
      </w:r>
      <w:r w:rsidRPr="00D6722B">
        <w:rPr>
          <w:noProof/>
        </w:rPr>
        <w:t xml:space="preserve">(Chiu and Rana, 2003; Jahns </w:t>
      </w:r>
      <w:r w:rsidRPr="00D6722B">
        <w:rPr>
          <w:i/>
          <w:noProof/>
        </w:rPr>
        <w:t>et al.</w:t>
      </w:r>
      <w:r w:rsidRPr="00D6722B">
        <w:rPr>
          <w:noProof/>
        </w:rPr>
        <w:t>, 2015a)</w:t>
      </w:r>
      <w:r w:rsidR="005C0E76" w:rsidRPr="00D6722B">
        <w:fldChar w:fldCharType="end"/>
      </w:r>
      <w:r w:rsidRPr="00D6722B">
        <w:t xml:space="preserve">; and 2’-fluoro modifications which are tolerated by RNAi machinery </w:t>
      </w:r>
      <w:r w:rsidR="005C0E76" w:rsidRPr="00D6722B">
        <w:fldChar w:fldCharType="begin" w:fldLock="1"/>
      </w:r>
      <w:r w:rsidRPr="00D6722B">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&lt;sup&gt;†&lt;/sup&gt;","type":"article-journal","volume":"42"},"uris":["http://www.mendeley.com/documents/?uuid=64a42631-2469-393f-899d-064802514614"]}],"mendeley":{"formattedCitation":"(Braasch &lt;i&gt;et al.&lt;/i&gt;, 2003)","plainTextFormattedCitation":"(Braasch et al., 2003)","previouslyFormattedCitation":"(Braasch &lt;i&gt;et al.&lt;/i&gt;, 2003)"},"properties":{"noteIndex":0},"schema":"https://github.com/citation-style-language/schema/raw/master/csl-citation.json"}</w:instrText>
      </w:r>
      <w:r w:rsidR="005C0E76" w:rsidRPr="00D6722B">
        <w:fldChar w:fldCharType="separate"/>
      </w:r>
      <w:r w:rsidRPr="00D6722B">
        <w:rPr>
          <w:noProof/>
        </w:rPr>
        <w:t xml:space="preserve">(Braasch </w:t>
      </w:r>
      <w:r w:rsidRPr="00D6722B">
        <w:rPr>
          <w:i/>
          <w:noProof/>
        </w:rPr>
        <w:t>et al.</w:t>
      </w:r>
      <w:r w:rsidRPr="00D6722B">
        <w:rPr>
          <w:noProof/>
        </w:rPr>
        <w:t>, 2003)</w:t>
      </w:r>
      <w:r w:rsidR="005C0E76" w:rsidRPr="00D6722B">
        <w:fldChar w:fldCharType="end"/>
      </w:r>
      <w:r w:rsidRPr="00D6722B">
        <w:t xml:space="preserve"> and also increase nuclease resistance of nucleic acids in some systems </w:t>
      </w:r>
      <w:r w:rsidR="005C0E76" w:rsidRPr="00D6722B">
        <w:fldChar w:fldCharType="begin" w:fldLock="1"/>
      </w:r>
      <w:r w:rsidRPr="00D6722B">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analysis","type":"article-journal","volume":"9"},"uris":["http://www.mendeley.com/documents/?uuid=b575ef29-2702-31fc-b85c-c66c1af1e55b"]}],"mendeley":{"formattedCitation":"(Chiu and Rana, 2003)","plainTextFormattedCitation":"(Chiu and Rana, 2003)","previouslyFormattedCitation":"(Chiu and Rana, 2003)"},"properties":{"noteIndex":0},"schema":"https://github.com/citation-style-language/schema/raw/master/csl-citation.json"}</w:instrText>
      </w:r>
      <w:r w:rsidR="005C0E76" w:rsidRPr="00D6722B">
        <w:fldChar w:fldCharType="separate"/>
      </w:r>
      <w:r w:rsidRPr="00D6722B">
        <w:rPr>
          <w:noProof/>
        </w:rPr>
        <w:t>(Chiu and Rana, 2003)</w:t>
      </w:r>
      <w:r w:rsidR="005C0E76" w:rsidRPr="00D6722B">
        <w:fldChar w:fldCharType="end"/>
      </w:r>
      <w:r w:rsidRPr="00D6722B">
        <w:t>.</w:t>
      </w:r>
    </w:p>
    <w:p w:rsidR="00B12A13" w:rsidRDefault="009D551A" w:rsidP="000441D9">
      <w:pPr>
        <w:pStyle w:val="Heading3"/>
        <w:spacing w:line="360" w:lineRule="auto"/>
      </w:pPr>
      <w:bookmarkStart w:id="28" w:name="_Toc35333928"/>
      <w:r>
        <w:t>Nucleic acid b</w:t>
      </w:r>
      <w:r w:rsidR="00B12A13">
        <w:t>ase</w:t>
      </w:r>
      <w:r>
        <w:t xml:space="preserve"> chemical</w:t>
      </w:r>
      <w:r w:rsidR="00B12A13">
        <w:t xml:space="preserve"> modifications</w:t>
      </w:r>
      <w:bookmarkEnd w:id="28"/>
    </w:p>
    <w:p w:rsidR="00256BC4" w:rsidRPr="00D6722B" w:rsidRDefault="00256BC4" w:rsidP="000441D9">
      <w:pPr>
        <w:spacing w:line="360" w:lineRule="auto"/>
        <w:ind w:firstLine="284"/>
      </w:pPr>
      <w:r w:rsidRPr="00D6722B">
        <w:t xml:space="preserve">The current literature on chemical modifications to the bases themselves presents a bewildering array of possible chemistries </w:t>
      </w:r>
      <w:r w:rsidR="005C0E76" w:rsidRPr="00D6722B">
        <w:fldChar w:fldCharType="begin" w:fldLock="1"/>
      </w:r>
      <w:r w:rsidR="008612BD" w:rsidRPr="00D6722B">
        <w:instrText>ADDIN CSL_CITATION {"citationItems":[{"id":"ITEM-1","itemData":{"author":[{"dropping-particle":"","family":"Peacock","given":"Hayden","non-dropping-particle":"","parse-names":false,"suffix":""},{"dropping-particle":"","family":"Kannan","given":"Arunkumar","non-dropping-particle":"","parse-names":false,"suffix":""},{"dropping-particle":"","family":"Beal","given":"Peter A","non-dropping-particle":"","parse-names":false,"suffix":""},{"dropping-particle":"","family":"Burrows","given":"Cynthia J","non-dropping-particle":"","parse-names":false,"suffix":""}],"id":"ITEM-1","issued":{"date-parts":[["2011"]]},"page":"7295-7300","title":"Chemiical modification of siRNA bases to probe and enhance RNA interference","type":"article-journal"},"uris":["http://www.mendeley.com/documents/?uuid=c365b8df-a315-4d93-8168-ba64481d5094"]}],"mendeley":{"formattedCitation":"(Peacock &lt;i&gt;et al.&lt;/i&gt;, 2011b)","plainTextFormattedCitation":"(Peacock et al., 2011b)","previouslyFormattedCitation":"(Peacock &lt;i&gt;et al.&lt;/i&gt;, 2011b)"},"properties":{"noteIndex":0},"schema":"https://github.com/citation-style-language/schema/raw/master/csl-citation.json"}</w:instrText>
      </w:r>
      <w:r w:rsidR="005C0E76" w:rsidRPr="00D6722B">
        <w:fldChar w:fldCharType="separate"/>
      </w:r>
      <w:r w:rsidR="008612BD" w:rsidRPr="00D6722B">
        <w:rPr>
          <w:noProof/>
        </w:rPr>
        <w:t xml:space="preserve">(Peacock </w:t>
      </w:r>
      <w:r w:rsidR="008612BD" w:rsidRPr="00D6722B">
        <w:rPr>
          <w:i/>
          <w:noProof/>
        </w:rPr>
        <w:t>et al.</w:t>
      </w:r>
      <w:r w:rsidR="008612BD" w:rsidRPr="00D6722B">
        <w:rPr>
          <w:noProof/>
        </w:rPr>
        <w:t>, 2011b)</w:t>
      </w:r>
      <w:r w:rsidR="005C0E76" w:rsidRPr="00D6722B">
        <w:fldChar w:fldCharType="end"/>
      </w:r>
      <w:r w:rsidRPr="00D6722B">
        <w:t xml:space="preserve">. It is interesting to note however that work on the effects of base modifications on RNAi has been conducted since shortly after the discovery of RNAi, as exemplified by the work of </w:t>
      </w:r>
      <w:r w:rsidR="005C0E76" w:rsidRPr="00D6722B">
        <w:fldChar w:fldCharType="begin" w:fldLock="1"/>
      </w:r>
      <w:r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rsidRPr="00D6722B">
        <w:fldChar w:fldCharType="separate"/>
      </w:r>
      <w:r w:rsidRPr="00D6722B">
        <w:rPr>
          <w:noProof/>
        </w:rPr>
        <w:t xml:space="preserve">(Parrish </w:t>
      </w:r>
      <w:r w:rsidRPr="00D6722B">
        <w:rPr>
          <w:i/>
          <w:noProof/>
        </w:rPr>
        <w:t>et al.</w:t>
      </w:r>
      <w:r w:rsidRPr="00D6722B">
        <w:rPr>
          <w:noProof/>
        </w:rPr>
        <w:t>, 2000)</w:t>
      </w:r>
      <w:r w:rsidR="005C0E76" w:rsidRPr="00D6722B">
        <w:fldChar w:fldCharType="end"/>
      </w:r>
      <w:r w:rsidRPr="00D6722B">
        <w:t>.</w:t>
      </w:r>
    </w:p>
    <w:p w:rsidR="003E593D" w:rsidRDefault="00443920" w:rsidP="000441D9">
      <w:pPr>
        <w:spacing w:line="360" w:lineRule="auto"/>
        <w:ind w:firstLine="284"/>
      </w:pPr>
      <w:r>
        <w:t>C</w:t>
      </w:r>
      <w:r w:rsidR="003E593D">
        <w:t xml:space="preserve">hemical modifications that </w:t>
      </w:r>
      <w:r>
        <w:t xml:space="preserve">significantly </w:t>
      </w:r>
      <w:r w:rsidR="003E593D">
        <w:t>affect hydrogen bonding for Watson-Crick base pairing</w:t>
      </w:r>
      <w:r>
        <w:t xml:space="preserve"> can both reduce RNAi efficacy</w:t>
      </w:r>
      <w:r w:rsidR="003E593D">
        <w:t>, such as changing the 2-NH</w:t>
      </w:r>
      <w:r w:rsidR="003E593D" w:rsidRPr="00443920">
        <w:rPr>
          <w:vertAlign w:val="subscript"/>
        </w:rPr>
        <w:t>2</w:t>
      </w:r>
      <w:r w:rsidR="003E593D">
        <w:t xml:space="preserve"> group of guanosine to 2-H (changing guanosine to inosine</w:t>
      </w:r>
      <w:r>
        <w:t xml:space="preserve">) reduce RNAi efficacy, or have little effect on RNAi efficacy, such as 4-thio modifications on uracil </w:t>
      </w:r>
      <w:r w:rsidR="005C0E76">
        <w:fldChar w:fldCharType="begin" w:fldLock="1"/>
      </w:r>
      <w:r>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fldChar w:fldCharType="separate"/>
      </w:r>
      <w:r w:rsidRPr="00443920">
        <w:rPr>
          <w:noProof/>
        </w:rPr>
        <w:t xml:space="preserve">(Parrish </w:t>
      </w:r>
      <w:r w:rsidRPr="00443920">
        <w:rPr>
          <w:i/>
          <w:noProof/>
        </w:rPr>
        <w:t>et al.</w:t>
      </w:r>
      <w:r w:rsidRPr="00443920">
        <w:rPr>
          <w:noProof/>
        </w:rPr>
        <w:t>, 2000)</w:t>
      </w:r>
      <w:r w:rsidR="005C0E76">
        <w:fldChar w:fldCharType="end"/>
      </w:r>
      <w:r>
        <w:t xml:space="preserve">. Modifications on non-hydrogen bonding groups can similarly either reduce RNAi efficacy, or have little effect. For example 5-bromo  modifications to uracil are well tolerated, but 5-iodo modifications to uracil result in reduced RNAi efficacy, particularly when these modifications are included in the guide strand </w:t>
      </w:r>
      <w:r w:rsidR="005C0E76">
        <w:fldChar w:fldCharType="begin" w:fldLock="1"/>
      </w:r>
      <w:r w:rsidR="00177CEE">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fldChar w:fldCharType="separate"/>
      </w:r>
      <w:r w:rsidRPr="00443920">
        <w:rPr>
          <w:noProof/>
        </w:rPr>
        <w:t xml:space="preserve">(Parrish </w:t>
      </w:r>
      <w:r w:rsidRPr="00443920">
        <w:rPr>
          <w:i/>
          <w:noProof/>
        </w:rPr>
        <w:t>et al.</w:t>
      </w:r>
      <w:r w:rsidRPr="00443920">
        <w:rPr>
          <w:noProof/>
        </w:rPr>
        <w:t>, 2000)</w:t>
      </w:r>
      <w:r w:rsidR="005C0E76">
        <w:fldChar w:fldCharType="end"/>
      </w:r>
      <w:r>
        <w:t>.</w:t>
      </w:r>
    </w:p>
    <w:p w:rsidR="00914F56" w:rsidRPr="00D6722B" w:rsidRDefault="007E0E3D" w:rsidP="000441D9">
      <w:pPr>
        <w:spacing w:line="360" w:lineRule="auto"/>
        <w:ind w:firstLine="284"/>
      </w:pPr>
      <w:r>
        <w:t xml:space="preserve">A study into the effects of many different kinds of base modifications to siRNAs determined that most either had no effect on </w:t>
      </w:r>
      <w:r w:rsidRPr="00D6722B">
        <w:t xml:space="preserve">RNAi efficacy or reduced RNAi efficacy, with no clear improvements for any of the modifications tested </w:t>
      </w:r>
      <w:r w:rsidR="005C0E76" w:rsidRPr="00D6722B">
        <w:fldChar w:fldCharType="begin" w:fldLock="1"/>
      </w:r>
      <w:r w:rsidR="006B0920" w:rsidRPr="00D6722B">
        <w:instrText>ADDIN CSL_CITATION {"citationItems":[{"id":"ITEM-1","itemData":{"DOI":"10.1021/jo2012225","ISSN":"1520-6904","PMID":"21834582","abstract":"Considerable attention has focused on the use of alternatives to the native ribose and phosphate backbone of small interfering RNAs for therapeutic applications of the RNA interference pathway. In this synopsis, we highlight the less common chemical modifications, namely, those of the RNA nucleobases. Base modifications have the potential to lend insight into the mechanism of gene silencing and to lead to novel methods to overcome off-target effects that arise due to deleterious protein binding or mis-targeting of mRNA.","author":[{"dropping-particle":"","family":"Peacock","given":"Hayden","non-dropping-particle":"","parse-names":false,"suffix":""},{"dropping-particle":"","family":"Kannan","given":"Arunkumar","non-dropping-particle":"","parse-names":false,"suffix":""},{"dropping-particle":"","family":"Beal","given":"Peter A","non-dropping-particle":"","parse-names":false,"suffix":""},{"dropping-particle":"","family":"Burrows","given":"Cynthia J","non-dropping-particle":"","parse-names":false,"suffix":""}],"container-title":"The Journal of organic chemistry","id":"ITEM-1","issue":"18","issued":{"date-parts":[["2011","9","16"]]},"page":"7295-300","publisher":"NIH Public Access","title":"Chemical modification of siRNA bases to probe and enhance RNA interference.","type":"article-journal","volume":"76"},"uris":["http://www.mendeley.com/documents/?uuid=d5781ce8-9b56-37b4-9563-d6f01c360bbd"]}],"mendeley":{"formattedCitation":"(Peacock &lt;i&gt;et al.&lt;/i&gt;, 2011a)","plainTextFormattedCitation":"(Peacock et al., 2011a)","previouslyFormattedCitation":"(Peacock &lt;i&gt;et al.&lt;/i&gt;, 2011a)"},"properties":{"noteIndex":0},"schema":"https://github.com/citation-style-language/schema/raw/master/csl-citation.json"}</w:instrText>
      </w:r>
      <w:r w:rsidR="005C0E76" w:rsidRPr="00D6722B">
        <w:fldChar w:fldCharType="separate"/>
      </w:r>
      <w:r w:rsidRPr="00D6722B">
        <w:rPr>
          <w:noProof/>
        </w:rPr>
        <w:t xml:space="preserve">(Peacock </w:t>
      </w:r>
      <w:r w:rsidRPr="00D6722B">
        <w:rPr>
          <w:i/>
          <w:noProof/>
        </w:rPr>
        <w:t>et al.</w:t>
      </w:r>
      <w:r w:rsidRPr="00D6722B">
        <w:rPr>
          <w:noProof/>
        </w:rPr>
        <w:t>, 2011a)</w:t>
      </w:r>
      <w:r w:rsidR="005C0E76" w:rsidRPr="00D6722B">
        <w:fldChar w:fldCharType="end"/>
      </w:r>
      <w:r w:rsidRPr="00D6722B">
        <w:t xml:space="preserve">. </w:t>
      </w:r>
      <w:r w:rsidR="003E593D" w:rsidRPr="00D6722B">
        <w:t xml:space="preserve">Base modifications were not generally </w:t>
      </w:r>
      <w:r w:rsidR="003E593D" w:rsidRPr="00D6722B">
        <w:lastRenderedPageBreak/>
        <w:t>considered for investigation</w:t>
      </w:r>
      <w:r w:rsidR="00892655" w:rsidRPr="00D6722B">
        <w:t xml:space="preserve"> as part of </w:t>
      </w:r>
      <w:r w:rsidR="003E593D" w:rsidRPr="00D6722B">
        <w:t>this</w:t>
      </w:r>
      <w:r w:rsidR="00892655" w:rsidRPr="00D6722B">
        <w:t xml:space="preserve"> project as their effects are generally less well understood</w:t>
      </w:r>
      <w:r w:rsidR="007C113C" w:rsidRPr="00D6722B">
        <w:t xml:space="preserve"> than those of backbone chemical modifications. </w:t>
      </w:r>
    </w:p>
    <w:p w:rsidR="00256BC4" w:rsidRDefault="00256BC4" w:rsidP="000441D9">
      <w:pPr>
        <w:spacing w:line="360" w:lineRule="auto"/>
      </w:pPr>
    </w:p>
    <w:p w:rsidR="00255049" w:rsidRDefault="00255049" w:rsidP="000441D9">
      <w:pPr>
        <w:pStyle w:val="Heading3"/>
        <w:spacing w:line="360" w:lineRule="auto"/>
      </w:pPr>
      <w:bookmarkStart w:id="29" w:name="_Toc35333929"/>
      <w:r>
        <w:t xml:space="preserve">Naturally occurring </w:t>
      </w:r>
      <w:r w:rsidR="009D551A">
        <w:t xml:space="preserve">nucleic acid chemical </w:t>
      </w:r>
      <w:r>
        <w:t>modifications</w:t>
      </w:r>
      <w:bookmarkEnd w:id="29"/>
    </w:p>
    <w:p w:rsidR="00F6251D" w:rsidRDefault="00DE3C26" w:rsidP="000441D9">
      <w:pPr>
        <w:spacing w:line="360" w:lineRule="auto"/>
        <w:ind w:firstLine="284"/>
      </w:pPr>
      <w:r>
        <w:t>Many nucleic acids in natural systems contain non-canonical chemically modified nucleotides. This is an important point to consider, as drawing attention to this prevents</w:t>
      </w:r>
      <w:r w:rsidR="00F6251D">
        <w:t xml:space="preserve"> chemically modified nucleic acids being regarded as highly “synthetic” by the general public, and may therefore aid in the acceptance of the use of chemically modified dsRNA insecticides. Examples of </w:t>
      </w:r>
      <w:r w:rsidR="007501C1">
        <w:t xml:space="preserve">chemical modifications </w:t>
      </w:r>
      <w:r w:rsidR="007C113C">
        <w:t>of</w:t>
      </w:r>
      <w:r w:rsidR="007501C1">
        <w:t xml:space="preserve"> nucleic acids found in nature</w:t>
      </w:r>
      <w:r w:rsidR="00F6251D">
        <w:t xml:space="preserve"> include the following</w:t>
      </w:r>
      <w:r w:rsidR="007501C1">
        <w:t xml:space="preserve">. </w:t>
      </w:r>
    </w:p>
    <w:p w:rsidR="007501C1" w:rsidRPr="00D6722B" w:rsidRDefault="007501C1" w:rsidP="000441D9">
      <w:pPr>
        <w:spacing w:line="360" w:lineRule="auto"/>
        <w:ind w:firstLine="284"/>
      </w:pPr>
      <w:r>
        <w:t xml:space="preserve">Methylation of DNA and RNA is a common naturally occurring nucleic acid </w:t>
      </w:r>
      <w:r w:rsidR="00F6251D">
        <w:t xml:space="preserve">epigenetic </w:t>
      </w:r>
      <w:r>
        <w:t>chemical modification</w:t>
      </w:r>
      <w:r w:rsidR="00F6251D">
        <w:t xml:space="preserve">. Principally DNA methylation is a method of repressing gene transcription </w:t>
      </w:r>
      <w:r w:rsidR="005C0E76" w:rsidRPr="00D6722B">
        <w:fldChar w:fldCharType="begin" w:fldLock="1"/>
      </w:r>
      <w:r w:rsidR="00F6251D" w:rsidRPr="00D6722B">
        <w:instrText>ADDIN CSL_CITATION {"citationItems":[{"id":"ITEM-1","itemData":{"DOI":"10.1177/1947601910393957","ISSN":"1947-6027","PMID":"21941617","abstract":"Epigenetic modifications are heritable changes in gene expression not encoded by the DNA sequence. In the past decade, great strides have been made in characterizing epigenetic changes during normal development and in disease states like cancer. However, the epigenetic landscape has grown increasingly complicated, encompassing DNA methylation, the histone code, noncoding RNA, and nucleosome positioning, along with DNA sequence. As a stable repressive mark, DNA methylation, catalyzed by the DNA methyltransferases (DNMTs), is regarded as a key player in epigenetic silencing of transcription. DNA methylation may coordinately regulate the chromatin status via the interaction of DNMTs with other modifications and with components of the machinery mediating those marks. In this review, we will comprehensively examine the current understanding of the connections between DNA methylation and other epigenetic marks and discuss molecular mechanisms of transcriptional repression in development and in carcinogenesis.","author":[{"dropping-particle":"","family":"Jin","given":"Bilian","non-dropping-particle":"","parse-names":false,"suffix":""},{"dropping-particle":"","family":"Li","given":"Yajun","non-dropping-particle":"","parse-names":false,"suffix":""},{"dropping-particle":"","family":"Robertson","given":"Keith D","non-dropping-particle":"","parse-names":false,"suffix":""}],"container-title":"Genes &amp; cancer","id":"ITEM-1","issue":"6","issued":{"date-parts":[["2011","6"]]},"page":"607-17","publisher":"Impact Journals, LLC","title":"DNA methylation: superior or subordinate in the epigenetic hierarchy?","type":"article-journal","volume":"2"},"uris":["http://www.mendeley.com/documents/?uuid=dffda689-e1aa-3736-b8ca-7215fa93108e"]}],"mendeley":{"formattedCitation":"(Jin, Li and Robertson, 2011)","plainTextFormattedCitation":"(Jin, Li and Robertson, 2011)","previouslyFormattedCitation":"(Jin, Li and Robertson, 2011)"},"properties":{"noteIndex":0},"schema":"https://github.com/citation-style-language/schema/raw/master/csl-citation.json"}</w:instrText>
      </w:r>
      <w:r w:rsidR="005C0E76" w:rsidRPr="00D6722B">
        <w:fldChar w:fldCharType="separate"/>
      </w:r>
      <w:r w:rsidR="00F6251D" w:rsidRPr="00D6722B">
        <w:rPr>
          <w:noProof/>
        </w:rPr>
        <w:t>(Jin, Li and Robertson, 2011)</w:t>
      </w:r>
      <w:r w:rsidR="005C0E76" w:rsidRPr="00D6722B">
        <w:fldChar w:fldCharType="end"/>
      </w:r>
      <w:r w:rsidR="00F6251D" w:rsidRPr="00D6722B">
        <w:t xml:space="preserve">, and RNA methylation is a method of post-transcriptional gene expression regulation </w:t>
      </w:r>
      <w:r w:rsidR="005C0E76" w:rsidRPr="00D6722B">
        <w:fldChar w:fldCharType="begin" w:fldLock="1"/>
      </w:r>
      <w:r w:rsidR="00DE6A4B" w:rsidRPr="00D6722B">
        <w:instrText>ADDIN CSL_CITATION {"citationItems":[{"id":"ITEM-1","itemData":{"DOI":"10.1016/J.MOLCEL.2019.04.025","ISSN":"1097-2765","PMID":"31100245","abstract":"&lt;h2&gt;Summary&lt;/h2&gt;&lt;p&gt;Cellular RNAs are naturally decorated with a variety of chemical modifications. The structural diversity of the modified nucleosides provides regulatory potential to sort groups of RNAs for organized metabolism and functions, thus affecting gene expression. Recent years have witnessed a burst of interest in and understanding of RNA modification biology, thanks to the emerging transcriptome-wide sequencing methods for mapping modified sites, highly sensitive mass spectrometry for precise modification detection and quantification, and extensive characterization of the modification \"effectors,\" including enzymes (\"writers\" and \"erasers\") that alter the modification level and binding proteins (\"readers\") that recognize the chemical marks. However, challenges remain due to the vast heterogeneity in expression abundance of different RNA species, further complicated by divergent cell-type-specific and tissue-specific expression and localization of the effectors as well as modifications. In this review, we highlight recent progress in understanding the function of &lt;i&gt;N&lt;/i&gt;&lt;sup&gt;6&lt;/sup&gt;-methyladenosine (m&lt;sup&gt;6&lt;/sup&gt;A), the most abundant internal mark on eukaryotic mRNA, in light of the specific biological contexts of m&lt;sup&gt;6&lt;/sup&gt;A effectors. We emphasize the importance of context for RNA modification regulation and function.&lt;/p&gt;","author":[{"dropping-particle":"","family":"Shi","given":"Hailing","non-dropping-particle":"","parse-names":false,"suffix":""},{"dropping-particle":"","family":"Wei","given":"Jiangbo","non-dropping-particle":"","parse-names":false,"suffix":""},{"dropping-particle":"","family":"He","given":"Chuan","non-dropping-particle":"","parse-names":false,"suffix":""}],"container-title":"Molecular Cell","id":"ITEM-1","issue":"4","issued":{"date-parts":[["2019","5","16"]]},"page":"640-650","publisher":"Elsevier","title":"Where, When, and How: Context-Dependent Functions of RNA Methylation Writers, Readers, and Erasers","type":"article-journal","volume":"74"},"uris":["http://www.mendeley.com/documents/?uuid=965f58f2-e96c-3849-8ca3-4cac84a95467"]},{"id":"ITEM-2","itemData":{"DOI":"10.1101/gad.262766.115","ISSN":"0890-9369","PMID":"26159994","abstract":"N(6)-methyladenosine (m(6)A) is the most prevalent and internal modification that occurs in the messenger RNAs (mRNA) of most eukaryotes, although its functional relevance remained a mystery for decades. This modification is installed by the m(6)A methylation \"writers\" and can be reversed by demethylases that serve as \"erasers.\" In this review, we mainly summarize recent progress in the study of the m(6)A mRNA methylation machineries across eukaryotes and discuss their newly uncovered biological functions. The broad roles of m(6)A in regulating cell fates and embryonic development highlight the existence of another layer of epigenetic regulation at the RNA level, where mRNA is subjected to chemical modifications that affect protein expression.","author":[{"dropping-particle":"","family":"Yue","given":"Yanan","non-dropping-particle":"","parse-names":false,"suffix":""},{"dropping-particle":"","family":"Liu","given":"Jianzhao","non-dropping-particle":"","parse-names":false,"suffix":""},{"dropping-particle":"","family":"He","given":"Chuan","non-dropping-particle":"","parse-names":false,"suffix":""}],"container-title":"Genes &amp; Development","id":"ITEM-2","issue":"13","issued":{"date-parts":[["2015","7","1"]]},"page":"1343-1355","title":"RNA &lt;i&gt;N&lt;/i&gt; &lt;sup&gt;6&lt;/sup&gt; -methyladenosine methylation in post-transcriptional gene expression regulation","type":"article-journal","volume":"29"},"uris":["http://www.mendeley.com/documents/?uuid=534a621d-deb7-35de-9360-661aca3b789b"]}],"mendeley":{"formattedCitation":"(Yue, Liu and He, 2015; Shi, Wei and He, 2019)","plainTextFormattedCitation":"(Yue, Liu and He, 2015; Shi, Wei and He, 2019)","previouslyFormattedCitation":"(Yue, Liu and He, 2015; Shi, Wei and He, 2019)"},"properties":{"noteIndex":0},"schema":"https://github.com/citation-style-language/schema/raw/master/csl-citation.json"}</w:instrText>
      </w:r>
      <w:r w:rsidR="005C0E76" w:rsidRPr="00D6722B">
        <w:fldChar w:fldCharType="separate"/>
      </w:r>
      <w:r w:rsidR="00F6251D" w:rsidRPr="00D6722B">
        <w:rPr>
          <w:noProof/>
        </w:rPr>
        <w:t>(Yue, Liu and He, 2015; Shi, Wei and He, 2019)</w:t>
      </w:r>
      <w:r w:rsidR="005C0E76" w:rsidRPr="00D6722B">
        <w:fldChar w:fldCharType="end"/>
      </w:r>
      <w:r w:rsidR="00F6251D" w:rsidRPr="00D6722B">
        <w:t>.</w:t>
      </w:r>
    </w:p>
    <w:p w:rsidR="00F75F4C" w:rsidRPr="00DE6A4B" w:rsidRDefault="00F6251D" w:rsidP="000441D9">
      <w:pPr>
        <w:spacing w:line="360" w:lineRule="auto"/>
        <w:ind w:firstLine="284"/>
      </w:pPr>
      <w:r w:rsidRPr="00D6722B">
        <w:t>P</w:t>
      </w:r>
      <w:r w:rsidR="008B707B" w:rsidRPr="00D6722B">
        <w:t xml:space="preserve">artially phosphorothioate-modified DNA has been found to occur naturally in </w:t>
      </w:r>
      <w:r w:rsidR="008B707B" w:rsidRPr="00D6722B">
        <w:rPr>
          <w:i/>
        </w:rPr>
        <w:t xml:space="preserve">Streptomyces lividans </w:t>
      </w:r>
      <w:r w:rsidR="005C0E76" w:rsidRPr="00D6722B">
        <w:fldChar w:fldCharType="begin" w:fldLock="1"/>
      </w:r>
      <w:r w:rsidR="008B707B" w:rsidRPr="00D6722B">
        <w:instrText>ADDIN CSL_CITATION {"citationItems":[{"id":"ITEM-1","itemData":{"DOI":"10.1039/C5CP01382H","ISSN":"1463-9076","abstract":"&lt;p&gt; The SOMO of radical anion forms of d[G &lt;sub&gt;PO&lt;/sub&gt; G], [ &lt;italic&gt;S&lt;/italic&gt; &lt;sub&gt;P&lt;/sub&gt; ] d[G &lt;sub&gt;PS&lt;/sub&gt; G] and [ &lt;italic&gt;R&lt;/italic&gt; &lt;sub&gt;P&lt;/sub&gt; ] d[G &lt;sub&gt;PS&lt;/sub&gt; G], calculated at the M06-2X/6-31+G** level of theory. &lt;/p&gt;","author":[{"dropping-particle":"","family":"Karwowski","given":"Boleslaw T.","non-dropping-particle":"","parse-names":false,"suffix":""}],"container-title":"Physical Chemistry Chemical Physics","id":"ITEM-1","issue":"33","issued":{"date-parts":[["2015","8","12"]]},"page":"21507-21516","publisher":"The Royal Society of Chemistry","title":"The influence of phosphorothioate on charge migration in single and double stranded DNA: a theoretical approach","type":"article-journal","volume":"17"},"uris":["http://www.mendeley.com/documents/?uuid=21703036-4370-37d1-8362-6a785867f238"]}],"mendeley":{"formattedCitation":"(Karwowski, 2015)","plainTextFormattedCitation":"(Karwowski, 2015)","previouslyFormattedCitation":"(Karwowski, 2015)"},"properties":{"noteIndex":0},"schema":"https://github.com/citation-style-language/schema/raw/master/csl-citation.json"}</w:instrText>
      </w:r>
      <w:r w:rsidR="005C0E76" w:rsidRPr="00D6722B">
        <w:fldChar w:fldCharType="separate"/>
      </w:r>
      <w:r w:rsidR="008B707B" w:rsidRPr="00D6722B">
        <w:rPr>
          <w:noProof/>
        </w:rPr>
        <w:t>(Karwowski, 2015)</w:t>
      </w:r>
      <w:r w:rsidR="005C0E76" w:rsidRPr="00D6722B">
        <w:fldChar w:fldCharType="end"/>
      </w:r>
      <w:r w:rsidR="008B707B" w:rsidRPr="00D6722B">
        <w:t>.</w:t>
      </w:r>
      <w:r w:rsidR="00A656AF" w:rsidRPr="00D6722B">
        <w:t xml:space="preserve"> </w:t>
      </w:r>
      <w:r w:rsidR="00DE6A4B" w:rsidRPr="00D6722B">
        <w:t xml:space="preserve">piRNAs contain 2’-O-Me modifications at their 3’ end </w:t>
      </w:r>
      <w:r w:rsidR="005C0E76" w:rsidRPr="00D6722B">
        <w:fldChar w:fldCharType="begin" w:fldLock="1"/>
      </w:r>
      <w:r w:rsidR="00DE6A4B" w:rsidRPr="00D6722B">
        <w:instrText>ADDIN CSL_CITATION {"citationItems":[{"id":"ITEM-1","itemData":{"DOI":"10.1101/gad.1563607","ISSN":"0890-9369","PMID":"17606638","abstract":"Piwi-interacting RNAs (piRNAs) consist of a germline-specific group of small RNAs derived from distinct intergenic loci in the genome. piRNAs function in silencing selfish transposable elements through binding with the PIWI subfamily proteins of Argonautes. Here we show that piRNAs in Drosophila are 2'-O-methylated at their 3' ends. Loss of Pimet (piRNA methyltransferase), the Drosophila homolog of Arabidopsis HEN1 methyltransferase for microRNAs (miRNAs), results in loss of 2'-O-methylation of fly piRNAs. Recombinant Pimet shows single-stranded small RNA methylation activity in vitro and interacts with the PIWI proteins within Pimet mutant ovary. These results show that Pimet mediates piRNA 2'-O-methylation in Drosophila.","author":[{"dropping-particle":"","family":"Saito","given":"K.","non-dropping-particle":"","parse-names":false,"suffix":""},{"dropping-particle":"","family":"Sakaguchi","given":"Y.","non-dropping-particle":"","parse-names":false,"suffix":""},{"dropping-particle":"","family":"Suzuki","given":"T.","non-dropping-particle":"","parse-names":false,"suffix":""},{"dropping-particle":"","family":"Suzuki","given":"T.","non-dropping-particle":"","parse-names":false,"suffix":""},{"dropping-particle":"","family":"Siomi","given":"H.","non-dropping-particle":"","parse-names":false,"suffix":""},{"dropping-particle":"","family":"Siomi","given":"M. C.","non-dropping-particle":"","parse-names":false,"suffix":""}],"container-title":"Genes &amp; Development","id":"ITEM-1","issue":"13","issued":{"date-parts":[["2007","7","1"]]},"page":"1603-1608","title":"Pimet, the Drosophila homolog of HEN1, mediates 2'-O-methylation of Piwi- interacting RNAs at their 3' ends","type":"article-journal","volume":"21"},"uris":["http://www.mendeley.com/documents/?uuid=b0df8f20-6453-3c69-9ad8-b9f69f2dfa46"]},{"id":"ITEM-2","itemData":{"DOI":"10.1016/j.str.2010.11.015","ISSN":"09692126","PMID":"21237665","abstract":"Piwi proteins are germline-specific Argonautes that associate with small RNAs called Piwi-interacting RNAs (piRNAs), and together with these RNAs are implicated in transposon silencing. The PAZ domain of Argonaute proteins recognizes the 3'-end of the RNA, which in the case of piRNAs is invariably modified with a 2'-O-methyl group. Here, we present the solution structure of the PAZ domain from the mouse Piwi protein, MIWI, in complex with an 8-mer piRNA mimic. The methyl group is positioned in a hydrophobic cavity made of conserved amino acids from strand β7 and helix α3, where it is contacted by the side chain of methionine-382. Our structure is similar to that of Ago-PAZ, but subtle differences illustrate how the PAZ domain has evolved to accommodate distinct 3' ends from a variety of RNA substrates.","author":[{"dropping-particle":"","family":"Simon","given":"Bernd","non-dropping-particle":"","parse-names":false,"suffix":""},{"dropping-particle":"","family":"Kirkpatrick","given":"John P.","non-dropping-particle":"","parse-names":false,"suffix":""},{"dropping-particle":"","family":"Eckhardt","given":"Stephanie","non-dropping-particle":"","parse-names":false,"suffix":""},{"dropping-particle":"","family":"Reuter","given":"Michael","non-dropping-particle":"","parse-names":false,"suffix":""},{"dropping-particle":"","family":"Rocha","given":"Elsa A.","non-dropping-particle":"","parse-names":false,"suffix":""},{"dropping-particle":"","family":"Andrade-Navarro","given":"Miguel A.","non-dropping-particle":"","parse-names":false,"suffix":""},{"dropping-particle":"","family":"Sehr","given":"Peter","non-dropping-particle":"","parse-names":false,"suffix":""},{"dropping-particle":"","family":"Pillai","given":"Ramesh S.","non-dropping-particle":"","parse-names":false,"suffix":""},{"dropping-particle":"","family":"Carlomagno","given":"Teresa","non-dropping-particle":"","parse-names":false,"suffix":""}],"container-title":"Structure","id":"ITEM-2","issue":"2","issued":{"date-parts":[["2011","2","9"]]},"page":"172-180","title":"Recognition of 2′-O-Methylated 3′-End of piRNA by the PAZ Domain of a Piwi Protein","type":"article-journal","volume":"19"},"uris":["http://www.mendeley.com/documents/?uuid=d9c03c7f-61af-3692-935f-2fd6bd771ca5"]}],"mendeley":{"formattedCitation":"(Saito &lt;i&gt;et al.&lt;/i&gt;, 2007; Simon &lt;i&gt;et al.&lt;/i&gt;, 2011)","plainTextFormattedCitation":"(Saito et al., 2007; Simon et al., 2011)","previouslyFormattedCitation":"(Saito &lt;i&gt;et al.&lt;/i&gt;, 2007; Simon &lt;i&gt;et al.&lt;/i&gt;, 2011)"},"properties":{"noteIndex":0},"schema":"https://github.com/citation-style-language/schema/raw/master/csl-citation.json"}</w:instrText>
      </w:r>
      <w:r w:rsidR="005C0E76" w:rsidRPr="00D6722B">
        <w:fldChar w:fldCharType="separate"/>
      </w:r>
      <w:r w:rsidR="00DE6A4B" w:rsidRPr="00D6722B">
        <w:rPr>
          <w:noProof/>
        </w:rPr>
        <w:t xml:space="preserve">(Saito </w:t>
      </w:r>
      <w:r w:rsidR="00DE6A4B" w:rsidRPr="00D6722B">
        <w:rPr>
          <w:i/>
          <w:noProof/>
        </w:rPr>
        <w:t>et al.</w:t>
      </w:r>
      <w:r w:rsidR="00DE6A4B" w:rsidRPr="00D6722B">
        <w:rPr>
          <w:noProof/>
        </w:rPr>
        <w:t xml:space="preserve">, 2007; Simon </w:t>
      </w:r>
      <w:r w:rsidR="00DE6A4B" w:rsidRPr="00D6722B">
        <w:rPr>
          <w:i/>
          <w:noProof/>
        </w:rPr>
        <w:t>et al.</w:t>
      </w:r>
      <w:r w:rsidR="00DE6A4B" w:rsidRPr="00D6722B">
        <w:rPr>
          <w:noProof/>
        </w:rPr>
        <w:t>, 2011)</w:t>
      </w:r>
      <w:r w:rsidR="005C0E76" w:rsidRPr="00D6722B">
        <w:fldChar w:fldCharType="end"/>
      </w:r>
      <w:r w:rsidR="00DE6A4B" w:rsidRPr="00D6722B">
        <w:t>.</w:t>
      </w:r>
      <w:r w:rsidR="00A656AF" w:rsidRPr="00D6722B">
        <w:t xml:space="preserve"> </w:t>
      </w:r>
      <w:r w:rsidR="00DE6A4B" w:rsidRPr="00D6722B">
        <w:t xml:space="preserve">T4 phages use </w:t>
      </w:r>
      <w:r w:rsidR="00F75F4C" w:rsidRPr="00D6722B">
        <w:t xml:space="preserve">Glucosyl </w:t>
      </w:r>
      <w:r w:rsidR="00DE6A4B" w:rsidRPr="00D6722B">
        <w:t xml:space="preserve">5-hydroxymethyl cytosine modifications to protect their DNA from host cell nucleases </w:t>
      </w:r>
      <w:r w:rsidR="005C0E76" w:rsidRPr="00D6722B">
        <w:fldChar w:fldCharType="begin" w:fldLock="1"/>
      </w:r>
      <w:r w:rsidR="00F75F4C" w:rsidRPr="00D6722B">
        <w:instrText>ADDIN CSL_CITATION {"citationItems":[{"id":"ITEM-1","itemData":{"DOI":"10.3389/fgene.2017.00100","ISSN":"1664-8021","abstract":"Abstract Dynamic DNA modifications, such as methylation/demethylation on cytosine, are major epigenetic mechanisms to modulate gene expression in both eukaryotes and prokaryotes. In addition to the common methylation on the 5th position of the pyrimidine ring of cytosine (5mC), other types of modifications at the same position, such as 5-hydroxymethyl (5hmC), 5-formyldeoxy (5fC), and 5-carboxy (5caC), are also important. Recently, 5hmC, a product of 5mC demethylation by the Ten-Eleven Translocation (TET) family proteins, was shown to regulate many cellular and developmental processes, including the pluripotency of embryonic stem cells, neuron development, and tumorigenesis in mammals. Here, we review recent advances on the generation, distribution and function of 5hmC modification in mammals and discuss its potential roles in plants.","author":[{"dropping-particle":"","family":"Shi","given":"Dong-Qiao","non-dropping-particle":"","parse-names":false,"suffix":""},{"dropping-particle":"","family":"Ali","given":"Iftikhar","non-dropping-particle":"","parse-names":false,"suffix":""},{"dropping-particle":"","family":"Tang","given":"Jun","non-dropping-particle":"","parse-names":false,"suffix":""},{"dropping-particle":"","family":"Yang","given":"Wei-Cai","non-dropping-particle":"","parse-names":false,"suffix":""}],"container-title":"Frontiers in Genetics","id":"ITEM-1","issued":{"date-parts":[["2017","7","19"]]},"page":"100","publisher":"Frontiers","title":"New Insights into 5hmC DNA Modification: Generation, Distribution and Function","type":"article-journal","volume":"8"},"uris":["http://www.mendeley.com/documents/?uuid=dcd5ecf8-26c2-35fd-a939-ea5c7a186bbd"]},{"id":"ITEM-2","itemData":{"DOI":"10.1093/nar/gkx1264","ISSN":"0305-1048","author":[{"dropping-particle":"","family":"Vlot","given":"Marnix","non-dropping-particle":"","parse-names":false,"suffix":""},{"dropping-particle":"","family":"Houkes","given":"Joep","non-dropping-particle":"","parse-names":false,"suffix":""},{"dropping-particle":"","family":"Lochs","given":"Silke J A","non-dropping-particle":"","parse-names":false,"suffix":""},{"dropping-particle":"","family":"Swarts","given":"Daan C","non-dropping-particle":"","parse-names":false,"suffix":""},{"dropping-particle":"","family":"Zheng","given":"Peiyuan","non-dropping-particle":"","parse-names":false,"suffix":""},{"dropping-particle":"","family":"Kunne","given":"Tim","non-dropping-particle":"","parse-names":false,"suffix":""},{"dropping-particle":"","family":"Mohanraju","given":"Prarthana","non-dropping-particle":"","parse-names":false,"suffix":""},{"dropping-particle":"","family":"Anders","given":"Carolin","non-dropping-particle":"","parse-names":false,"suffix":""},{"dropping-particle":"","family":"Jinek","given":"Martin","non-dropping-particle":"","parse-names":false,"suffix":""},{"dropping-particle":"","family":"van der Oost","given":"John","non-dropping-particle":"","parse-names":false,"suffix":""},{"dropping-particle":"","family":"Dickman","given":"Mark J","non-dropping-particle":"","parse-names":false,"suffix":""},{"dropping-particle":"","family":"Brouns","given":"Stan J J","non-dropping-particle":"","parse-names":false,"suffix":""}],"container-title":"Nucleic Acids Research","id":"ITEM-2","issue":"2","issued":{"date-parts":[["2018","1","25"]]},"page":"873-885","publisher":"Oxford University Press","title":"Bacteriophage DNA glucosylation impairs target DNA binding by type I and II but not by type V CRISPR–Cas effector complexes","type":"article-journal","volume":"46"},"uris":["http://www.mendeley.com/documents/?uuid=7928656f-4f3e-3a59-8ca8-16a6385ac6ef"]}],"mendeley":{"formattedCitation":"(Shi &lt;i&gt;et al.&lt;/i&gt;, 2017; Vlot &lt;i&gt;et al.&lt;/i&gt;, 2018)","plainTextFormattedCitation":"(Shi et al., 2017; Vlot et al., 2018)","previouslyFormattedCitation":"(Shi &lt;i&gt;et al.&lt;/i&gt;, 2017; Vlot &lt;i&gt;et al.&lt;/i&gt;, 2018)"},"properties":{"noteIndex":0},"schema":"https://github.com/citation-style-language/schema/raw/master/csl-citation.json"}</w:instrText>
      </w:r>
      <w:r w:rsidR="005C0E76" w:rsidRPr="00D6722B">
        <w:fldChar w:fldCharType="separate"/>
      </w:r>
      <w:r w:rsidR="00DE6A4B" w:rsidRPr="00D6722B">
        <w:rPr>
          <w:noProof/>
        </w:rPr>
        <w:t xml:space="preserve">(Shi </w:t>
      </w:r>
      <w:r w:rsidR="00DE6A4B" w:rsidRPr="00D6722B">
        <w:rPr>
          <w:i/>
          <w:noProof/>
        </w:rPr>
        <w:t>et al.</w:t>
      </w:r>
      <w:r w:rsidR="00DE6A4B" w:rsidRPr="00D6722B">
        <w:rPr>
          <w:noProof/>
        </w:rPr>
        <w:t xml:space="preserve">, 2017; Vlot </w:t>
      </w:r>
      <w:r w:rsidR="00DE6A4B" w:rsidRPr="00D6722B">
        <w:rPr>
          <w:i/>
          <w:noProof/>
        </w:rPr>
        <w:t>et al.</w:t>
      </w:r>
      <w:r w:rsidR="00DE6A4B" w:rsidRPr="00D6722B">
        <w:rPr>
          <w:noProof/>
        </w:rPr>
        <w:t>, 2018)</w:t>
      </w:r>
      <w:r w:rsidR="005C0E76" w:rsidRPr="00D6722B">
        <w:fldChar w:fldCharType="end"/>
      </w:r>
      <w:r w:rsidR="00DE6A4B">
        <w:t>.</w:t>
      </w:r>
      <w:r w:rsidR="00A656AF">
        <w:t xml:space="preserve"> </w:t>
      </w:r>
      <w:r w:rsidR="00F75F4C">
        <w:t xml:space="preserve">Chemical modifications of rRNA are implicated in the specialisation of ribosomes, particularly 2’-O-Me </w:t>
      </w:r>
      <w:r w:rsidR="00135990">
        <w:t xml:space="preserve">modifications, </w:t>
      </w:r>
      <w:r w:rsidR="00F75F4C">
        <w:t xml:space="preserve">and pseudouridine modifications </w:t>
      </w:r>
      <w:r w:rsidR="005C0E76">
        <w:fldChar w:fldCharType="begin" w:fldLock="1"/>
      </w:r>
      <w:r w:rsidR="00DF090B">
        <w:instrText>ADDIN CSL_CITATION {"citationItems":[{"id":"ITEM-1","itemData":{"DOI":"10.1042/BST20160426","ISSN":"0300-5127","PMID":"29986937","abstract":"The control of translation is increasingly recognized as a major factor in determining protein levels in the cell. The ribosome - the cellular machine that mediates protein synthesis - is typically seen as a key, but invariant, player in this process. This is because translational control is thought to be mediated by other auxiliary factors while ribosome recruitment is seen as the end-point of regulation. However, recent developments have made it clear that heterogeneous ribosome types can exist in different tissues, and more importantly, that these ribosomes can preferentially translate different subsets of mRNAs. In so doing, heterogeneous ribosomes could be key regulatory players in differentiation and development. Here, we examine current evidence for the existence of different ribosome types and how they might arise. In particular, we will take a close look at the mechanisms through which these ribosomes might mediate selective mRNA translation. We also summarize recently developed techniques/approaches that will aid in our understanding of the functions of such specialized ribosomes.","author":[{"dropping-particle":"","family":"Guo","given":"Huili","non-dropping-particle":"","parse-names":false,"suffix":""}],"container-title":"Biochemical Society Transactions","id":"ITEM-1","issue":"4","issued":{"date-parts":[["2018","8","20"]]},"page":"855-869","title":"Specialized ribosomes and the control of translation","type":"article-journal","volume":"46"},"uris":["http://www.mendeley.com/documents/?uuid=5516c7d7-04a1-3047-850c-402009d7432d"]},{"id":"ITEM-2","itemData":{"DOI":"10.1080/15476286.2016.1259781","ISSN":"1555-8584","PMID":"27911188","abstract":"rRNAs are extensively modified during their transcription and subsequent maturation in the nucleolus, nucleus and cytoplasm. RNA modifications, which are installed either by snoRNA-guided or by stand-alone enzymes, generally stabilize the structure of the ribosome. However, they also cluster at functionally important sites of the ribosome, such as the peptidyltransferase center and the decoding site, where they facilitate efficient and accurate protein synthesis. The recent identification of sites of substoichiometric 2'-O-methylation and pseudouridylation has overturned the notion that all rRNA modifications are constitutively present on ribosomes, highlighting nucleotide modifications as an important source of ribosomal heterogeneity. While the mechanisms regulating partial modification and the functions of specialized ribosomes are largely unknown, changes in the rRNA modification pattern have been observed in response to environmental changes, during development, and in disease. This suggests that rRNA modifications may contribute to the translational control of gene expression.","author":[{"dropping-particle":"","family":"Sloan","given":"Katherine E","non-dropping-particle":"","parse-names":false,"suffix":""},{"dropping-particle":"","family":"Warda","given":"Ahmed S","non-dropping-particle":"","parse-names":false,"suffix":""},{"dropping-particle":"","family":"Sharma","given":"Sunny","non-dropping-particle":"","parse-names":false,"suffix":""},{"dropping-particle":"","family":"Entian","given":"Karl-Dieter","non-dropping-particle":"","parse-names":false,"suffix":""},{"dropping-particle":"","family":"Lafontaine","given":"Denis L J","non-dropping-particle":"","parse-names":false,"suffix":""},{"dropping-particle":"","family":"Bohnsack","given":"Markus T","non-dropping-particle":"","parse-names":false,"suffix":""}],"container-title":"RNA biology","id":"ITEM-2","issue":"9","issued":{"date-parts":[["2017"]]},"page":"1138-1152","publisher":"Taylor &amp; Francis","title":"Tuning the ribosome: The influence of rRNA modification on eukaryotic ribosome biogenesis and function.","type":"article-journal","volume":"14"},"uris":["http://www.mendeley.com/documents/?uuid=215252d0-7101-39b7-80fc-fe662e7ddcf1"]}],"mendeley":{"formattedCitation":"(Sloan &lt;i&gt;et al.&lt;/i&gt;, 2017; Guo, 2018)","plainTextFormattedCitation":"(Sloan et al., 2017; Guo, 2018)","previouslyFormattedCitation":"(Sloan &lt;i&gt;et al.&lt;/i&gt;, 2017; Guo, 2018)"},"properties":{"noteIndex":0},"schema":"https://github.com/citation-style-language/schema/raw/master/csl-citation.json"}</w:instrText>
      </w:r>
      <w:r w:rsidR="005C0E76">
        <w:fldChar w:fldCharType="separate"/>
      </w:r>
      <w:r w:rsidR="00F75F4C" w:rsidRPr="00F75F4C">
        <w:rPr>
          <w:noProof/>
        </w:rPr>
        <w:t xml:space="preserve">(Sloan </w:t>
      </w:r>
      <w:r w:rsidR="00F75F4C" w:rsidRPr="00F75F4C">
        <w:rPr>
          <w:i/>
          <w:noProof/>
        </w:rPr>
        <w:t>et al.</w:t>
      </w:r>
      <w:r w:rsidR="00F75F4C" w:rsidRPr="00F75F4C">
        <w:rPr>
          <w:noProof/>
        </w:rPr>
        <w:t>, 2017; Guo, 2018)</w:t>
      </w:r>
      <w:r w:rsidR="005C0E76">
        <w:fldChar w:fldCharType="end"/>
      </w:r>
      <w:r w:rsidR="00135990">
        <w:t>, which also have a role in stabilisation of rRNA secondary structure</w:t>
      </w:r>
      <w:r w:rsidR="00F75F4C">
        <w:t>.</w:t>
      </w:r>
    </w:p>
    <w:p w:rsidR="00717CC7" w:rsidRDefault="00717CC7">
      <w:pPr>
        <w:spacing w:after="200"/>
        <w:jc w:val="left"/>
      </w:pPr>
      <w:r>
        <w:br w:type="page"/>
      </w:r>
    </w:p>
    <w:p w:rsidR="00A27AA6" w:rsidRPr="00AD1DE4" w:rsidRDefault="00A27AA6" w:rsidP="000441D9">
      <w:pPr>
        <w:pStyle w:val="Heading2"/>
        <w:spacing w:line="360" w:lineRule="auto"/>
      </w:pPr>
      <w:bookmarkStart w:id="30" w:name="_Toc35333930"/>
      <w:r>
        <w:lastRenderedPageBreak/>
        <w:t>D</w:t>
      </w:r>
      <w:r w:rsidR="00B90EF5">
        <w:t>iscussion</w:t>
      </w:r>
      <w:r>
        <w:t xml:space="preserve"> and research project scope and aims based literature review</w:t>
      </w:r>
      <w:bookmarkEnd w:id="30"/>
    </w:p>
    <w:p w:rsidR="00584800" w:rsidRPr="00754126" w:rsidRDefault="00584800" w:rsidP="000441D9">
      <w:pPr>
        <w:spacing w:line="360" w:lineRule="auto"/>
        <w:ind w:firstLine="284"/>
        <w:rPr>
          <w:color w:val="00B050"/>
        </w:rPr>
      </w:pPr>
      <w:r w:rsidRPr="00D6722B">
        <w:t xml:space="preserve">The selection of RNA modifications shortlisted to be tested for their effects on RNAi efficacy when incorporated into dsRNA, were obtained by consulting the literature on the use of RNA modifications for siRNAs </w:t>
      </w:r>
      <w:r w:rsidR="00E635F1" w:rsidRPr="00D6722B">
        <w:t xml:space="preserve">or antisense oligonucleotides </w:t>
      </w:r>
      <w:r w:rsidRPr="00D6722B">
        <w:t>in</w:t>
      </w:r>
      <w:r w:rsidR="00553E65" w:rsidRPr="00D6722B">
        <w:t xml:space="preserve"> </w:t>
      </w:r>
      <w:r w:rsidR="00553E65" w:rsidRPr="00D6722B">
        <w:rPr>
          <w:i/>
        </w:rPr>
        <w:t>C</w:t>
      </w:r>
      <w:r w:rsidR="00553E65" w:rsidRPr="00ED2E5F">
        <w:rPr>
          <w:i/>
        </w:rPr>
        <w:t>. elegans</w:t>
      </w:r>
      <w:r w:rsidR="00553E65" w:rsidRPr="00ED2E5F">
        <w:t xml:space="preserve"> or</w:t>
      </w:r>
      <w:r w:rsidRPr="00ED2E5F">
        <w:t xml:space="preserve"> human/mammalian systems for medical or functional genomics applications (reviewed in section </w:t>
      </w:r>
      <w:r w:rsidR="00ED2E5F" w:rsidRPr="00ED2E5F">
        <w:t>1.4</w:t>
      </w:r>
      <w:r w:rsidR="00E635F1" w:rsidRPr="00ED2E5F">
        <w:t xml:space="preserve"> above</w:t>
      </w:r>
      <w:r w:rsidRPr="00D6722B">
        <w:t>). Commonly used</w:t>
      </w:r>
      <w:r w:rsidRPr="00754126">
        <w:rPr>
          <w:color w:val="00B050"/>
        </w:rPr>
        <w:t xml:space="preserve"> </w:t>
      </w:r>
      <w:r w:rsidR="00E635F1" w:rsidRPr="00D6722B">
        <w:t xml:space="preserve">nucleic acid </w:t>
      </w:r>
      <w:r w:rsidRPr="00D6722B">
        <w:t>modifications subdivide into three major categories: 1) RNA backbone phosphate group</w:t>
      </w:r>
      <w:r w:rsidR="00093D28" w:rsidRPr="00D6722B">
        <w:t xml:space="preserve"> modifications</w:t>
      </w:r>
      <w:r w:rsidRPr="00D6722B">
        <w:t xml:space="preserve">, for example phosphorothioate </w:t>
      </w:r>
      <w:r w:rsidR="005C0E76" w:rsidRPr="00D6722B">
        <w:fldChar w:fldCharType="begin" w:fldLock="1"/>
      </w:r>
      <w:r w:rsidR="00E635F1" w:rsidRPr="00D6722B">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&lt;sup&gt;†&lt;/sup&gt;","type":"article-journal","volume":"42"},"uris":["http://www.mendeley.com/documents/?uuid=64a42631-2469-393f-899d-064802514614"]},{"id":"ITEM-2","itemData":{"ISSN":"1097-2765","PMID":"11106747","abstract":"In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cell","id":"ITEM-2","issue":"5","issued":{"date-parts":[["2000","11"]]},"page":"1077-87","title":"Functional anatomy of a dsRNA trigger: differential requirement for the two trigger strands in RNA interference.","type":"article-journal","volume":"6"},"uris":["http://www.mendeley.com/documents/?uuid=42e8fc97-72a8-376f-85fe-7340e9548145"]},{"id":"ITEM-3","itemData":{"DOI":"10.1038/ncomms7317","ISSN":"2041-1723","abstract":"Therapeutic oligonucleotides can be made more stable by substituting their achiral phosphodiester groups for chiral phosphorothioate linkages. Here, the authors present a synthesis of phosphorothioated RNAs, where the activator controls strand stereochemistry, and also the activity of assembled siRNA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Communications","id":"ITEM-3","issue":"1","issued":{"date-parts":[["2015","12","6"]]},"page":"6317","publisher":"Nature Publishing Group","title":"Stereochemical bias introduced during RNA synthesis modulates the activity of phosphorothioate siRNAs","type":"article-journal","volume":"6"},"uris":["http://www.mendeley.com/documents/?uuid=94ae2c08-2a07-3a78-8de6-1074a96ed422"]}],"mendeley":{"formattedCitation":"(Parrish &lt;i&gt;et al.&lt;/i&gt;, 2000; Braasch &lt;i&gt;et al.&lt;/i&gt;, 2003; Jahns &lt;i&gt;et al.&lt;/i&gt;, 2015b)","plainTextFormattedCitation":"(Parrish et al., 2000; Braasch et al., 2003; Jahns et al., 2015b)","previouslyFormattedCitation":"(Parrish &lt;i&gt;et al.&lt;/i&gt;, 2000; Braasch &lt;i&gt;et al.&lt;/i&gt;, 2003; Jahns &lt;i&gt;et al.&lt;/i&gt;, 2015b)"},"properties":{"noteIndex":0},"schema":"https://github.com/citation-style-language/schema/raw/master/csl-citation.json"}</w:instrText>
      </w:r>
      <w:r w:rsidR="005C0E76" w:rsidRPr="00D6722B">
        <w:fldChar w:fldCharType="separate"/>
      </w:r>
      <w:r w:rsidRPr="00D6722B">
        <w:rPr>
          <w:noProof/>
        </w:rPr>
        <w:t xml:space="preserve">(Parrish </w:t>
      </w:r>
      <w:r w:rsidRPr="00D6722B">
        <w:rPr>
          <w:i/>
          <w:noProof/>
        </w:rPr>
        <w:t>et al.</w:t>
      </w:r>
      <w:r w:rsidRPr="00D6722B">
        <w:rPr>
          <w:noProof/>
        </w:rPr>
        <w:t xml:space="preserve">, 2000; Braasch </w:t>
      </w:r>
      <w:r w:rsidRPr="00D6722B">
        <w:rPr>
          <w:i/>
          <w:noProof/>
        </w:rPr>
        <w:t>et al.</w:t>
      </w:r>
      <w:r w:rsidRPr="00D6722B">
        <w:rPr>
          <w:noProof/>
        </w:rPr>
        <w:t xml:space="preserve">, 2003; Jahns </w:t>
      </w:r>
      <w:r w:rsidRPr="00D6722B">
        <w:rPr>
          <w:i/>
          <w:noProof/>
        </w:rPr>
        <w:t>et al.</w:t>
      </w:r>
      <w:r w:rsidRPr="00D6722B">
        <w:rPr>
          <w:noProof/>
        </w:rPr>
        <w:t>, 2015b)</w:t>
      </w:r>
      <w:r w:rsidR="005C0E76" w:rsidRPr="00D6722B">
        <w:fldChar w:fldCharType="end"/>
      </w:r>
      <w:r w:rsidRPr="00D6722B">
        <w:t xml:space="preserve">, or boranophosphate </w:t>
      </w:r>
      <w:r w:rsidR="005C0E76" w:rsidRPr="00D6722B">
        <w:fldChar w:fldCharType="begin" w:fldLock="1"/>
      </w:r>
      <w:r w:rsidRPr="00D6722B">
        <w:instrText>ADDIN CSL_CITATION {"citationItems":[{"id":"ITEM-1","itemData":{"DOI":"10.1093/nar/gkl339","ISSN":"0305-1048","author":[{"dropping-particle":"","family":"Hall","given":"A. H. S.","non-dropping-particle":"","parse-names":false,"suffix":""},{"dropping-particle":"","family":"Wan","given":"J.","non-dropping-particle":"","parse-names":false,"suffix":""},{"dropping-particle":"","family":"Spesock","given":"A.","non-dropping-particle":"","parse-names":false,"suffix":""},{"dropping-particle":"","family":"Sergueeva","given":"Z.","non-dropping-particle":"","parse-names":false,"suffix":""},{"dropping-particle":"","family":"Shaw","given":"B. R.","non-dropping-particle":"","parse-names":false,"suffix":""},{"dropping-particle":"","family":"Alexander","given":"K. A.","non-dropping-particle":"","parse-names":false,"suffix":""}],"container-title":"Nucleic Acids Research","id":"ITEM-1","issue":"9","issued":{"date-parts":[["2006","5","22"]]},"page":"2773-2781","publisher":"Oxford University Press","title":"High potency silencing by single-stranded boranophosphate siRNA","type":"article-journal","volume":"34"},"uris":["http://www.mendeley.com/documents/?uuid=2034a099-2f59-3f5a-b05e-45981a1dc33f"]}],"mendeley":{"formattedCitation":"(Hall &lt;i&gt;et al.&lt;/i&gt;, 2006)","plainTextFormattedCitation":"(Hall et al., 2006)","previouslyFormattedCitation":"(Hall &lt;i&gt;et al.&lt;/i&gt;, 2006)"},"properties":{"noteIndex":0},"schema":"https://github.com/citation-style-language/schema/raw/master/csl-citation.json"}</w:instrText>
      </w:r>
      <w:r w:rsidR="005C0E76" w:rsidRPr="00D6722B">
        <w:fldChar w:fldCharType="separate"/>
      </w:r>
      <w:r w:rsidRPr="00D6722B">
        <w:rPr>
          <w:noProof/>
        </w:rPr>
        <w:t xml:space="preserve">(Hall </w:t>
      </w:r>
      <w:r w:rsidRPr="00D6722B">
        <w:rPr>
          <w:i/>
          <w:noProof/>
        </w:rPr>
        <w:t>et al.</w:t>
      </w:r>
      <w:r w:rsidRPr="00D6722B">
        <w:rPr>
          <w:noProof/>
        </w:rPr>
        <w:t>, 2006)</w:t>
      </w:r>
      <w:r w:rsidR="005C0E76" w:rsidRPr="00D6722B">
        <w:fldChar w:fldCharType="end"/>
      </w:r>
      <w:r w:rsidRPr="00D6722B">
        <w:t>; 2) backbone ribose sugar ring</w:t>
      </w:r>
      <w:r w:rsidR="00093D28" w:rsidRPr="00D6722B">
        <w:t xml:space="preserve"> modifications</w:t>
      </w:r>
      <w:r w:rsidRPr="00D6722B">
        <w:t>, almost exclusively of the functional group of the 2’ carbon, which include 2’</w:t>
      </w:r>
      <w:r w:rsidR="00E635F1" w:rsidRPr="00D6722B">
        <w:t>-fluoro</w:t>
      </w:r>
      <w:r w:rsidRPr="00D6722B">
        <w:t xml:space="preserve"> </w:t>
      </w:r>
      <w:r w:rsidR="005C0E76" w:rsidRPr="00D6722B">
        <w:fldChar w:fldCharType="begin" w:fldLock="1"/>
      </w:r>
      <w:r w:rsidRPr="00D6722B">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&lt;sup&gt;†&lt;/sup&gt;","type":"article-journal","volume":"42"},"uris":["http://www.mendeley.com/documents/?uuid=64a42631-2469-393f-899d-064802514614"]},{"id":"ITEM-2","itemData":{"DOI":"10.1002/cbdv.200790073","ISSN":"16121872","PMID":"17511001","abstract":"Short interfering RNA (siRNA) molecules with good gene-silencing properties are needed for drug development based on RNA interference (RNAi). An initial step in RNAi is the activation of the RNA-induced silencing complex RISC, which requires degradation of the sense strand of the siRNA duplex. Although various chemical modifications have been introduced to the antisense strand, modifications to the Argonaute2 (Ago2) cleavage site in the sense strand have, so far, not been described in detail. In this work, novel 2'-F-purine modifications were introduced to siRNAs, and their biological efficacies were tested in cells stably expressing human tartrate-resistant acid phosphatase (TRACP). A validated siRNA that contains both purine and pyrimidine nucleotides at the putative Ago2 cleavage site was chemically modified to contain all possible combinations of 2'-fluorinated 2'-deoxypurines and/or 2'-deoxypyrimidines in the antisense and/or sense strands. The capacity of 2'-F-modified siRNAs to knock down their target mRNA and protein was studied, together with monitoring siRNA toxicity. All 2'-F-modified siRNAs resulted in target knockdown at nanomolar concentrations, despite their high thermal stability. These experiments provide the first evidence that RISC activation not only allows 2'-F modifications at the sense-strand cleavage site, but also increase the biological efficacy of modified siRNAs in vitro.","author":[{"dropping-particle":"","family":"Muhonen","given":"Pirkko","non-dropping-particle":"","parse-names":false,"suffix":""},{"dropping-particle":"","family":"Tennilä","given":"Tuula","non-dropping-particle":"","parse-names":false,"suffix":""},{"dropping-particle":"","family":"Azhayeva","given":"Elena","non-dropping-particle":"","parse-names":false,"suffix":""},{"dropping-particle":"","family":"Parthasarathy","given":"Ranga N.","non-dropping-particle":"","parse-names":false,"suffix":""},{"dropping-particle":"","family":"Janckila","given":"Anthony J.","non-dropping-particle":"","parse-names":false,"suffix":""},{"dropping-particle":"","family":"Väänänen","given":"H. Kalervo","non-dropping-particle":"","parse-names":false,"suffix":""},{"dropping-particle":"","family":"Azhayev","given":"Alex","non-dropping-particle":"","parse-names":false,"suffix":""},{"dropping-particle":"","family":"Laitala-Leinonen","given":"Tiina","non-dropping-particle":"","parse-names":false,"suffix":""}],"container-title":"Chemistry &amp; Biodiversity","id":"ITEM-2","issue":"5","issued":{"date-parts":[["2007","5"]]},"page":"858-873","title":"RNA Interference Tolerates 2′-Fluoro Modifications at the Argonaute2 Cleavage Site","type":"article-journal","volume":"4"},"uris":["http://www.mendeley.com/documents/?uuid=36088deb-1abd-3b8f-a4ed-2e650d4e0209"]}],"mendeley":{"formattedCitation":"(Braasch &lt;i&gt;et al.&lt;/i&gt;, 2003; Muhonen &lt;i&gt;et al.&lt;/i&gt;, 2007)","plainTextFormattedCitation":"(Braasch et al., 2003; Muhonen et al., 2007)","previouslyFormattedCitation":"(Braasch &lt;i&gt;et al.&lt;/i&gt;, 2003; Muhonen &lt;i&gt;et al.&lt;/i&gt;, 2007)"},"properties":{"noteIndex":0},"schema":"https://github.com/citation-style-language/schema/raw/master/csl-citation.json"}</w:instrText>
      </w:r>
      <w:r w:rsidR="005C0E76" w:rsidRPr="00D6722B">
        <w:fldChar w:fldCharType="separate"/>
      </w:r>
      <w:r w:rsidRPr="00D6722B">
        <w:rPr>
          <w:noProof/>
        </w:rPr>
        <w:t xml:space="preserve">(Braasch </w:t>
      </w:r>
      <w:r w:rsidRPr="00D6722B">
        <w:rPr>
          <w:i/>
          <w:noProof/>
        </w:rPr>
        <w:t>et al.</w:t>
      </w:r>
      <w:r w:rsidRPr="00D6722B">
        <w:rPr>
          <w:noProof/>
        </w:rPr>
        <w:t xml:space="preserve">, 2003; Muhonen </w:t>
      </w:r>
      <w:r w:rsidRPr="00D6722B">
        <w:rPr>
          <w:i/>
          <w:noProof/>
        </w:rPr>
        <w:t>et al.</w:t>
      </w:r>
      <w:r w:rsidRPr="00D6722B">
        <w:rPr>
          <w:noProof/>
        </w:rPr>
        <w:t>, 2007)</w:t>
      </w:r>
      <w:r w:rsidR="005C0E76" w:rsidRPr="00D6722B">
        <w:fldChar w:fldCharType="end"/>
      </w:r>
      <w:r w:rsidRPr="00D6722B">
        <w:t>, 2’</w:t>
      </w:r>
      <w:r w:rsidR="00E635F1" w:rsidRPr="00D6722B">
        <w:t>-</w:t>
      </w:r>
      <w:r w:rsidRPr="00D6722B">
        <w:t>O</w:t>
      </w:r>
      <w:r w:rsidR="00E635F1" w:rsidRPr="00D6722B">
        <w:t>-</w:t>
      </w:r>
      <w:r w:rsidRPr="00D6722B">
        <w:t xml:space="preserve">Me </w:t>
      </w:r>
      <w:r w:rsidR="005C0E76" w:rsidRPr="00D6722B">
        <w:fldChar w:fldCharType="begin" w:fldLock="1"/>
      </w:r>
      <w:r w:rsidRPr="00D6722B">
        <w:instrText>ADDIN CSL_CITATION {"citationItems":[{"id":"ITEM-1","itemData":{"DOI":"10.1261/rna.2150806","ISSN":"1355-8382","PMID":"16301602","abstract":"RNA interference (RNAi) is a process by which short interfering RNAs (siRNAs) direct the degradation of complementary single-strand RNAs. In this study, we investigated the effects of full-strand phosphorothioate (PS) backbone and 2'-O-methyl (2'-OMe) sugar modifications on RNAi-mediated silencing. In contrast to previous reports, we have identified active siRNA duplexes containing full 2'-OMe-modified sense strands that display comparable activity to the unmodified analog of similar sequence. The structure of these modified siRNAs is the predominant determinant of their activity, with sequence and backbone composition being secondary. We further show, by using biotin-tagged siRNAs and affinity-tagged hAgo2/eIF2C2, that activity of siRNA duplexes containing full 2'-OMe substitutions in the sense strand is mediated by the RNA-induced silencing complex (RISC) and that strand-specific loading (or binding) to hAgo2 may be modulated through selective incorporation of these modifications.","author":[{"dropping-particle":"","family":"Kraynack","given":"Bryan A","non-dropping-particle":"","parse-names":false,"suffix":""},{"dropping-particle":"","family":"Baker","given":"Brenda F","non-dropping-particle":"","parse-names":false,"suffix":""}],"container-title":"RNA (New York, N.Y.)","id":"ITEM-1","issue":"1","issued":{"date-parts":[["2006","1","1"]]},"page":"163-76","publisher":"Cold Spring Harbor Laboratory Press","title":"Small interfering RNAs containing full 2'-O-methylribonucleotide-modified sense strands display Argonaute2/eIF2C2-dependent activity.","type":"article-journal","volume":"12"},"uris":["http://www.mendeley.com/documents/?uuid=b5852482-24b0-3e94-81e0-f1425836370c"]},{"id":"ITEM-2","itemData":{"DOI":"10.1021/bi0343774","ISSN":"0006-2960","PMID":"12834349","abstract":"RNA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R.","non-dropping-particle":"","parse-names":false,"suffix":""}],"container-title":"Biochemistry","id":"ITEM-2","issue":"26","issued":{"date-parts":[["2003","7","8"]]},"page":"7967-7975","title":"RNA Interference in Mammalian Cells by Chemically-Modified RNA &lt;sup&gt;†&lt;/sup&gt;","type":"article-journal","volume":"42"},"uris":["http://www.mendeley.com/documents/?uuid=64a42631-2469-393f-899d-064802514614"]},{"id":"ITEM-3","itemData":{"DOI":"10.1038/mt.2011.109","ISSN":"1525-0024","PMID":"21673662","abstract":"Off-target gene silencing is a major concern when using RNA interference. Imperfect pairing of the antisense strand with unintended mRNA targets is one of the main causes of small interfering RNA (siRNA) off-target silencing. To overcome this, we have developed \"bulge-siRNA,\" a modified siRNA backbone structure with a single nucleotide (nt) bulge placed in the antisense strand. We found that siRNAs with a bulge at position 2 of the antisense strand were able to discriminate better between perfectly matched and mismatched targets, with no loss in silencing of the intended target. Genome-wide analysis also revealed that the bulge-siRNAs significantly reduced off-target silencing of transcripts with complementarity to the seed region of the siRNA antisense strand. When compared to 2'-methoxy ribosyl (2'-OMe) modified siRNAs previously developed to alleviate antisense off-target silencing; the bulge modification could better discriminate between on- versus off-targets. Our results suggest that the bulge-siRNA structure is a simple, yet superior alternative to chemical modifications for minimizing off-target silencing triggered by conventional siRNA structures.","author":[{"dropping-particle":"","family":"Dua","given":"Pooja","non-dropping-particle":"","parse-names":false,"suffix":""},{"dropping-particle":"","family":"Yoo","given":"Jae Wook","non-dropping-particle":"","parse-names":false,"suffix":""},{"dropping-particle":"","family":"Kim","given":"Soyoun","non-dropping-particle":"","parse-names":false,"suffix":""},{"dropping-particle":"","family":"Lee","given":"Dong-ki","non-dropping-particle":"","parse-names":false,"suffix":""}],"container-title":"Molecular therapy : the journal of the American Society of Gene Therapy","id":"ITEM-3","issue":"9","issued":{"date-parts":[["2011","9","1"]]},"page":"1676-87","publisher":"Elsevier","title":"Modified siRNA structure with a single nucleotide bulge overcomes conventional siRNA-mediated off-target silencing.","type":"article-journal","volume":"19"},"uris":["http://www.mendeley.com/documents/?uuid=489041ba-a037-385b-b82c-f57aca2b5228"]},{"id":"ITEM-4","itemData":{"DOI":"10.1021/acsomega.7b00291","ISSN":"2470-1343","PMID":"29450406","abstract":"Chemical modifications of 2'-O-methyl (2'-OMe) and locked nucleic acid (LNA) of the nucleotides in the seed region (positions 2-8) of the small interfering RNA (siRNA) guide strand significantly reduced seed-matched (SM) off-target effects. The siRNA with 2'-OMe modifications inhibited the expression of a completely-matched (CM) target gene, whereas that with LNA modifications did not inhibit the expression of the CM target. By computational predictions of conformational changes of siRNA by these modifications, we revealed that both modifications in the siRNA seed region reduce SM off-target effects by steric hindrance to base-pairing with target transcripts but LNA modifications also disturb the association of the siRNA guide strand with the Argonaute (AGO) protein by altering RNA conformation. Thus, chemical modifications of the siRNA guide strand, which alter steric conformation to disturb base-pairing with target transcripts but do not disturb the association with the AGO protein, may successfully suppress off-target effects without substantial loss of RNA silencing activity.","author":[{"dropping-particle":"","family":"Iribe","given":"Hanna","non-dropping-particle":"","parse-names":false,"suffix":""},{"dropping-particle":"","family":"Miyamoto","given":"Kengo","non-dropping-particle":"","parse-names":false,"suffix":""},{"dropping-particle":"","family":"Takahashi","given":"Tomoko","non-dropping-particle":"","parse-names":false,"suffix":""},{"dropping-particle":"","family":"Kobayashi","given":"Yoshiaki","non-dropping-particle":"","parse-names":false,"suffix":""},{"dropping-particle":"","family":"Leo","given":"Jastina","non-dropping-particle":"","parse-names":false,"suffix":""},{"dropping-particle":"","family":"Aida","given":"Misako","non-dropping-particle":"","parse-names":false,"suffix":""},{"dropping-particle":"","family":"Ui-Tei","given":"Kumiko","non-dropping-particle":"","parse-names":false,"suffix":""}],"container-title":"ACS omega","id":"ITEM-4","issue":"5","issued":{"date-parts":[["2017","5","31"]]},"page":"2055-2064","publisher":"American Chemical Society","title":"Chemical Modification of the siRNA Seed Region Suppresses Off-Target Effects by Steric Hindrance to Base-Pairing with Targets.","type":"article-journal","volume":"2"},"uris":["http://www.mendeley.com/documents/?uuid=1d034da9-198a-32ef-88fd-c33d839435cd"]}],"mendeley":{"formattedCitation":"(Braasch &lt;i&gt;et al.&lt;/i&gt;, 2003; Kraynack and Baker, 2006; Dua &lt;i&gt;et al.&lt;/i&gt;, 2011; Iribe &lt;i&gt;et al.&lt;/i&gt;, 2017)","plainTextFormattedCitation":"(Braasch et al., 2003; Kraynack and Baker, 2006; Dua et al., 2011; Iribe et al., 2017)","previouslyFormattedCitation":"(Braasch &lt;i&gt;et al.&lt;/i&gt;, 2003; Kraynack and Baker, 2006; Dua &lt;i&gt;et al.&lt;/i&gt;, 2011; Iribe &lt;i&gt;et al.&lt;/i&gt;, 2017)"},"properties":{"noteIndex":0},"schema":"https://github.com/citation-style-language/schema/raw/master/csl-citation.json"}</w:instrText>
      </w:r>
      <w:r w:rsidR="005C0E76" w:rsidRPr="00D6722B">
        <w:fldChar w:fldCharType="separate"/>
      </w:r>
      <w:r w:rsidRPr="00D6722B">
        <w:rPr>
          <w:noProof/>
        </w:rPr>
        <w:t xml:space="preserve">(Braasch </w:t>
      </w:r>
      <w:r w:rsidRPr="00D6722B">
        <w:rPr>
          <w:i/>
          <w:noProof/>
        </w:rPr>
        <w:t>et al.</w:t>
      </w:r>
      <w:r w:rsidRPr="00D6722B">
        <w:rPr>
          <w:noProof/>
        </w:rPr>
        <w:t xml:space="preserve">, 2003; Kraynack and Baker, 2006; Dua </w:t>
      </w:r>
      <w:r w:rsidRPr="00D6722B">
        <w:rPr>
          <w:i/>
          <w:noProof/>
        </w:rPr>
        <w:t>et al.</w:t>
      </w:r>
      <w:r w:rsidRPr="00D6722B">
        <w:rPr>
          <w:noProof/>
        </w:rPr>
        <w:t xml:space="preserve">, 2011; Iribe </w:t>
      </w:r>
      <w:r w:rsidRPr="00D6722B">
        <w:rPr>
          <w:i/>
          <w:noProof/>
        </w:rPr>
        <w:t>et al.</w:t>
      </w:r>
      <w:r w:rsidRPr="00D6722B">
        <w:rPr>
          <w:noProof/>
        </w:rPr>
        <w:t>, 2017)</w:t>
      </w:r>
      <w:r w:rsidR="005C0E76" w:rsidRPr="00D6722B">
        <w:fldChar w:fldCharType="end"/>
      </w:r>
      <w:r w:rsidRPr="00D6722B">
        <w:t xml:space="preserve">, </w:t>
      </w:r>
      <w:r w:rsidR="00E635F1" w:rsidRPr="00D6722B">
        <w:t>2’-deoxy (</w:t>
      </w:r>
      <w:r w:rsidRPr="00D6722B">
        <w:t>DNA bases</w:t>
      </w:r>
      <w:r w:rsidR="00E635F1" w:rsidRPr="00D6722B">
        <w:t>)</w:t>
      </w:r>
      <w:r w:rsidRPr="00D6722B">
        <w:t xml:space="preserve"> </w:t>
      </w:r>
      <w:r w:rsidR="005C0E76" w:rsidRPr="00D6722B">
        <w:fldChar w:fldCharType="begin" w:fldLock="1"/>
      </w:r>
      <w:r w:rsidRPr="00D6722B">
        <w:instrText>ADDIN CSL_CITATION {"citationItems":[{"id":"ITEM-1","itemData":{"DOI":"10.1093/emboj/20.23.6877","ISBN":"doi:10.1093/emboj/20.23.6877","ISSN":"02614189","PMID":"11726523","abstract":"Duplexes of 21-23 nucleotide (nt) RNAs are the sequence-specific mediators of RNA interference (RNAi) and post-transcriptional gene silencing (PTGS). Synthetic, short interfering RNAs (siRNAs) were examined in Drosophila melanogaster embryo lysate for their requirements regarding length, structure, chemical composition and sequence in order to mediate efficient RNAi. Duplexes of 21 nt siRNAs with 2 nt 3' overhangs were the most efficient triggers of sequence-specific mRNA degradation. Substitution of one or both siRNA strands by 2'-deoxy or 2'-O-methyl oligonucleotides abolished RNAi, although multiple 2'-deoxynucleotide substitutions at the 3' end of siRNAs were tolerated. The target recognition process is highly sequence specific, but not all positions of a siRNA contribute equally to target recognition; mismatches in the centre of the siRNA duplex prevent target RNA cleavage. The position of the cleavage site in the target RNA is defined by the 5' end of the guide siRNA rather than its 3' end. These results provide a rational basis for the design of siRNAs in future gene targeting experiments.","author":[{"dropping-particle":"","family":"Elbashir","given":"S. M.","non-dropping-particle":"","parse-names":false,"suffix":""},{"dropping-particle":"","family":"Martinez","given":"J.","non-dropping-particle":"","parse-names":false,"suffix":""},{"dropping-particle":"","family":"Patkaniowska","given":"a.","non-dropping-particle":"","parse-names":false,"suffix":""},{"dropping-particle":"","family":"Lendeckel","given":"W.","non-dropping-particle":"","parse-names":false,"suffix":""},{"dropping-particle":"","family":"Tuschl","given":"T.","non-dropping-particle":"","parse-names":false,"suffix":""}],"container-title":"EMBO Journal","id":"ITEM-1","issue":"23","issued":{"date-parts":[["2001"]]},"page":"6877-6888","title":"Functional anatomy of siRNAs for mediating efficient RNAi in Drosophila melanogaster embryo lysate","type":"article-journal","volume":"20"},"uris":["http://www.mendeley.com/documents/?uuid=896d0f93-c136-46be-8edb-4c7fa48a23dd"]},{"id":"ITEM-2","itemData":{"DOI":"10.1021/acsomega.7b00291","ISSN":"2470-1343","PMID":"29450406","abstract":"Chemical modifications of 2'-O-methyl (2'-OMe) and locked nucleic acid (LNA) of the nucleotides in the seed region (positions 2-8) of the small interfering RNA (siRNA) guide strand significantly reduced seed-matched (SM) off-target effects. The siRNA with 2'-OMe modifications inhibited the expression of a completely-matched (CM) target gene, whereas that with LNA modifications did not inhibit the expression of the CM target. By computational predictions of conformational changes of siRNA by these modifications, we revealed that both modifications in the siRNA seed region reduce SM off-target effects by steric hindrance to base-pairing with target transcripts but LNA modifications also disturb the association of the siRNA guide strand with the Argonaute (AGO) protein by altering RNA conformation. Thus, chemical modifications of the siRNA guide strand, which alter steric conformation to disturb base-pairing with target transcripts but do not disturb the association with the AGO protein, may successfully suppress off-target effects without substantial loss of RNA silencing activity.","author":[{"dropping-particle":"","family":"Iribe","given":"Hanna","non-dropping-particle":"","parse-names":false,"suffix":""},{"dropping-particle":"","family":"Miyamoto","given":"Kengo","non-dropping-particle":"","parse-names":false,"suffix":""},{"dropping-particle":"","family":"Takahashi","given":"Tomoko","non-dropping-particle":"","parse-names":false,"suffix":""},{"dropping-particle":"","family":"Kobayashi","given":"Yoshiaki","non-dropping-particle":"","parse-names":false,"suffix":""},{"dropping-particle":"","family":"Leo","given":"Jastina","non-dropping-particle":"","parse-names":false,"suffix":""},{"dropping-particle":"","family":"Aida","given":"Misako","non-dropping-particle":"","parse-names":false,"suffix":""},{"dropping-particle":"","family":"Ui-Tei","given":"Kumiko","non-dropping-particle":"","parse-names":false,"suffix":""}],"container-title":"ACS omega","id":"ITEM-2","issue":"5","issued":{"date-parts":[["2017","5","31"]]},"page":"2055-2064","publisher":"American Chemical Society","title":"Chemical Modification of the siRNA Seed Region Suppresses Off-Target Effects by Steric Hindrance to Base-Pairing with Targets.","type":"article-journal","volume":"2"},"uris":["http://www.mendeley.com/documents/?uuid=1d034da9-198a-32ef-88fd-c33d839435cd"]}],"mendeley":{"formattedCitation":"(Elbashir &lt;i&gt;et al.&lt;/i&gt;, 2001; Iribe &lt;i&gt;et al.&lt;/i&gt;, 2017)","plainTextFormattedCitation":"(Elbashir et al., 2001; Iribe et al., 2017)","previouslyFormattedCitation":"(Elbashir &lt;i&gt;et al.&lt;/i&gt;, 2001; Iribe &lt;i&gt;et al.&lt;/i&gt;, 2017)"},"properties":{"noteIndex":0},"schema":"https://github.com/citation-style-language/schema/raw/master/csl-citation.json"}</w:instrText>
      </w:r>
      <w:r w:rsidR="005C0E76" w:rsidRPr="00D6722B">
        <w:fldChar w:fldCharType="separate"/>
      </w:r>
      <w:r w:rsidRPr="00D6722B">
        <w:rPr>
          <w:noProof/>
        </w:rPr>
        <w:t xml:space="preserve">(Elbashir </w:t>
      </w:r>
      <w:r w:rsidRPr="00D6722B">
        <w:rPr>
          <w:i/>
          <w:noProof/>
        </w:rPr>
        <w:t>et al.</w:t>
      </w:r>
      <w:r w:rsidRPr="00D6722B">
        <w:rPr>
          <w:noProof/>
        </w:rPr>
        <w:t xml:space="preserve">, 2001; Iribe </w:t>
      </w:r>
      <w:r w:rsidRPr="00D6722B">
        <w:rPr>
          <w:i/>
          <w:noProof/>
        </w:rPr>
        <w:t>et al.</w:t>
      </w:r>
      <w:r w:rsidRPr="00D6722B">
        <w:rPr>
          <w:noProof/>
        </w:rPr>
        <w:t>, 2017)</w:t>
      </w:r>
      <w:r w:rsidR="005C0E76" w:rsidRPr="00D6722B">
        <w:fldChar w:fldCharType="end"/>
      </w:r>
      <w:r w:rsidRPr="00D6722B">
        <w:t xml:space="preserve">, and locked/unlocked nucleic acid (LNA/UNA) </w:t>
      </w:r>
      <w:r w:rsidR="005C0E76" w:rsidRPr="00D6722B">
        <w:fldChar w:fldCharType="begin" w:fldLock="1"/>
      </w:r>
      <w:r w:rsidR="00C57A7E">
        <w:instrText>ADDIN CSL_CITATION {"citationItems":[{"id":"ITEM-1","itemData":{"DOI":"10.1038/mtna.2013.36","ISBN":"2162-2531 (Electronic)","ISSN":"21622531","PMID":"23820891","abstract":"Optimization of small interfering RNAs (siRNAs) is important in RNA interference (RNAi)-based therapeutic development. Some specific chemical modifications can control which siRNA strand is selected by the RNA-induced silencing complex (RISC) for gene silencing. Intended strand selection will increase potency and reduce off-target effects from the unintended strand. Sometimes, blocking RISC loading of the unintended strand leads to improved intended strand-silencing potency, but the generality of this phenomenon is unclear. Specifically, unlocked nucleic acid (UNA) modification of the 5' end of canonical (i.e., 19+2) siRNAs abrogates gene silencing of the modified strand, but the fate and potency of the unmodified strand has not been investigated. Here, we show that 5' UNA-modified siRNAs show improved silencing potency of the unmodified strand. We harness this advantageous property in a therapeutic context, where a limited target region in a conserved HIV 5' long terminal repeat U5 region would otherwise yield siRNAs with undesired strand selection properties and poor silencing. Applying 5' UNA modification to the unintended sense (S) strand of these otherwise poorly targeted siRNAs dramatically improves on-target silencing by the intended antisense (AS) strand in pNL4-3.luciferase studies. This study highlights the utility of 5' UNA siRNA modification in therapeutic contexts where siRNA sequence selection is constrained.Molecular Therapy-Nucleic Acids (2013) 2, e103; doi:10.1038/mtna.2013.36; published online 2 July 2013.","author":[{"dropping-particle":"","family":"Snead","given":"Nicholas M.","non-dropping-particle":"","parse-names":false,"suffix":""},{"dropping-particle":"","family":"Escamilla-Powers","given":"Julie R.","non-dropping-particle":"","parse-names":false,"suffix":""},{"dropping-particle":"","family":"Rossi","given":"John J.","non-dropping-particle":"","parse-names":false,"suffix":""},{"dropping-particle":"","family":"McCaffrey","given":"Anton P.","non-dropping-particle":"","parse-names":false,"suffix":""}],"container-title":"Molecular Therapy - Nucleic Acids","id":"ITEM-1","issue":"May","issued":{"date-parts":[["2013"]]},"title":"5′ unlocked nucleic acid modification improves siRNA targeting","type":"article-journal","volume":"2"},"uris":["http://www.mendeley.com/documents/?uuid=e7a9a076-1055-41e9-88ab-a70345d589be"]},{"id":"ITEM-2","itemData":{"DOI":"10.1039/c1cs15048k","ISBN":"1460-4744 (Electronic)\\n0306-0012 (Linking)","ISSN":"0306-0012","PMID":"21556437","abstract":"Oligonucleotide chemistry has been developed greatly over the past three decades, with many advances in increasing nuclease resistance, enhancing duplex stability and assisting with cellular uptake. Locked nucleic acid (LNA) is a structurally rigid modification that increases the binding affinity of a modified-oligonucleotide. In contrast, unlocked nucleic acid (UNA) is a highly flexible modification, which can be used to modulate duplex characteristics. In this tutorial review, we will compare the synthetic routes to both of these modifications, contrast the structural features, examine the hybridization properties of LNA and UNA modified duplexes, and discuss how they have been applied within biotechnology and drug research. LNA has found widespread use in antisense oligonucleotide technology, where it can stabilize interactions with target RNA and protect from cellular nucleases. The newly emerging field of siRNAs has made use of LNA and, recently, also UNA. These modifications are able to increase double-stranded RNA stability in serum and decrease off-target effects seen with conventional siRNAs. LNA and UNA are also emerging as versatile modifications for aptamers. Their application to known aptamer structures has opened up the possibility of future selection of LNA-modified aptamers. Each of these oligonucleotide technologies has the potential to become a new type of therapy to treat a wide variety of diseases, and LNA and UNA will no doubt play a part in future developments of therapeutic and diagnostic oligonucleotides.","author":[{"dropping-particle":"","family":"Campbell","given":"Meghan A.","non-dropping-particle":"","parse-names":false,"suffix":""},{"dropping-particle":"","family":"Wengel","given":"Jesper","non-dropping-particle":"","parse-names":false,"suffix":""}],"container-title":"Chemical Society Reviews","id":"ITEM-2","issue":"12","issued":{"date-parts":[["2011"]]},"page":"5680","title":"Locked vs. unlocked nucleic acids (LNA vs. UNA): contrasting structures work towards common therapeutic goals","type":"article-journal","volume":"40"},"uris":["http://www.mendeley.com/documents/?uuid=5515374d-f2cc-4c08-8a06-5896ffaaece1"]},{"id":"ITEM-3","itemData":{"DOI":"10.1021/acsomega.7b00291","ISSN":"2470-1343","PMID":"29450406","abstract":"Chemical modifications of 2'-O-methyl (2'-OMe) and locked nucleic acid (LNA) of the nucleotides in the seed region (positions 2-8) of the small interfering RNA (siRNA) guide strand significantly reduced seed-matched (SM) off-target effects. The siRNA with 2'-OMe modifications inhibited the expression of a completely-matched (CM) target gene, whereas that with LNA modifications did not inhibit the expression of the CM target. By computational predictions of conformational changes of siRNA by these modifications, we revealed that both modifications in the siRNA seed region reduce SM off-target effects by steric hindrance to base-pairing with target transcripts but LNA modifications also disturb the association of the siRNA guide strand with the Argonaute (AGO) protein by altering RNA conformation. Thus, chemical modifications of the siRNA guide strand, which alter steric conformation to disturb base-pairing with target transcripts but do not disturb the association with the AGO protein, may successfully suppress off-target effects without substantial loss of RNA silencing activity.","author":[{"dropping-particle":"","family":"Iribe","given":"Hanna","non-dropping-particle":"","parse-names":false,"suffix":""},{"dropping-particle":"","family":"Miyamoto","given":"Kengo","non-dropping-particle":"","parse-names":false,"suffix":""},{"dropping-particle":"","family":"Takahashi","given":"Tomoko","non-dropping-particle":"","parse-names":false,"suffix":""},{"dropping-particle":"","family":"Kobayashi","given":"Yoshiaki","non-dropping-particle":"","parse-names":false,"suffix":""},{"dropping-particle":"","family":"Leo","given":"Jastina","non-dropping-particle":"","parse-names":false,"suffix":""},{"dropping-particle":"","family":"Aida","given":"Misako","non-dropping-particle":"","parse-names":false,"suffix":""},{"dropping-particle":"","family":"Ui-Tei","given":"Kumiko","non-dropping-particle":"","parse-names":false,"suffix":""}],"container-title":"ACS omega","id":"ITEM-3","issue":"5","issued":{"date-parts":[["2017","5","31"]]},"page":"2055-2064","publisher":"American Chemical Society","title":"Chemical Modification of the siRNA Seed Region Suppresses Off-Target Effects by Steric Hindrance to Base-Pairing with Targets.","type":"article-journal","volume":"2"},"uris":["http://www.mendeley.com/documents/?uuid=1d034da9-198a-32ef-88fd-c33d839435cd"]},{"id":"ITEM-4","itemData":{"DOI":"10.1016/j.bmcl.2016.07.064","ISSN":"14643405","abstract":"Single-stranded silencing RNAs (ss siRNA), while not as potent as duplex RNAs, have the potential to become a novel platform technology in RNA interference based gene silencing by virtue of their simplicity and plausibly favorable characteristics in pharmacokinetics and biodistribution. Like other therapeutic pharmaceutical agents, ss siRNA can be optimized to achieve higher potency through a structure–activity based approach. Systematic chemical modification at each position of a 21-mer oligonucleotide identified 2′,5′-linked 3′-deoxythymidine (3dT) at position 1 and locked nucleic acids (LNAs) at the seed region as key components to afford significant enhancement in knockdown activity both in vitro and in vivo. Further optimization by additional chemical modifications should enable ss siRNA as an alternative gene silencing modality.","author":[{"dropping-particle":"","family":"Chang","given":"Wonsuk","non-dropping-particle":"","parse-names":false,"suffix":""},{"dropping-particle":"","family":"Pei","given":"Yi","non-dropping-particle":"","parse-names":false,"suffix":""},{"dropping-particle":"","family":"Guidry","given":"Erin N.","non-dropping-particle":"","parse-names":false,"suffix":""},{"dropping-particle":"","family":"Zewge","given":"Daniel","non-dropping-particle":"","parse-names":false,"suffix":""},{"dropping-particle":"","family":"Parish","given":"Craig A.","non-dropping-particle":"","parse-names":false,"suffix":""},{"dropping-particle":"","family":"Sherer","given":"Edward C.","non-dropping-particle":"","parse-names":false,"suffix":""},{"dropping-particle":"","family":"DiMuzio","given":"Jillian","non-dropping-particle":"","parse-names":false,"suffix":""},{"dropping-particle":"","family":"Zhang","given":"Hangchun","non-dropping-particle":"","parse-names":false,"suffix":""},{"dropping-particle":"","family":"South","given":"Victoria J.","non-dropping-particle":"","parse-names":false,"suffix":""},{"dropping-particle":"","family":"Strapps","given":"Walter R.","non-dropping-particle":"","parse-names":false,"suffix":""},{"dropping-particle":"","family":"Sepp-Lorenzino","given":"Laura","non-dropping-particle":"","parse-names":false,"suffix":""},{"dropping-particle":"","family":"Colletti","given":"Steven L.","non-dropping-particle":"","parse-names":false,"suffix":""},{"dropping-particle":"","family":"Stanton","given":"Matthew G.","non-dropping-particle":"","parse-names":false,"suffix":""}],"container-title":"Bioorganic and Medicinal Chemistry Letters","id":"ITEM-4","issue":"18","issued":{"date-parts":[["2016"]]},"page":"4513-4517","publisher":"Elsevier Ltd","title":"Systematic chemical modifications of single stranded siRNAs significantly improved CTNNB1 mRNA silencing","type":"article-journal","volume":"26"},"uris":["http://www.mendeley.com/documents/?uuid=c9f9a9d8-8029-4da4-ad10-c6045bbe12dd"]}],"mendeley":{"formattedCitation":"(Campbell and Wengel, 2011; Nicholas M. Snead &lt;i&gt;et al.&lt;/i&gt;, 2013; Chang &lt;i&gt;et al.&lt;/i&gt;, 2016a; Iribe &lt;i&gt;et al.&lt;/i&gt;, 2017)","plainTextFormattedCitation":"(Campbell and Wengel, 2011; Nicholas M. Snead et al., 2013; Chang et al., 2016a; Iribe et al., 2017)","previouslyFormattedCitation":"(Campbell and Wengel, 2011; Nicholas M. Snead &lt;i&gt;et al.&lt;/i&gt;, 2013; Chang &lt;i&gt;et al.&lt;/i&gt;, 2016; Iribe &lt;i&gt;et al.&lt;/i&gt;, 2017)"},"properties":{"noteIndex":0},"schema":"https://github.com/citation-style-language/schema/raw/master/csl-citation.json"}</w:instrText>
      </w:r>
      <w:r w:rsidR="005C0E76" w:rsidRPr="00D6722B">
        <w:fldChar w:fldCharType="separate"/>
      </w:r>
      <w:r w:rsidR="00C57A7E" w:rsidRPr="00C57A7E">
        <w:rPr>
          <w:noProof/>
        </w:rPr>
        <w:t xml:space="preserve">(Campbell and Wengel, 2011; Nicholas M. Snead </w:t>
      </w:r>
      <w:r w:rsidR="00C57A7E" w:rsidRPr="00C57A7E">
        <w:rPr>
          <w:i/>
          <w:noProof/>
        </w:rPr>
        <w:t>et al.</w:t>
      </w:r>
      <w:r w:rsidR="00C57A7E" w:rsidRPr="00C57A7E">
        <w:rPr>
          <w:noProof/>
        </w:rPr>
        <w:t xml:space="preserve">, 2013; Chang </w:t>
      </w:r>
      <w:r w:rsidR="00C57A7E" w:rsidRPr="00C57A7E">
        <w:rPr>
          <w:i/>
          <w:noProof/>
        </w:rPr>
        <w:t>et al.</w:t>
      </w:r>
      <w:r w:rsidR="00C57A7E" w:rsidRPr="00C57A7E">
        <w:rPr>
          <w:noProof/>
        </w:rPr>
        <w:t xml:space="preserve">, 2016a; Iribe </w:t>
      </w:r>
      <w:r w:rsidR="00C57A7E" w:rsidRPr="00C57A7E">
        <w:rPr>
          <w:i/>
          <w:noProof/>
        </w:rPr>
        <w:t>et al.</w:t>
      </w:r>
      <w:r w:rsidR="00C57A7E" w:rsidRPr="00C57A7E">
        <w:rPr>
          <w:noProof/>
        </w:rPr>
        <w:t>, 2017)</w:t>
      </w:r>
      <w:r w:rsidR="005C0E76" w:rsidRPr="00D6722B">
        <w:fldChar w:fldCharType="end"/>
      </w:r>
      <w:r w:rsidRPr="00D6722B">
        <w:t xml:space="preserve">; 3) modifications of the bases themselves, of which a bewildering array are available covering many different types of functional group and many different positions within the four RNA bases </w:t>
      </w:r>
      <w:r w:rsidR="005C0E76" w:rsidRPr="00D6722B">
        <w:fldChar w:fldCharType="begin" w:fldLock="1"/>
      </w:r>
      <w:r w:rsidRPr="00D6722B">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interference.","type":"article-journal","volume":"6"},"uris":["http://www.mendeley.com/documents/?uuid=42e8fc97-72a8-376f-85fe-7340e9548145"]},{"id":"ITEM-2","itemData":{"DOI":"10.1261/rna.5103703","ISSN":"1355-8382","PMID":"12923253","abstract":"Various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M","non-dropping-particle":"","parse-names":false,"suffix":""}],"container-title":"RNA","id":"ITEM-2","issue":"9","issued":{"date-parts":[["2003","9","1"]]},"page":"1034-1048","title":"siRNA function in RNAi: A chemical modification analysis","type":"article-journal","volume":"9"},"uris":["http://www.mendeley.com/documents/?uuid=b575ef29-2702-31fc-b85c-c66c1af1e55b"]},{"id":"ITEM-3","itemData":{"DOI":"10.1021/jo2012225","ISSN":"1520-6904","PMID":"21834582","abstract":"Considerable attention has focused on the use of alternatives to the native ribose and phosphate backbone of small interfering RNAs for therapeutic applications of the RNA interference pathway. In this synopsis, we highlight the less common chemical modifications, namely, those of the RNA nucleobases. Base modifications have the potential to lend insight into the mechanism of gene silencing and to lead to novel methods to overcome off-target effects that arise due to deleterious protein binding or mis-targeting of mRNA.","author":[{"dropping-particle":"","family":"Peacock","given":"Hayden","non-dropping-particle":"","parse-names":false,"suffix":""},{"dropping-particle":"","family":"Kannan","given":"Arunkumar","non-dropping-particle":"","parse-names":false,"suffix":""},{"dropping-particle":"","family":"Beal","given":"Peter A","non-dropping-particle":"","parse-names":false,"suffix":""},{"dropping-particle":"","family":"Burrows","given":"Cynthia J","non-dropping-particle":"","parse-names":false,"suffix":""}],"container-title":"The Journal of organic chemistry","id":"ITEM-3","issue":"18","issued":{"date-parts":[["2011","9","16"]]},"page":"7295-300","publisher":"NIH Public Access","title":"Chemical modification of siRNA bases to probe and enhance RNA interference.","type":"article-journal","volume":"76"},"uris":["http://www.mendeley.com/documents/?uuid=d5781ce8-9b56-37b4-9563-d6f01c360bbd"]}],"mendeley":{"formattedCitation":"(Parrish &lt;i&gt;et al.&lt;/i&gt;, 2000; Chiu and Rana, 2003; Peacock &lt;i&gt;et al.&lt;/i&gt;, 2011a)","plainTextFormattedCitation":"(Parrish et al., 2000; Chiu and Rana, 2003; Peacock et al., 2011a)","previouslyFormattedCitation":"(Parrish &lt;i&gt;et al.&lt;/i&gt;, 2000; Chiu and Rana, 2003; Peacock &lt;i&gt;et al.&lt;/i&gt;, 2011a)"},"properties":{"noteIndex":0},"schema":"https://github.com/citation-style-language/schema/raw/master/csl-citation.json"}</w:instrText>
      </w:r>
      <w:r w:rsidR="005C0E76" w:rsidRPr="00D6722B">
        <w:fldChar w:fldCharType="separate"/>
      </w:r>
      <w:r w:rsidRPr="00D6722B">
        <w:rPr>
          <w:noProof/>
        </w:rPr>
        <w:t xml:space="preserve">(Parrish </w:t>
      </w:r>
      <w:r w:rsidRPr="00D6722B">
        <w:rPr>
          <w:i/>
          <w:noProof/>
        </w:rPr>
        <w:t>et al.</w:t>
      </w:r>
      <w:r w:rsidRPr="00D6722B">
        <w:rPr>
          <w:noProof/>
        </w:rPr>
        <w:t xml:space="preserve">, 2000; Chiu and Rana, 2003; Peacock </w:t>
      </w:r>
      <w:r w:rsidRPr="00D6722B">
        <w:rPr>
          <w:i/>
          <w:noProof/>
        </w:rPr>
        <w:t>et al.</w:t>
      </w:r>
      <w:r w:rsidRPr="00D6722B">
        <w:rPr>
          <w:noProof/>
        </w:rPr>
        <w:t>, 2011a)</w:t>
      </w:r>
      <w:r w:rsidR="005C0E76" w:rsidRPr="00D6722B">
        <w:fldChar w:fldCharType="end"/>
      </w:r>
      <w:r w:rsidRPr="00D6722B">
        <w:t xml:space="preserve">. </w:t>
      </w:r>
    </w:p>
    <w:p w:rsidR="00584800" w:rsidRPr="00ED2E5F" w:rsidRDefault="00584800" w:rsidP="000441D9">
      <w:pPr>
        <w:spacing w:line="360" w:lineRule="auto"/>
        <w:ind w:firstLine="284"/>
      </w:pPr>
      <w:r w:rsidRPr="002108CC">
        <w:t>A short</w:t>
      </w:r>
      <w:r w:rsidR="00093D28" w:rsidRPr="002108CC">
        <w:t>list</w:t>
      </w:r>
      <w:r w:rsidR="00093D28" w:rsidRPr="00D6722B">
        <w:t xml:space="preserve"> of chemical modifications </w:t>
      </w:r>
      <w:r w:rsidRPr="00ED2E5F">
        <w:t>was compiled to attempt inclusion of in dsRNA during enzymatic synthesis, covering all three classes (</w:t>
      </w:r>
      <w:r w:rsidR="00360979" w:rsidRPr="00ED2E5F">
        <w:t xml:space="preserve">see </w:t>
      </w:r>
      <w:r w:rsidRPr="00ED2E5F">
        <w:t xml:space="preserve"> </w:t>
      </w:r>
      <w:r w:rsidR="00360979" w:rsidRPr="00ED2E5F">
        <w:t>figure</w:t>
      </w:r>
      <w:r w:rsidR="002108CC" w:rsidRPr="00ED2E5F">
        <w:t>s</w:t>
      </w:r>
      <w:r w:rsidR="00360979" w:rsidRPr="00ED2E5F">
        <w:t xml:space="preserve"> 1.</w:t>
      </w:r>
      <w:r w:rsidR="002108CC" w:rsidRPr="00ED2E5F">
        <w:t xml:space="preserve">4 and </w:t>
      </w:r>
      <w:r w:rsidR="00360979" w:rsidRPr="00ED2E5F">
        <w:t>3.</w:t>
      </w:r>
      <w:r w:rsidR="002108CC" w:rsidRPr="00ED2E5F">
        <w:t>1</w:t>
      </w:r>
      <w:r w:rsidRPr="00ED2E5F">
        <w:t>):</w:t>
      </w:r>
    </w:p>
    <w:p w:rsidR="00584800" w:rsidRPr="00ED2E5F" w:rsidRDefault="00584800" w:rsidP="000441D9">
      <w:pPr>
        <w:pStyle w:val="ListParagraph"/>
        <w:numPr>
          <w:ilvl w:val="0"/>
          <w:numId w:val="20"/>
        </w:numPr>
        <w:spacing w:line="360" w:lineRule="auto"/>
      </w:pPr>
      <w:r w:rsidRPr="00ED2E5F">
        <w:t>Phosphate modifi</w:t>
      </w:r>
      <w:r w:rsidR="002108CC" w:rsidRPr="00ED2E5F">
        <w:t xml:space="preserve">cations: Phosphorothioate (PS) </w:t>
      </w:r>
    </w:p>
    <w:p w:rsidR="00584800" w:rsidRPr="00ED2E5F" w:rsidRDefault="00584800" w:rsidP="000441D9">
      <w:pPr>
        <w:pStyle w:val="ListParagraph"/>
        <w:numPr>
          <w:ilvl w:val="0"/>
          <w:numId w:val="20"/>
        </w:numPr>
        <w:spacing w:line="360" w:lineRule="auto"/>
      </w:pPr>
      <w:r w:rsidRPr="00ED2E5F">
        <w:t xml:space="preserve">Ribose modifications: 2’deoxyfluoro (2’F), DNA bases (see HMdC below) </w:t>
      </w:r>
    </w:p>
    <w:p w:rsidR="00584800" w:rsidRPr="00ED2E5F" w:rsidRDefault="00584800" w:rsidP="000441D9">
      <w:pPr>
        <w:pStyle w:val="ListParagraph"/>
        <w:numPr>
          <w:ilvl w:val="0"/>
          <w:numId w:val="20"/>
        </w:numPr>
        <w:spacing w:line="360" w:lineRule="auto"/>
      </w:pPr>
      <w:r w:rsidRPr="00ED2E5F">
        <w:t>Base modifications: hydroxymethyl cytodine (HMrC) (see figure 3.1 b), hydroxymethyl deoxycytidine (HMdC) (also technically a ribose modification) (see figure 3.1 c), glucosylated hydroxymethyl deoxycytidine (Gluc HMdC) (see figure 3.1 d)</w:t>
      </w:r>
    </w:p>
    <w:p w:rsidR="008157DF" w:rsidRPr="00ED2E5F" w:rsidRDefault="008157DF" w:rsidP="000441D9">
      <w:pPr>
        <w:spacing w:line="360" w:lineRule="auto"/>
        <w:ind w:firstLine="284"/>
      </w:pPr>
      <w:r w:rsidRPr="00ED2E5F">
        <w:t>Phosphorothioate modifications and 2’-fluoro modifications were chosen as they are widely utilised, increase nuclease stability of some nucleic acids, and have straightforward rules for</w:t>
      </w:r>
      <w:r w:rsidR="00B824BF">
        <w:t xml:space="preserve"> their</w:t>
      </w:r>
      <w:r w:rsidRPr="00ED2E5F">
        <w:t xml:space="preserve"> effects on RNAi efficacy </w:t>
      </w:r>
      <w:r w:rsidR="00B824BF">
        <w:t xml:space="preserve">in mammalian and </w:t>
      </w:r>
      <w:r w:rsidR="00B824BF" w:rsidRPr="00B824BF">
        <w:rPr>
          <w:i/>
        </w:rPr>
        <w:t>C. elegans</w:t>
      </w:r>
      <w:r w:rsidR="00B824BF">
        <w:t xml:space="preserve"> systems, </w:t>
      </w:r>
      <w:r w:rsidRPr="00ED2E5F">
        <w:t>compared to modifications such as 2’-O-Me and LNA. As few base modifications of siRNAs lead to improved RNAi efficacy, these modifications were generally not considered, however 5-hydroxymethyl modifications were selected as a bas</w:t>
      </w:r>
      <w:r w:rsidR="007C113C" w:rsidRPr="00ED2E5F">
        <w:t>e</w:t>
      </w:r>
      <w:r w:rsidRPr="00ED2E5F">
        <w:t xml:space="preserve"> modification to test, based on their role in increasing nuclease resistance of phage DNA in host cells (see section 3.</w:t>
      </w:r>
      <w:r w:rsidR="00ED2E5F" w:rsidRPr="00ED2E5F">
        <w:t>3.6</w:t>
      </w:r>
      <w:r w:rsidRPr="00ED2E5F">
        <w:t>).</w:t>
      </w:r>
    </w:p>
    <w:p w:rsidR="00584800" w:rsidRPr="00D6722B" w:rsidRDefault="00584800" w:rsidP="000441D9">
      <w:pPr>
        <w:spacing w:line="360" w:lineRule="auto"/>
        <w:ind w:firstLine="284"/>
      </w:pPr>
      <w:r w:rsidRPr="00D6722B">
        <w:t>dsRNA containing phosphorothioate (PS) modifications is of particular in</w:t>
      </w:r>
      <w:r w:rsidR="002D5079" w:rsidRPr="00D6722B">
        <w:t xml:space="preserve">terest, for a number of reasons. </w:t>
      </w:r>
      <w:r w:rsidRPr="00D6722B">
        <w:t xml:space="preserve">PS modifications are the most common nucleic acid modification used elsewhere, including siRNAs and antisense DNA oligonucleotides </w:t>
      </w:r>
      <w:r w:rsidR="005C0E76" w:rsidRPr="00D6722B">
        <w:fldChar w:fldCharType="begin" w:fldLock="1"/>
      </w:r>
      <w:r w:rsidR="00C44B4D" w:rsidRPr="00D6722B">
        <w:instrText>ADDIN CSL_CITATION {"citationItems":[{"id":"ITEM-1","itemData":{"DOI":"10.1093/nar/gkx1239","ISSN":"0305-1048","author":[{"dropping-particle":"","family":"Shen","given":"Xiulong","non-dropping-particle":"","parse-names":false,"suffix":""},{"dropping-particle":"","family":"Corey","given":"David R","non-dropping-particle":"","parse-names":false,"suffix":""}],"container-title":"Nucleic Acids Research","id":"ITEM-1","issue":"4","issued":{"date-parts":[["2018","2","28"]]},"page":"1584-1600","publisher":"Oxford University Press","title":"Chemistry, mechanism and clinical status of antisense oligonucleotides and duplex RNAs","type":"article-journal","volume":"46"},"uris":["http://www.mendeley.com/documents/?uuid=6295d2c5-0f98-380e-8eb5-eb8c980ea206"]}],"mendeley":{"formattedCitation":"(Shen and Corey, 2018b)","plainTextFormattedCitation":"(Shen and Corey, 2018b)","previouslyFormattedCitation":"(Shen and Corey, 2018b)"},"properties":{"noteIndex":0},"schema":"https://github.com/citation-style-language/schema/raw/master/csl-citation.json"}</w:instrText>
      </w:r>
      <w:r w:rsidR="005C0E76" w:rsidRPr="00D6722B">
        <w:fldChar w:fldCharType="separate"/>
      </w:r>
      <w:r w:rsidR="00C44B4D" w:rsidRPr="00D6722B">
        <w:rPr>
          <w:noProof/>
        </w:rPr>
        <w:t>(Shen and Corey, 2018b)</w:t>
      </w:r>
      <w:r w:rsidR="005C0E76" w:rsidRPr="00D6722B">
        <w:fldChar w:fldCharType="end"/>
      </w:r>
      <w:r w:rsidRPr="00D6722B">
        <w:t xml:space="preserve">, and there is a great deal of evidence suggesting that in mammalian whole-organism systems they greatly increase the stability of nucleic acids in the bloodstream </w:t>
      </w:r>
      <w:r w:rsidR="005C0E76" w:rsidRPr="00D6722B">
        <w:fldChar w:fldCharType="begin" w:fldLock="1"/>
      </w:r>
      <w:r w:rsidRPr="00D6722B">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analysis","type":"article-journal","volume":"9"},"uris":["http://www.mendeley.com/documents/?uuid=b575ef29-2702-31fc-b85c-c66c1af1e55b"]},{"id":"ITEM-2","itemData":{"DOI":"10.1038/ncomms7317","ISSN":"2041-1723","abstract":"Therapeutic oligonucleotides can be made more stable by substituting their achiral phosphodiester groups for chiral phosphorothioate linkages. Here, the authors present a synthesis of phosphorothioated RNAs, where the activator controls strand stereochemistry, and also the activity of assembled siRNA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Communications","id":"ITEM-2","issue":"1","issued":{"date-parts":[["2015","12","6"]]},"page":"6317","publisher":"Nature Publishing Group","title":"Stereochemical bias introduced during RNA synthesis modulates the activity of phosphorothioate siRNAs","type":"article-journal","volume":"6"},"uris":["http://www.mendeley.com/documents/?uuid=94ae2c08-2a07-3a78-8de6-1074a96ed422"]}],"mendeley":{"formattedCitation":"(Chiu and Rana, 2003; Jahns &lt;i&gt;et al.&lt;/i&gt;, 2015b)","plainTextFormattedCitation":"(Chiu and Rana, 2003; Jahns et al., 2015b)","previouslyFormattedCitation":"(Chiu and Rana, 2003; Jahns &lt;i&gt;et al.&lt;/i&gt;, 2015b)"},"properties":{"noteIndex":0},"schema":"https://github.com/citation-style-language/schema/raw/master/csl-citation.json"}</w:instrText>
      </w:r>
      <w:r w:rsidR="005C0E76" w:rsidRPr="00D6722B">
        <w:fldChar w:fldCharType="separate"/>
      </w:r>
      <w:r w:rsidRPr="00D6722B">
        <w:rPr>
          <w:noProof/>
        </w:rPr>
        <w:t xml:space="preserve">(Chiu and Rana, 2003; Jahns </w:t>
      </w:r>
      <w:r w:rsidRPr="00D6722B">
        <w:rPr>
          <w:i/>
          <w:noProof/>
        </w:rPr>
        <w:t>et al.</w:t>
      </w:r>
      <w:r w:rsidRPr="00D6722B">
        <w:rPr>
          <w:noProof/>
        </w:rPr>
        <w:t>, 2015b)</w:t>
      </w:r>
      <w:r w:rsidR="005C0E76" w:rsidRPr="00D6722B">
        <w:fldChar w:fldCharType="end"/>
      </w:r>
      <w:r w:rsidR="002D5079" w:rsidRPr="00D6722B">
        <w:t>. Secondly, s</w:t>
      </w:r>
      <w:r w:rsidRPr="00D6722B">
        <w:t xml:space="preserve">ynthesis of </w:t>
      </w:r>
      <w:r w:rsidRPr="00D6722B">
        <w:lastRenderedPageBreak/>
        <w:t xml:space="preserve">PS dsRNA is relatively simple and can be achieved with a standard T7 RNA polymerase </w:t>
      </w:r>
      <w:r w:rsidR="005C0E76" w:rsidRPr="00D6722B">
        <w:fldChar w:fldCharType="begin" w:fldLock="1"/>
      </w:r>
      <w:r w:rsidRPr="00D6722B">
        <w:instrText>ADDIN CSL_CITATION {"citationItems":[{"id":"ITEM-1","itemData":{"DOI":"10.1093/nar/19.3.547","ISSN":"0305-1048","PMID":"2011526","abstract":"Phosphorothioate-containing RNAs were generated by transcription of coliphage T7 DNA using the Sp diastereomers of ribonucleoside 5'-O-(1-thiotriphosphates) and T7 RNA polymerase. RNAs in which a single nucleotide was substituted by the corresponding nucleoside phosphorothioate functioned as mRNA in the cell-free translation systems prepared from Escherichia coli and from an extreme thermophilic bacterium, Thermus thermophilus. This substitution increased the efficiency of protein synthesis by stabilizing the mRNAs in these systems. As the proportion of substituted nucleotides was increased, their mRNA activity was decreased accordingly. As judged from the analysis by SDS-polyacrylamide gel-electrophoresis, the proteins synthesized using phosphorothioate-containing mRNAs as template were identical to those obtained with unsubstituted mRNAs. However, larger proteins which were barely detectable when unsubstituted mRNA was used were well represented when phosphorothioate-RNA was used instead. The advantages in using the phosphorothioate-mRNAs in the in vitro translation systems are discussed.","author":[{"dropping-particle":"","family":"Ueda","given":"T","non-dropping-particle":"","parse-names":false,"suffix":""},{"dropping-particle":"","family":"Tohda","given":"H","non-dropping-particle":"","parse-names":false,"suffix":""},{"dropping-particle":"","family":"Chikazumi","given":"N","non-dropping-particle":"","parse-names":false,"suffix":""},{"dropping-particle":"","family":"Eckstein","given":"F","non-dropping-particle":"","parse-names":false,"suffix":""},{"dropping-particle":"","family":"Watanabe","given":"K","non-dropping-particle":"","parse-names":false,"suffix":""}],"container-title":"Nucleic acids research","id":"ITEM-1","issue":"3","issued":{"date-parts":[["1991","2","11"]]},"page":"547-52","publisher":"Oxford University Press","title":"Phosphorothioate-containing RNAs show mRNA activity in the prokaryotic translation systems in vitro.","type":"article-journal","volume":"19"},"uris":["http://www.mendeley.com/documents/?uuid=6cad9b9b-7a29-322d-be43-0195192c1308"]}],"mendeley":{"formattedCitation":"(Ueda &lt;i&gt;et al.&lt;/i&gt;, 1991)","plainTextFormattedCitation":"(Ueda et al., 1991)","previouslyFormattedCitation":"(Ueda &lt;i&gt;et al.&lt;/i&gt;, 1991)"},"properties":{"noteIndex":0},"schema":"https://github.com/citation-style-language/schema/raw/master/csl-citation.json"}</w:instrText>
      </w:r>
      <w:r w:rsidR="005C0E76" w:rsidRPr="00D6722B">
        <w:fldChar w:fldCharType="separate"/>
      </w:r>
      <w:r w:rsidRPr="00D6722B">
        <w:rPr>
          <w:noProof/>
        </w:rPr>
        <w:t xml:space="preserve">(Ueda </w:t>
      </w:r>
      <w:r w:rsidRPr="00D6722B">
        <w:rPr>
          <w:i/>
          <w:noProof/>
        </w:rPr>
        <w:t>et al.</w:t>
      </w:r>
      <w:r w:rsidRPr="00D6722B">
        <w:rPr>
          <w:noProof/>
        </w:rPr>
        <w:t>, 1991)</w:t>
      </w:r>
      <w:r w:rsidR="005C0E76" w:rsidRPr="00D6722B">
        <w:fldChar w:fldCharType="end"/>
      </w:r>
      <w:r w:rsidRPr="00D6722B">
        <w:t xml:space="preserve">, with a moderate drop in incorporation efficiency with each additional nucleotide replaced by a PS analogue </w:t>
      </w:r>
      <w:r w:rsidR="005C0E76" w:rsidRPr="00D6722B">
        <w:fldChar w:fldCharType="begin" w:fldLock="1"/>
      </w:r>
      <w:r w:rsidRPr="00D6722B">
        <w:instrText>ADDIN CSL_CITATION {"citationItems":[{"id":"ITEM-1","itemData":{"DOI":"10.1002/0471142700.nc0906s56","ISSN":"1934-9289","PMID":"25606981","abstract":"Incorporation of modified nucleotides into in vitro RNA or DNA selections offers many potential advantages, such as the increased stability of selected nucleic acids against nuclease degradation, improved affinities, expanded chemical functionality, and increased library diversity. This unit provides useful information and protocols for in vitro selection using modified nucleotides. It includes a discussion of when to use modified nucleotides; protocols for evaluating and optimizing transcription reactions, as well as confirming the incorporation of the modified nucleotides; protocols for evaluating modified nucleotide transcripts as template in reverse transcription reactions; protocols for the evaluation of the fidelity of modified nucleotides in the replication and the regeneration of the pool; and a protocol to compare modified nucleotide pools and selection conditions.","author":[{"dropping-particle":"","family":"Stovall","given":"Gwendolyn M","non-dropping-particle":"","parse-names":false,"suffix":""},{"dropping-particle":"","family":"Bedenbaugh","given":"Robert S","non-dropping-particle":"","parse-names":false,"suffix":""},{"dropping-particle":"","family":"Singh","given":"Shruti","non-dropping-particle":"","parse-names":false,"suffix":""},{"dropping-particle":"","family":"Meyer","given":"Adam J","non-dropping-particle":"","parse-names":false,"suffix":""},{"dropping-particle":"","family":"Hatala","given":"Paul J","non-dropping-particle":"","parse-names":false,"suffix":""},{"dropping-particle":"","family":"Ellington","given":"Andrew D","non-dropping-particle":"","parse-names":false,"suffix":""},{"dropping-particle":"","family":"Hall","given":"Bradley","non-dropping-particle":"","parse-names":false,"suffix":""}],"container-title":"Current protocols in nucleic acid chemistry","id":"ITEM-1","issued":{"date-parts":[["2014","3","26"]]},"page":"9.6.1-33","publisher":"NIH Public Access","title":"In vitro selection using modified or unnatural nucleotides.","type":"article-journal","volume":"56"},"uris":["http://www.mendeley.com/documents/?uuid=08e0e53d-3451-3af6-9266-3feb1a15779e"]}],"mendeley":{"formattedCitation":"(Stovall &lt;i&gt;et al.&lt;/i&gt;, 2014)","plainTextFormattedCitation":"(Stovall et al., 2014)","previouslyFormattedCitation":"(Stovall &lt;i&gt;et al.&lt;/i&gt;, 2014)"},"properties":{"noteIndex":0},"schema":"https://github.com/citation-style-language/schema/raw/master/csl-citation.json"}</w:instrText>
      </w:r>
      <w:r w:rsidR="005C0E76" w:rsidRPr="00D6722B">
        <w:fldChar w:fldCharType="separate"/>
      </w:r>
      <w:r w:rsidRPr="00D6722B">
        <w:rPr>
          <w:noProof/>
        </w:rPr>
        <w:t xml:space="preserve">(Stovall </w:t>
      </w:r>
      <w:r w:rsidRPr="00D6722B">
        <w:rPr>
          <w:i/>
          <w:noProof/>
        </w:rPr>
        <w:t>et al.</w:t>
      </w:r>
      <w:r w:rsidRPr="00D6722B">
        <w:rPr>
          <w:noProof/>
        </w:rPr>
        <w:t>, 2014)</w:t>
      </w:r>
      <w:r w:rsidR="005C0E76" w:rsidRPr="00D6722B">
        <w:fldChar w:fldCharType="end"/>
      </w:r>
      <w:r w:rsidR="002D5079" w:rsidRPr="00D6722B">
        <w:t>. Furthermore, p</w:t>
      </w:r>
      <w:r w:rsidRPr="00D6722B">
        <w:t xml:space="preserve">hosphate molecules are a direct precursor for nucleotide </w:t>
      </w:r>
      <w:r w:rsidR="00B824BF">
        <w:t>bio</w:t>
      </w:r>
      <w:r w:rsidRPr="00D6722B">
        <w:t>synthesis in cells</w:t>
      </w:r>
      <w:r w:rsidR="002D5079" w:rsidRPr="00D6722B">
        <w:t xml:space="preserve"> </w:t>
      </w:r>
      <w:r w:rsidR="005C0E76" w:rsidRPr="00D6722B">
        <w:fldChar w:fldCharType="begin" w:fldLock="1"/>
      </w:r>
      <w:r w:rsidR="002D5079" w:rsidRPr="00D6722B">
        <w:instrText>ADDIN CSL_CITATION {"citationItems":[{"id":"ITEM-1","itemData":{"DOI":"10.1093/nar/gkv047","ISBN":"1362-4962 (Electronic)\\r0305-1048 (Linking)","ISSN":"13624962","PMID":"25628363","abstract":"Nucleotides are required for a wide variety of biological processes and are constantly synthesized de novo in all cells. When cells proliferate, increased nucleotide synthesis is necessary for DNA replication and for RNA production to support protein synthesis at different stages of the cell cycle, during which these events are regulated at multiple levels. Therefore the synthesis of the precursor nucleotides is also strongly regulated at multiple levels. Nucleotide synthesis is an energy intensive process that uses multiple metabolic pathways across different cell compartments and several sources of carbon and nitrogen. The processes are regulated at the transcription level by a set of master transcription factors but also at the enzyme level by allosteric regulation and feedback inhibition. Here we review the cellular demands of nucleotide biosynthesis, their metabolic pathways and mechanisms of regulation during the cell cycle. The use of stable isotope tracers for delineating the biosynthetic routes of the multiple intersecting pathways and how these are quantitatively controlled under different conditions is also highlighted. Moreover, the importance of nucleotide synthesis for cell viability is discussed and how this may lead to potential new approaches to drug development in diseases such as cancer.","author":[{"dropping-particle":"","family":"Lane","given":"Andrew N.","non-dropping-particle":"","parse-names":false,"suffix":""},{"dropping-particle":"","family":"Fan","given":"Teresa W.M.","non-dropping-particle":"","parse-names":false,"suffix":""}],"container-title":"Nucleic Acids Research","id":"ITEM-1","issue":"4","issued":{"date-parts":[["2015"]]},"page":"2466-2485","title":"Regulation of mammalian nucleotide metabolism and biosynthesis","type":"article-journal","volume":"43"},"uris":["http://www.mendeley.com/documents/?uuid=b4218fa5-203b-45cf-833c-7a8e2756a968"]}],"mendeley":{"formattedCitation":"(Lane and Fan, 2015)","plainTextFormattedCitation":"(Lane and Fan, 2015)","previouslyFormattedCitation":"(Lane and Fan, 2015)"},"properties":{"noteIndex":0},"schema":"https://github.com/citation-style-language/schema/raw/master/csl-citation.json"}</w:instrText>
      </w:r>
      <w:r w:rsidR="005C0E76" w:rsidRPr="00D6722B">
        <w:fldChar w:fldCharType="separate"/>
      </w:r>
      <w:r w:rsidR="002D5079" w:rsidRPr="00D6722B">
        <w:rPr>
          <w:noProof/>
        </w:rPr>
        <w:t>(Lane and Fan, 2015)</w:t>
      </w:r>
      <w:r w:rsidR="005C0E76" w:rsidRPr="00D6722B">
        <w:fldChar w:fldCharType="end"/>
      </w:r>
      <w:r w:rsidR="002D5079" w:rsidRPr="00D6722B">
        <w:t>,</w:t>
      </w:r>
      <w:r w:rsidRPr="00D6722B">
        <w:t xml:space="preserve"> and thiophosphate has been shown to be tolerated in cell media </w:t>
      </w:r>
      <w:r w:rsidR="005C0E76" w:rsidRPr="00D6722B">
        <w:fldChar w:fldCharType="begin" w:fldLock="1"/>
      </w:r>
      <w:r w:rsidRPr="00D6722B">
        <w:instrText>ADDIN CSL_CITATION {"citationItems":[{"id":"ITEM-1","itemData":{"DOI":"10.1007/s11010-016-2681-6","ISSN":"15734919","PMID":"26979763","author":[{"dropping-particle":"","family":"Frayne","given":"Elizabeth G.","non-dropping-particle":"","parse-names":false,"suffix":""}],"container-title":"Molecular and Cellular Biochemistry","id":"ITEM-1","issue":"1-2","issued":{"date-parts":[["2016"]]},"page":"111-117","publisher":"Springer US","title":"Conserved mechanism of action of a phosphate analogue in cultured cells","type":"article-journal","volume":"415"},"uris":["http://www.mendeley.com/documents/?uuid=c5c23e50-60ae-405f-add4-c4ba55aa9736"]}],"mendeley":{"formattedCitation":"(Frayne, 2016)","plainTextFormattedCitation":"(Frayne, 2016)","previouslyFormattedCitation":"(Frayne, 2016)"},"properties":{"noteIndex":0},"schema":"https://github.com/citation-style-language/schema/raw/master/csl-citation.json"}</w:instrText>
      </w:r>
      <w:r w:rsidR="005C0E76" w:rsidRPr="00D6722B">
        <w:fldChar w:fldCharType="separate"/>
      </w:r>
      <w:r w:rsidRPr="00D6722B">
        <w:rPr>
          <w:noProof/>
        </w:rPr>
        <w:t>(Frayne, 2016)</w:t>
      </w:r>
      <w:r w:rsidR="005C0E76" w:rsidRPr="00D6722B">
        <w:fldChar w:fldCharType="end"/>
      </w:r>
      <w:r w:rsidR="002D5079" w:rsidRPr="00D6722B">
        <w:t>. In contrast,</w:t>
      </w:r>
      <w:r w:rsidRPr="00D6722B">
        <w:t xml:space="preserve"> the precursor to ribose rings is glucose, and many glucose analogues are metabolically inactive </w:t>
      </w:r>
      <w:r w:rsidR="005C0E76" w:rsidRPr="00D6722B">
        <w:fldChar w:fldCharType="begin" w:fldLock="1"/>
      </w:r>
      <w:r w:rsidRPr="00D6722B">
        <w:instrText>ADDIN CSL_CITATION {"citationItems":[{"id":"ITEM-1","itemData":{"DOI":"10.1371/journal.pone.0187584","ISSN":"1932-6203","abstract":"A glucose analog called 2-deoxy-D-glucose (2DG) has been successfully used to sensitize cancer cells to ROS-inducing cancer treatments such as ionizing radiation, through the inhibition of glycolysis. However, the use of 2DG can be limited by several factors such as availability, non-specific cytotoxicity, and chemoresistance under hypoxic conditions. The purpose of this study was to investigate the use of non-radioactive 2-deoxy-2-fluoro-D-glucose (19FDG), a drug that potentially addresses current limitations of 2DG. The effectiveness of using either 2DG or 19FDG in combination with doxorubicin (Dox) in HeLa cells was determined in both normoxia and hypoxia. We have also shown that under both oxygen conditions, 19FDG-treated cells produce less lactate than 2DG-treated cells, an important finding that suggests improved inhibition of glycolysis, the preferential pathway for cancerous cells. When used in combination with Dox, we have demonstrated a significant decrease in the number of viable cells, with the effect of 19FDG remaining stable across both normoxic and hypoxic conditions. Moreover, the assessment of apoptosis and necrosis revealed that 19FDG maintained its ability to sensitize HeLa cells to Dox in hypoxia, but 2DG was only effective under normoxic conditions. The retained effectiveness of 19FDG in combination with Dox under hypoxic conditions, suggests that 19FDG may be efficacious for sensitizing hypoxic regions of solid tumour masses. Importantly, the ability of 19FDG to inhibit glucose uptake in vivo was also confirmed using positron emission tomography (PET) of xenograft tumours. The results displayed here suggest 19FDG is a promising combination therapy, which may lead to decreased ROS scavenging via glycolysis, and enhanced treatment success.","author":[{"dropping-particle":"","family":"Niccoli","given":"Sarah","non-dropping-particle":"","parse-names":false,"suffix":""},{"dropping-particle":"","family":"Boreham","given":"Douglas R.","non-dropping-particle":"","parse-names":false,"suffix":""},{"dropping-particle":"","family":"Phenix","given":"Christopher P.","non-dropping-particle":"","parse-names":false,"suffix":""},{"dropping-particle":"","family":"Lees","given":"Simon J.","non-dropping-particle":"","parse-names":false,"suffix":""}],"container-title":"PLOS ONE","editor":[{"dropping-particle":"","family":"Moreno-Sanchez","given":"Rafael","non-dropping-particle":"","parse-names":false,"suffix":""}],"id":"ITEM-1","issue":"11","issued":{"date-parts":[["2017","11","2"]]},"page":"e0187584","publisher":"Public Library of Science","title":"Non-radioactive 2-deoxy-2-fluoro-D-glucose inhibits glucose uptake in xenograft tumours and sensitizes HeLa cells to doxorubicin in vitro","type":"article-journal","volume":"12"},"uris":["http://www.mendeley.com/documents/?uuid=9d5a4b3c-cf9e-3d43-a779-4c1e16993d08"]}],"mendeley":{"formattedCitation":"(Niccoli &lt;i&gt;et al.&lt;/i&gt;, 2017)","plainTextFormattedCitation":"(Niccoli et al., 2017)","previouslyFormattedCitation":"(Niccoli &lt;i&gt;et al.&lt;/i&gt;, 2017)"},"properties":{"noteIndex":0},"schema":"https://github.com/citation-style-language/schema/raw/master/csl-citation.json"}</w:instrText>
      </w:r>
      <w:r w:rsidR="005C0E76" w:rsidRPr="00D6722B">
        <w:fldChar w:fldCharType="separate"/>
      </w:r>
      <w:r w:rsidRPr="00D6722B">
        <w:rPr>
          <w:noProof/>
        </w:rPr>
        <w:t xml:space="preserve">(Niccoli </w:t>
      </w:r>
      <w:r w:rsidRPr="00D6722B">
        <w:rPr>
          <w:i/>
          <w:noProof/>
        </w:rPr>
        <w:t>et al.</w:t>
      </w:r>
      <w:r w:rsidRPr="00D6722B">
        <w:rPr>
          <w:noProof/>
        </w:rPr>
        <w:t>, 2017)</w:t>
      </w:r>
      <w:r w:rsidR="005C0E76" w:rsidRPr="00D6722B">
        <w:fldChar w:fldCharType="end"/>
      </w:r>
      <w:r w:rsidR="002D5079" w:rsidRPr="00D6722B">
        <w:t>. This</w:t>
      </w:r>
      <w:r w:rsidRPr="00D6722B">
        <w:t xml:space="preserve"> means the large scale production of insecticidal dsRNA in microorganisms</w:t>
      </w:r>
      <w:r w:rsidR="002D5079" w:rsidRPr="00D6722B">
        <w:t xml:space="preserve"> </w:t>
      </w:r>
      <w:r w:rsidR="005C0E76" w:rsidRPr="00D6722B">
        <w:fldChar w:fldCharType="begin" w:fldLock="1"/>
      </w:r>
      <w:r w:rsidR="008B707B" w:rsidRPr="00D6722B">
        <w:instrText>ADDIN CSL_CITATION {"citationItems":[{"id":"ITEM-1","itemData":{"DOI":"10.1080/19420889.2016.1236163","ISSN":"19420889","PMID":"28042376","abstract":"RNA interference (RNAi) by oral delivery of dsRNA in insects has great potential  as a tool for integrated pest management (IPM), especially with respect to addressing the need to reduce off-target effect and slow down resistance development to chemical insecticides. Employing the natural association existing between insect and yeast, we developed a novel method to enable the knock down of vital genes in the pest insect Drosophila suzukii through oral delivery of species-specific dsRNA using genetically modified Saccharomyces cerevisae. D. suzukii that were fed with our \"yeast biopesticide\" showed a significant decrease in fitness. In this perspective article, we postulate that this approach could be adapted to a large number of species, given the great diversity of symbiotic interactions involving microorganisms and host species. Furthermore, we speculate that beyond its application as biopesticide, dsRNA delivery by genetically modified microbes can also serve to facilitate reverse genetic applications, specifically in non-model organisms.","author":[{"dropping-particle":"","family":"Abrieux","given":"Antoine","non-dropping-particle":"","parse-names":false,"suffix":""},{"dropping-particle":"","family":"Chiu","given":"Joanna C.","non-dropping-particle":"","parse-names":false,"suffix":""}],"container-title":"Communicative and Integrative Biology","id":"ITEM-1","issue":"6","issued":{"date-parts":[["2016"]]},"page":"1-4","publisher":"Taylor &amp; Francis","title":"Oral delivery of dsRNA by microbes: Beyond pest control","type":"article-journal","volume":"9"},"uris":["http://www.mendeley.com/documents/?uuid=bfd4ab20-beab-425e-ad51-5d252562c5e0"]}],"mendeley":{"formattedCitation":"(Abrieux and Chiu, 2016)","plainTextFormattedCitation":"(Abrieux and Chiu, 2016)","previouslyFormattedCitation":"(Abrieux and Chiu, 2016)"},"properties":{"noteIndex":0},"schema":"https://github.com/citation-style-language/schema/raw/master/csl-citation.json"}</w:instrText>
      </w:r>
      <w:r w:rsidR="005C0E76" w:rsidRPr="00D6722B">
        <w:fldChar w:fldCharType="separate"/>
      </w:r>
      <w:r w:rsidR="002D5079" w:rsidRPr="00D6722B">
        <w:rPr>
          <w:noProof/>
        </w:rPr>
        <w:t>(Abrieux and Chiu, 2016)</w:t>
      </w:r>
      <w:r w:rsidR="005C0E76" w:rsidRPr="00D6722B">
        <w:fldChar w:fldCharType="end"/>
      </w:r>
      <w:r w:rsidRPr="00D6722B">
        <w:t xml:space="preserve"> – </w:t>
      </w:r>
      <w:r w:rsidR="002E6831" w:rsidRPr="00D6722B">
        <w:t>one of the methods that could be used</w:t>
      </w:r>
      <w:r w:rsidRPr="00D6722B">
        <w:t xml:space="preserve"> to produce sufficient quantities for field application – could potentially use modified thiophosphate containing media to incorporate thiophosphate groups during nucleic acid synthesis, whereas ribose </w:t>
      </w:r>
      <w:r w:rsidR="002E6831" w:rsidRPr="00D6722B">
        <w:t xml:space="preserve">or base </w:t>
      </w:r>
      <w:r w:rsidRPr="00D6722B">
        <w:t>modifications cannot</w:t>
      </w:r>
      <w:r w:rsidR="002E6831" w:rsidRPr="00D6722B">
        <w:t xml:space="preserve"> </w:t>
      </w:r>
      <w:r w:rsidR="00B824BF">
        <w:t xml:space="preserve">be </w:t>
      </w:r>
      <w:r w:rsidR="002E6831" w:rsidRPr="00D6722B">
        <w:t>so</w:t>
      </w:r>
      <w:r w:rsidRPr="00D6722B">
        <w:t xml:space="preserve"> easily incorporated on an industrial scale</w:t>
      </w:r>
      <w:r w:rsidR="002D5079" w:rsidRPr="00D6722B">
        <w:t>.</w:t>
      </w:r>
    </w:p>
    <w:p w:rsidR="008B707B" w:rsidRDefault="00D20888" w:rsidP="000441D9">
      <w:pPr>
        <w:spacing w:line="360" w:lineRule="auto"/>
        <w:ind w:firstLine="284"/>
      </w:pPr>
      <w:r>
        <w:t xml:space="preserve">The size of the dsRNAs required for efficient RNAi in insects has an effect on how chemical modifications can be incorporated. </w:t>
      </w:r>
      <w:r w:rsidR="008B707B">
        <w:t xml:space="preserve">Naked delivery of siRNAs and short dsRNAs to insect cells or insects result in low RNAi efficiency, with </w:t>
      </w:r>
      <w:r w:rsidR="007C113C">
        <w:t>mRNA</w:t>
      </w:r>
      <w:r w:rsidR="008B707B">
        <w:t xml:space="preserve"> knockdown dropping rapidly from 80% for a 50 bp dsRNA for shorter dsRNAs, and the highest levels of knockdown only achieved by dsRNAs over 200 bp</w:t>
      </w:r>
      <w:r w:rsidR="00E1154B">
        <w:t xml:space="preserve"> for S2 cells</w:t>
      </w:r>
      <w:r w:rsidR="008B707B">
        <w:t xml:space="preserve"> </w:t>
      </w:r>
      <w:r w:rsidR="005C0E76">
        <w:fldChar w:fldCharType="begin" w:fldLock="1"/>
      </w:r>
      <w:r w:rsidR="008B707B">
        <w:instrText>ADDIN CSL_CITATION {"citationItems":[{"id":"ITEM-1","itemData":{"DOI":"10.1038/ncb1439","ISSN":"1465-7392","PMID":"16862146","abstract":"Many metazoan cells can take up exogenous double-stranded (ds) RNA and use it to initiate an RNA silencing response, however, the mechanism for this uptake is ill-defined. Here, we identify the pathway for dsRNA uptake in Drosophila melanogaster S2 cells. Biochemical and cell biological analyses, and a genome-wide screen for components of the dsRNA-uptake machinery, indicated that dsRNA is taken up by an active process involving receptor-mediated endocytosis. Pharmacological inhibition of endocytic pathways disrupted exogenous dsRNA entry and the induction of gene silencing. This dsRNA uptake mechanism seems to be evolutionarily conserved, as knockdown of orthologues in Caenorhabditis elegans inactivated the RNA interference response in worms. Thus, this entry pathway is required for systemic RNA silencing in whole organisms. In Drosophila cells, pharmacological evidence suggests that dsRNA entry is mediated by pattern-recognition receptors. The possible role of these receptors in dsRNA entry may link RNA interference (RNAi) silencing to other innate immune responses.","author":[{"dropping-particle":"","family":"Saleh","given":"Maria-Carla","non-dropping-particle":"","parse-names":false,"suffix":""},{"dropping-particle":"","family":"Rij","given":"Ronald P","non-dropping-particle":"van","parse-names":false,"suffix":""},{"dropping-particle":"","family":"Hekele","given":"Armin","non-dropping-particle":"","parse-names":false,"suffix":""},{"dropping-particle":"","family":"Gillis","given":"Amethyst","non-dropping-particle":"","parse-names":false,"suffix":""},{"dropping-particle":"","family":"Foley","given":"Edan","non-dropping-particle":"","parse-names":false,"suffix":""},{"dropping-particle":"","family":"O'Farrell","given":"Patrick H","non-dropping-particle":"","parse-names":false,"suffix":""},{"dropping-particle":"","family":"Andino","given":"Raul","non-dropping-particle":"","parse-names":false,"suffix":""}],"container-title":"Nature cell biology","id":"ITEM-1","issue":"8","issued":{"date-parts":[["2006","8"]]},"page":"793-802","publisher":"NIH Public Access","title":"The endocytic pathway mediates cell entry of dsRNA to induce RNAi silencing.","type":"article-journal","volume":"8"},"uris":["http://www.mendeley.com/documents/?uuid=ab13e65d-1986-3961-be2f-6e0cd4e698cc"]}],"mendeley":{"formattedCitation":"(Saleh, Ronald P van Rij, &lt;i&gt;et al.&lt;/i&gt;, 2006)","plainTextFormattedCitation":"(Saleh, Ronald P van Rij, et al., 2006)","previouslyFormattedCitation":"(Saleh, Ronald P van Rij, &lt;i&gt;et al.&lt;/i&gt;, 2006)"},"properties":{"noteIndex":0},"schema":"https://github.com/citation-style-language/schema/raw/master/csl-citation.json"}</w:instrText>
      </w:r>
      <w:r w:rsidR="005C0E76">
        <w:fldChar w:fldCharType="separate"/>
      </w:r>
      <w:r w:rsidR="008B707B" w:rsidRPr="007718BF">
        <w:rPr>
          <w:noProof/>
        </w:rPr>
        <w:t xml:space="preserve">(Saleh, Ronald P van Rij, </w:t>
      </w:r>
      <w:r w:rsidR="008B707B" w:rsidRPr="007718BF">
        <w:rPr>
          <w:i/>
          <w:noProof/>
        </w:rPr>
        <w:t>et al.</w:t>
      </w:r>
      <w:r w:rsidR="008B707B" w:rsidRPr="007718BF">
        <w:rPr>
          <w:noProof/>
        </w:rPr>
        <w:t>, 2006)</w:t>
      </w:r>
      <w:r w:rsidR="005C0E76">
        <w:fldChar w:fldCharType="end"/>
      </w:r>
      <w:r w:rsidR="008B707B">
        <w:t>.</w:t>
      </w:r>
      <w:r w:rsidR="00E1154B">
        <w:t xml:space="preserve"> In some species longer dsRNAs are required for successful silencing in live insects, for example dsRNAs of around 300 bp are needed for high levels of mortality in Colorado potato beetle </w:t>
      </w:r>
      <w:r w:rsidR="005C0E76">
        <w:fldChar w:fldCharType="begin" w:fldLock="1"/>
      </w:r>
      <w:r w:rsidR="004F5C82">
        <w:instrText>ADDIN CSL_CITATION {"citationItems":[{"id":"ITEM-1","itemData":{"DOI":"10.1002/ps.4056","ISSN":"1526498X","author":[{"dropping-particle":"","family":"San Miguel","given":"Keri","non-dropping-particle":"","parse-names":false,"suffix":""},{"dropping-particle":"","family":"Scott","given":"Jeffrey G","non-dropping-particle":"","parse-names":false,"suffix":""}],"container-title":"Pest Management Science","id":"ITEM-1","issue":"February","issued":{"date-parts":[["2015"]]},"page":"n/a-n/a","title":"The next generation of insecticides: dsRNA is stable as a foliar-applied insecticide","type":"article-journal"},"uris":["http://www.mendeley.com/documents/?uuid=0e666d3c-1776-452f-ae6b-c802a97ac443"]}],"mendeley":{"formattedCitation":"(San Miguel and Scott, 2015)","plainTextFormattedCitation":"(San Miguel and Scott, 2015)","previouslyFormattedCitation":"(San Miguel and Scott, 2015)"},"properties":{"noteIndex":0},"schema":"https://github.com/citation-style-language/schema/raw/master/csl-citation.json"}</w:instrText>
      </w:r>
      <w:r w:rsidR="005C0E76">
        <w:fldChar w:fldCharType="separate"/>
      </w:r>
      <w:r w:rsidR="00E1154B" w:rsidRPr="00E1154B">
        <w:rPr>
          <w:noProof/>
        </w:rPr>
        <w:t>(San Miguel and Scott, 2015)</w:t>
      </w:r>
      <w:r w:rsidR="005C0E76">
        <w:fldChar w:fldCharType="end"/>
      </w:r>
      <w:r w:rsidR="00E1154B">
        <w:t>.</w:t>
      </w:r>
      <w:r w:rsidR="008B707B">
        <w:t xml:space="preserve"> Long dsRNAs are therefore the active molecule for </w:t>
      </w:r>
      <w:r w:rsidR="007C113C">
        <w:t>RNA based</w:t>
      </w:r>
      <w:r w:rsidR="008B707B">
        <w:t xml:space="preserve"> insecticides. siRNAs are usually synthesised sequentially by a solid phase method which adds one nucleotide at a time to the growing RNA chain </w:t>
      </w:r>
      <w:r w:rsidR="005C0E76">
        <w:fldChar w:fldCharType="begin" w:fldLock="1"/>
      </w:r>
      <w:r w:rsidR="008B707B">
        <w:instrText>ADDIN CSL_CITATION {"citationItems":[{"id":"ITEM-1","itemData":{"DOI":"10.1038/ncomms7317","ISSN":"2041-1723","abstract":"Therapeutic oligonucleotides can be made more stable by substituting their achiral phosphodiester groups for chiral phosphorothioate linkages. Here, the authors present a synthesis of phosphorothioated RNAs, where the activator controls strand stereochemistry, and also the activity of assembled siRNA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Communications","id":"ITEM-1","issue":"1","issued":{"date-parts":[["2015","12","6"]]},"page":"6317","publisher":"Nature Publishing Group","title":"Stereochemical bias introduced during RNA synthesis modulates the activity of phosphorothioate siRNAs","type":"article-journal","volume":"6"},"uris":["http://www.mendeley.com/documents/?uuid=94ae2c08-2a07-3a78-8de6-1074a96ed422"]}],"mendeley":{"formattedCitation":"(Jahns &lt;i&gt;et al.&lt;/i&gt;, 2015b)","plainTextFormattedCitation":"(Jahns et al., 2015b)","previouslyFormattedCitation":"(Jahns &lt;i&gt;et al.&lt;/i&gt;, 2015b)"},"properties":{"noteIndex":0},"schema":"https://github.com/citation-style-language/schema/raw/master/csl-citation.json"}</w:instrText>
      </w:r>
      <w:r w:rsidR="005C0E76">
        <w:fldChar w:fldCharType="separate"/>
      </w:r>
      <w:r w:rsidR="008B707B" w:rsidRPr="007718BF">
        <w:rPr>
          <w:noProof/>
        </w:rPr>
        <w:t xml:space="preserve">(Jahns </w:t>
      </w:r>
      <w:r w:rsidR="008B707B" w:rsidRPr="007718BF">
        <w:rPr>
          <w:i/>
          <w:noProof/>
        </w:rPr>
        <w:t>et al.</w:t>
      </w:r>
      <w:r w:rsidR="008B707B" w:rsidRPr="007718BF">
        <w:rPr>
          <w:noProof/>
        </w:rPr>
        <w:t>, 2015b)</w:t>
      </w:r>
      <w:r w:rsidR="005C0E76">
        <w:fldChar w:fldCharType="end"/>
      </w:r>
      <w:r w:rsidR="008B707B">
        <w:t xml:space="preserve">, and allows for particular chemically modified nucleotides to be added at certain positions along the siRNA. This method is impractical and costly for the long dsRNAs required for </w:t>
      </w:r>
      <w:r w:rsidR="007C113C">
        <w:t>dsRNA based</w:t>
      </w:r>
      <w:r w:rsidR="008B707B">
        <w:t xml:space="preserve"> insecticides, therefore enzymatic synthesis is the most practical synthesis method </w:t>
      </w:r>
      <w:r w:rsidR="005C0E76">
        <w:fldChar w:fldCharType="begin" w:fldLock="1"/>
      </w:r>
      <w:r w:rsidR="008B707B">
        <w:instrText>ADDIN CSL_CITATION {"citationItems":[{"id":"ITEM-1","itemData":{"ISBN":"0305-1048","ISSN":"0305-1048","PMID":"7541130","abstract":"For the first time mosaic nucleic acids composed of 50% RNA and 50% DNA can be obtained as transcripts with T7 RNA polymerase. Two NTPs could be replaced simultaneously in a transcription reaction. This means more than 40 deoxynucleotides were inserted in one transcript. Previously, a maximum of two deoxynucleotides could be incorporated and 2'-O-methyl-NTPs were not substrates at all. We obtained reasonable transcript yields with a maximal level of 99% 2'-O-methyl-NTPs, and the products contained up to 58% 2'-O-methylnucleotides at more than 20 positions. Sequence-specific nucleotide incorporation was monitored by sequence ladders (partial alkali or iodine cleavage). No base misincorporations were detected with 100% dGTP, dCTP and dTTP, and with partial incorporation of dATP alpha S, 2'-O-methyl-GTP alpha S and 2'-O-methyl-CTP alpha S, whereas they were found with dATP, 2'-O-methyl-ATP alpha S and 2'-O-methyl-UTP alpha S. Quantitative data allow predetermined modification levels of partially modified transcripts. Highly modified transcripts can be used for structural and functional studies, in modification interference approaches and for in vitro evolution procedures. Modification interference studies revealed a small number of important phosphate and ribose moieties in RNase P substrates. The conversion of T7 RNA polymerase to a DNA polymerase extends the observation that there is no absolute distinction between RNA and DNA polymerases. Accordingly, an adapted concept of a primordial RNA world is presented.","author":[{"dropping-particle":"","family":"Conrad","given":"F","non-dropping-particle":"","parse-names":false,"suffix":""},{"dropping-particle":"","family":"Hanne","given":"a","non-dropping-particle":"","parse-names":false,"suffix":""},{"dropping-particle":"","family":"Gaur","given":"R K","non-dropping-particle":"","parse-names":false,"suffix":""},{"dropping-particle":"","family":"Krupp","given":"G","non-dropping-particle":"","parse-names":false,"suffix":""}],"container-title":"Nucleic acids research","id":"ITEM-1","issue":"11","issued":{"date-parts":[["1995"]]},"page":"1845-53","title":"Enzymatic synthesis of 2'-modified nucleic acids: identification of important phosphate and ribose moieties in RNase P substrates.","type":"article-journal","volume":"23"},"uris":["http://www.mendeley.com/documents/?uuid=e974ed1e-0032-47fb-aeae-f019ee56bb19"]}],"mendeley":{"formattedCitation":"(Conrad &lt;i&gt;et al.&lt;/i&gt;, 1995)","plainTextFormattedCitation":"(Conrad et al., 1995)","previouslyFormattedCitation":"(Conrad &lt;i&gt;et al.&lt;/i&gt;, 1995)"},"properties":{"noteIndex":0},"schema":"https://github.com/citation-style-language/schema/raw/master/csl-citation.json"}</w:instrText>
      </w:r>
      <w:r w:rsidR="005C0E76">
        <w:fldChar w:fldCharType="separate"/>
      </w:r>
      <w:r w:rsidR="008B707B" w:rsidRPr="007718BF">
        <w:rPr>
          <w:noProof/>
        </w:rPr>
        <w:t xml:space="preserve">(Conrad </w:t>
      </w:r>
      <w:r w:rsidR="008B707B" w:rsidRPr="007718BF">
        <w:rPr>
          <w:i/>
          <w:noProof/>
        </w:rPr>
        <w:t>et al.</w:t>
      </w:r>
      <w:r w:rsidR="008B707B" w:rsidRPr="007718BF">
        <w:rPr>
          <w:noProof/>
        </w:rPr>
        <w:t>, 1995)</w:t>
      </w:r>
      <w:r w:rsidR="005C0E76">
        <w:fldChar w:fldCharType="end"/>
      </w:r>
      <w:r w:rsidR="008B707B">
        <w:t xml:space="preserve"> (discussed further </w:t>
      </w:r>
      <w:r w:rsidR="008B707B" w:rsidRPr="00ED2E5F">
        <w:t>in section 3.</w:t>
      </w:r>
      <w:r w:rsidR="00ED2E5F" w:rsidRPr="00ED2E5F">
        <w:t>2</w:t>
      </w:r>
      <w:r w:rsidR="008B707B" w:rsidRPr="00ED2E5F">
        <w:t>). However</w:t>
      </w:r>
      <w:r w:rsidR="008B707B">
        <w:t xml:space="preserve">, enzymatic synthesis of dsRNA limits the inclusion of chemical modifications to replacing all of one nucleotide with a chemically modified analogue throughout the dsRNA molecule, thereby limiting control over the combination and location of chemical modifications within the final active siRNAs derived from the dsRNA. Many chemically modified siRNAs contain a wide range of </w:t>
      </w:r>
      <w:r w:rsidR="007E0E3D">
        <w:t xml:space="preserve">different </w:t>
      </w:r>
      <w:r w:rsidR="008B707B">
        <w:t xml:space="preserve">chemical modifications at certain positions </w:t>
      </w:r>
      <w:r w:rsidR="005C0E76">
        <w:fldChar w:fldCharType="begin" w:fldLock="1"/>
      </w:r>
      <w:r w:rsidR="00C44B4D">
        <w:instrText>ADDIN CSL_CITATION {"citationItems":[{"id":"ITEM-1","itemData":{"DOI":"10.1021/jacs.6b04454","ISSN":"0002-7863","abstract":"Incorporation of chemical modifications into small interfering RNAs (siRNAs) increases their metabolic stability and improves their tissue distribution. However, how these modifications impact interactions with Argonaute-2 (Ago2), the molecular target of siRNAs, is not known. Herein we present the crystal structure of human Ago2 bound to a metabolically stable siRNA containing extensive backbone modifications. Comparison to the structure of an equivalent unmodified-siRNA complex indicates that the structure of Ago2 is relatively unaffected by chemical modifications in the bound siRNA. In contrast, the modified siRNA appears to be much more plastic and shifts, relative to the unmodified siRNA, to optimize contacts with Ago2. Structure–activity analysis reveals that even major conformational perturbations in the 3′ half of the siRNA seed region have a relatively modest effect on knockdown potency. These findings provide an explanation for a variety of modification patterns tolerated in siRNAs and a structur...","author":[{"dropping-particle":"","family":"Schirle","given":"Nicole T.","non-dropping-particle":"","parse-names":false,"suffix":""},{"dropping-particle":"","family":"Kinberger","given":"Garth A.","non-dropping-particle":"","parse-names":false,"suffix":""},{"dropping-particle":"","family":"Murray","given":"Heather F.","non-dropping-particle":"","parse-names":false,"suffix":""},{"dropping-particle":"","family":"Lima","given":"Walt F.","non-dropping-particle":"","parse-names":false,"suffix":""},{"dropping-particle":"","family":"Prakash","given":"Thazha P.","non-dropping-particle":"","parse-names":false,"suffix":""},{"dropping-particle":"","family":"MacRae","given":"Ian J.","non-dropping-particle":"","parse-names":false,"suffix":""}],"container-title":"Journal of the American Chemical Society","id":"ITEM-1","issue":"28","issued":{"date-parts":[["2016","7","20"]]},"page":"8694-8697","publisher":"American Chemical Society","title":"Structural Analysis of Human Argonaute-2 Bound to a Modified siRNA Guide","type":"article-journal","volume":"138"},"uris":["http://www.mendeley.com/documents/?uuid=b45e7b7a-f26a-3ea7-9ef1-f0e0965079b4"]},{"id":"ITEM-2","itemData":{"DOI":"10.1016/j.cell.2012.08.014","ISBN":"1097-4172 (Electronic)\\n0092-8674 (Linking)","ISSN":"00928674","PMID":"22939618","abstract":"The therapeutic utility of siRNAs is limited by the requirement for complex formulations to deliver them to tissues. If potent single-stranded RNAs could be identified, they would provide a simpler path to pharmacological agents. Here, we describe single-stranded siRNAs (ss-siRNAs) that silence gene expression in animals absent lipid formulation. Effective ss-siRNAs were identified by iterative design by determining structure-activity relationships correlating chemically modified single strands and Argonaute 2 (AGO2) activities, potency in cells, nuclease stability, and pharmacokinetics. We find that the passenger strand is not necessary for potent gene silencing. The guide-strand activity requires AGO2, demonstrating action through the RNAi pathway. ss-siRNA action requires a 5??? phosphate to achieve activity in vivo, and we developed a metabolically stable 5???-(E)-vinylphosphonate (5???-VP) with conformation and sterioelectronic properties similar to the natural phosphate. Identification of potent ss-siRNAs offers an additional option for RNAi therapeutics and an alternate perspective on RNAi mechanism. ?? 2012 Elsevier Inc.","author":[{"dropping-particle":"","family":"Lima","given":"Walt F.","non-dropping-particle":"","parse-names":false,"suffix":""},{"dropping-particle":"","family":"Prakash","given":"Thazha P.","non-dropping-particle":"","parse-names":false,"suffix":""},{"dropping-particle":"","family":"Murray","given":"Heather M.","non-dropping-particle":"","parse-names":false,"suffix":""},{"dropping-particle":"","family":"Kinberger","given":"Garth a.","non-dropping-particle":"","parse-names":false,"suffix":""},{"dropping-particle":"","family":"Li","given":"Wenyu","non-dropping-particle":"","parse-names":false,"suffix":""},{"dropping-particle":"","family":"Chappell","given":"Alfred E.","non-dropping-particle":"","parse-names":false,"suffix":""},{"dropping-particle":"","family":"Li","given":"Cheryl S.","non-dropping-particle":"","parse-names":false,"suffix":""},{"dropping-particle":"","family":"Murray","given":"Susan F.","non-dropping-particle":"","parse-names":false,"suffix":""},{"dropping-particle":"","family":"Gaus","given":"Hans","non-dropping-particle":"","parse-names":false,"suffix":""},{"dropping-particle":"","family":"Seth","given":"Punit P.","non-dropping-particle":"","parse-names":false,"suffix":""},{"dropping-particle":"","family":"Swayze","given":"Eric E.","non-dropping-particle":"","parse-names":false,"suffix":""},{"dropping-particle":"","family":"Crooke","given":"Stanley T.","non-dropping-particle":"","parse-names":false,"suffix":""}],"container-title":"Cell","id":"ITEM-2","issue":"5","issued":{"date-parts":[["2012"]]},"page":"883-894","title":"Single-stranded siRNAs activate RNAi in animals","type":"article-journal","volume":"150"},"uris":["http://www.mendeley.com/documents/?uuid=e48c26ed-f193-4362-8f77-f52acb596b63"]},{"id":"ITEM-3","itemData":{"DOI":"10.1093/nar/gkx1239","ISSN":"0305-1048","author":[{"dropping-particle":"","family":"Shen","given":"Xiulong","non-dropping-particle":"","parse-names":false,"suffix":""},{"dropping-particle":"","family":"Corey","given":"David R","non-dropping-particle":"","parse-names":false,"suffix":""}],"container-title":"Nucleic Acids Research","id":"ITEM-3","issue":"4","issued":{"date-parts":[["2018","2","28"]]},"page":"1584-1600","publisher":"Narnia","title":"Chemistry, mechanism and clinical status of antisense oligonucleotides and duplex RNAs","type":"article-journal","volume":"46"},"uris":["http://www.mendeley.com/documents/?uuid=005e68f5-ed4a-3ec6-bc6b-31aa77bbeb2d"]}],"mendeley":{"formattedCitation":"(Lima &lt;i&gt;et al.&lt;/i&gt;, 2012; Schirle &lt;i&gt;et al.&lt;/i&gt;, 2016; Shen and Corey, 2018a)","plainTextFormattedCitation":"(Lima et al., 2012; Schirle et al., 2016; Shen and Corey, 2018a)","previouslyFormattedCitation":"(Lima &lt;i&gt;et al.&lt;/i&gt;, 2012; Schirle &lt;i&gt;et al.&lt;/i&gt;, 2016; Shen and Corey, 2018a)"},"properties":{"noteIndex":0},"schema":"https://github.com/citation-style-language/schema/raw/master/csl-citation.json"}</w:instrText>
      </w:r>
      <w:r w:rsidR="005C0E76">
        <w:fldChar w:fldCharType="separate"/>
      </w:r>
      <w:r w:rsidR="00C44B4D" w:rsidRPr="00C44B4D">
        <w:rPr>
          <w:noProof/>
        </w:rPr>
        <w:t xml:space="preserve">(Lima </w:t>
      </w:r>
      <w:r w:rsidR="00C44B4D" w:rsidRPr="00C44B4D">
        <w:rPr>
          <w:i/>
          <w:noProof/>
        </w:rPr>
        <w:t>et al.</w:t>
      </w:r>
      <w:r w:rsidR="00C44B4D" w:rsidRPr="00C44B4D">
        <w:rPr>
          <w:noProof/>
        </w:rPr>
        <w:t xml:space="preserve">, 2012; Schirle </w:t>
      </w:r>
      <w:r w:rsidR="00C44B4D" w:rsidRPr="00C44B4D">
        <w:rPr>
          <w:i/>
          <w:noProof/>
        </w:rPr>
        <w:t>et al.</w:t>
      </w:r>
      <w:r w:rsidR="00C44B4D" w:rsidRPr="00C44B4D">
        <w:rPr>
          <w:noProof/>
        </w:rPr>
        <w:t>, 2016; Shen and Corey, 2018a)</w:t>
      </w:r>
      <w:r w:rsidR="005C0E76">
        <w:fldChar w:fldCharType="end"/>
      </w:r>
      <w:r w:rsidR="008B707B">
        <w:t xml:space="preserve"> and the same fine-scale control of the location of dsRNA chemical modifications is impractical in insects. </w:t>
      </w:r>
    </w:p>
    <w:p w:rsidR="00584800" w:rsidRPr="00553E65" w:rsidRDefault="00584800" w:rsidP="000441D9">
      <w:pPr>
        <w:spacing w:line="360" w:lineRule="auto"/>
        <w:ind w:firstLine="284"/>
      </w:pPr>
      <w:r w:rsidRPr="00D6722B">
        <w:t xml:space="preserve">It has previously been determined that the presence of modifications in only one of the two strands of an siRNA can affect the RNAi activity of the probe. </w:t>
      </w:r>
      <w:r w:rsidR="007E0E3D" w:rsidRPr="00D6722B">
        <w:t>A good</w:t>
      </w:r>
      <w:r w:rsidRPr="00D6722B">
        <w:t xml:space="preserve"> example of this is the presence of unlocked nucleic acid (UNA) residues in the</w:t>
      </w:r>
      <w:r w:rsidR="00553E65" w:rsidRPr="00D6722B">
        <w:t xml:space="preserve"> 5’ end of only the</w:t>
      </w:r>
      <w:r w:rsidRPr="00D6722B">
        <w:t xml:space="preserve"> passenger strand </w:t>
      </w:r>
      <w:r w:rsidR="00553E65" w:rsidRPr="00D6722B">
        <w:t>of an siRNA</w:t>
      </w:r>
      <w:r w:rsidRPr="00D6722B">
        <w:t xml:space="preserve"> reducing the chances of the passenger strand being incorporated into the RISC complex, therefore </w:t>
      </w:r>
      <w:r w:rsidRPr="00D6722B">
        <w:lastRenderedPageBreak/>
        <w:t xml:space="preserve">favouring the RNAi-active antisense guide strand being incorporated, and increasing the number of active RISC complexes available to induce </w:t>
      </w:r>
      <w:r w:rsidR="00312BCD" w:rsidRPr="00D6722B">
        <w:t>mRNA</w:t>
      </w:r>
      <w:r w:rsidRPr="00D6722B">
        <w:t xml:space="preserve"> knockdown for an equivalent dose of unmodified siRNA </w:t>
      </w:r>
      <w:r w:rsidR="005C0E76" w:rsidRPr="00D6722B">
        <w:fldChar w:fldCharType="begin" w:fldLock="1"/>
      </w:r>
      <w:r w:rsidRPr="00D6722B">
        <w:instrText>ADDIN CSL_CITATION {"citationItems":[{"id":"ITEM-1","itemData":{"DOI":"10.1038/mtna.2013.36","ISSN":"2162-2531","PMID":"23820891","abstract":"Optimization of small interfering RNAs (siRNAs) is important in RNA interference (RNAi)-based therapeutic development. Some specific chemical modifications can control which siRNA strand is selected by the RNA-induced silencing complex (RISC) for gene silencing. Intended strand selection will increase potency and reduce off-target effects from the unintended strand. Sometimes, blocking RISC loading of the unintended strand leads to improved intended strand-silencing potency, but the generality of this phenomenon is unclear. Specifically, unlocked nucleic acid (UNA) modification of the 5' end of canonical (i.e., 19+2) siRNAs abrogates gene silencing of the modified strand, but the fate and potency of the unmodified strand has not been investigated. Here, we show that 5' UNA-modified siRNAs show improved silencing potency of the unmodified strand. We harness this advantageous property in a therapeutic context, where a limited target region in a conserved HIV 5' long terminal repeat U5 region would otherwise yield siRNAs with undesired strand selection properties and poor silencing. Applying 5' UNA modification to the unintended sense (S) strand of these otherwise poorly targeted siRNAs dramatically improves on-target silencing by the intended antisense (AS) strand in pNL4-3.luciferase studies. This study highlights the utility of 5' UNA siRNA modification in therapeutic contexts where siRNA sequence selection is constrained.Molecular Therapy-Nucleic Acids (2013) 2, e103; doi:10.1038/mtna.2013.36; published online 2 July 2013.","author":[{"dropping-particle":"","family":"Snead","given":"Nicholas M","non-dropping-particle":"","parse-names":false,"suffix":""},{"dropping-particle":"","family":"Escamilla-Powers","given":"Julie R","non-dropping-particle":"","parse-names":false,"suffix":""},{"dropping-particle":"","family":"Rossi","given":"John J","non-dropping-particle":"","parse-names":false,"suffix":""},{"dropping-particle":"","family":"McCaffrey","given":"Anton P","non-dropping-particle":"","parse-names":false,"suffix":""}],"container-title":"Molecular therapy. Nucleic acids","id":"ITEM-1","issue":"7","issued":{"date-parts":[["2013","7","2"]]},"page":"e103","publisher":"American Society of Gene &amp; Cell Therapy","title":"5' Unlocked Nucleic Acid Modification Improves siRNA Targeting.","type":"article-journal","volume":"2"},"uris":["http://www.mendeley.com/documents/?uuid=9ca78a0b-c47e-3522-a807-322965cbf323"]}],"mendeley":{"formattedCitation":"(Nicholas M Snead &lt;i&gt;et al.&lt;/i&gt;, 2013)","manualFormatting":"(Snead et al., 2013)","plainTextFormattedCitation":"(Nicholas M Snead et al., 2013)","previouslyFormattedCitation":"(Nicholas M Snead &lt;i&gt;et al.&lt;/i&gt;, 2013)"},"properties":{"noteIndex":0},"schema":"https://github.com/citation-style-language/schema/raw/master/csl-citation.json"}</w:instrText>
      </w:r>
      <w:r w:rsidR="005C0E76" w:rsidRPr="00D6722B">
        <w:fldChar w:fldCharType="separate"/>
      </w:r>
      <w:r w:rsidRPr="00D6722B">
        <w:rPr>
          <w:noProof/>
        </w:rPr>
        <w:t xml:space="preserve">(Snead </w:t>
      </w:r>
      <w:r w:rsidRPr="00D6722B">
        <w:rPr>
          <w:i/>
          <w:noProof/>
        </w:rPr>
        <w:t>et al.</w:t>
      </w:r>
      <w:r w:rsidRPr="00D6722B">
        <w:rPr>
          <w:noProof/>
        </w:rPr>
        <w:t>, 2013)</w:t>
      </w:r>
      <w:r w:rsidR="005C0E76" w:rsidRPr="00D6722B">
        <w:fldChar w:fldCharType="end"/>
      </w:r>
      <w:r w:rsidRPr="00D6722B">
        <w:t xml:space="preserve">. </w:t>
      </w:r>
      <w:r w:rsidR="00553E65" w:rsidRPr="00D6722B">
        <w:t xml:space="preserve">The difference in RNAi efficacy of dsRNA with chemical modifications in one strand or both strands was therefore a further factor for investigation. </w:t>
      </w:r>
      <w:r w:rsidR="007E0E3D" w:rsidRPr="00D6722B">
        <w:t>Many later assays required the use of dsRNA with modifications in only one of the two strands, which therefore had to be produced as separate ssRNAs in separate reactions, and then later annealed to give the final dsRNA</w:t>
      </w:r>
      <w:r w:rsidR="007E0E3D">
        <w:rPr>
          <w:color w:val="00B050"/>
        </w:rPr>
        <w:t xml:space="preserve"> </w:t>
      </w:r>
      <w:r w:rsidR="007E0E3D" w:rsidRPr="00ED2E5F">
        <w:t>(see section</w:t>
      </w:r>
      <w:r w:rsidR="00ED2E5F" w:rsidRPr="00ED2E5F">
        <w:t xml:space="preserve"> 3.3.2)</w:t>
      </w:r>
      <w:r w:rsidR="007E0E3D" w:rsidRPr="00ED2E5F">
        <w:t>.</w:t>
      </w:r>
      <w:r w:rsidR="007E0E3D" w:rsidRPr="00754126">
        <w:rPr>
          <w:color w:val="00B050"/>
        </w:rPr>
        <w:t xml:space="preserve"> </w:t>
      </w:r>
      <w:r w:rsidR="00553E65">
        <w:t xml:space="preserve"> </w:t>
      </w:r>
    </w:p>
    <w:p w:rsidR="00ED1BE5" w:rsidRDefault="002D5079" w:rsidP="000441D9">
      <w:pPr>
        <w:spacing w:line="360" w:lineRule="auto"/>
        <w:ind w:firstLine="284"/>
      </w:pPr>
      <w:r>
        <w:t xml:space="preserve">As Dicer is thought to be redundant for loading of pre-formed exogenous siRNAs into RISCs </w:t>
      </w:r>
      <w:r w:rsidR="005C0E76">
        <w:fldChar w:fldCharType="begin" w:fldLock="1"/>
      </w:r>
      <w:r>
        <w:instrText>ADDIN CSL_CITATION {"citationItems":[{"id":"ITEM-1","itemData":{"DOI":"10.1261/rna.029785.111","ISSN":"1469-9001","PMID":"22106413","abstract":"In flies, asymmetric loading of small RNA duplexes into Argonaute2-containing RNA-induced silencing complex (Ago2-RISC) requires Dicer-2/R2D2 heterodimer, which acts as a protein sensor for the thermodynamic stabilities of the ends of small RNA duplexes. However, the mechanism of small RNA asymmetry sensing in mammalian RISC assembly remains obscure. Here, we quantitatively examined RISC assembly and target silencing activity in the presence or absence of Dicer in mammals. Our data show that, unlike the well-characterized fly Ago2-RISC assembly pathway, mammalian Dicer is dispensable for asymmetric RISC loading in vivo and in vitro.","author":[{"dropping-particle":"","family":"Betancur","given":"Juan G","non-dropping-particle":"","parse-names":false,"suffix":""},{"dropping-particle":"","family":"Tomari","given":"Yukihide","non-dropping-particle":"","parse-names":false,"suffix":""}],"container-title":"RNA (New York, N.Y.)","id":"ITEM-1","issue":"1","issued":{"date-parts":[["2012","1"]]},"page":"24-30","publisher":"Cold Spring Harbor Laboratory Press","title":"Dicer is dispensable for asymmetric RISC loading in mammals.","type":"article-journal","volume":"18"},"uris":["http://www.mendeley.com/documents/?uuid=c1f1a51d-3f23-35cf-bcd0-f654b86ab855"]}],"mendeley":{"formattedCitation":"(Betancur and Tomari, 2012)","plainTextFormattedCitation":"(Betancur and Tomari, 2012)","previouslyFormattedCitation":"(Betancur and Tomari, 2012)"},"properties":{"noteIndex":0},"schema":"https://github.com/citation-style-language/schema/raw/master/csl-citation.json"}</w:instrText>
      </w:r>
      <w:r w:rsidR="005C0E76">
        <w:fldChar w:fldCharType="separate"/>
      </w:r>
      <w:r w:rsidRPr="00641BF9">
        <w:rPr>
          <w:noProof/>
        </w:rPr>
        <w:t>(Betancur and Tomari, 2012)</w:t>
      </w:r>
      <w:r w:rsidR="005C0E76">
        <w:fldChar w:fldCharType="end"/>
      </w:r>
      <w:r>
        <w:t xml:space="preserve">, and is not required to process them in any way from a precursor, whether Dicer processes chemically modified siRNAs has never previously been a factor in determining if modifications are tolerated in mammalian systems for RNAi. However, studies of the cleavage of some chemically modified RNA by the less complex Dicer-like RNase III enzyme have been carried out previously </w:t>
      </w:r>
      <w:r w:rsidR="005C0E76" w:rsidRPr="004D4132">
        <w:fldChar w:fldCharType="begin" w:fldLock="1"/>
      </w:r>
      <w:r w:rsidRPr="004D4132">
        <w:instrText>ADDIN CSL_CITATION {"citationItems":[{"id":"ITEM-1","itemData":{"ISSN":"0305-1048","PMID":"3279395","abstract":"To test the ability of an RNA processing enzyme to cleave chemically-modified RNA substrates, RNA transcripts containing RNase III cleavage sites were enzymatically synthesized in vitro to contain specific phosphorothioate diester internucleotide linkages. One transcript (R1.1 RNA) was generated using phage T7 RNA polymerase and a cloned segment of phage T7 DNA containing the R1.1 RNase III processing site. The second transcript was the phage T7 polycistronic early mRNA precursor, which was synthesized using E. coli RNA polymerase and T7 genomic DNA. The RNA transcripts contained phosphorothioate diester groups at positions including the scissile bonds. The modified RNAs were stable to incubation in Mg2+-containing buffer, and were specifically cleaved by RNase III. RNA oligonucleotide sequence analysis showed that the modified R1.1 RNA processing site was the same as the canonical site and contained a phosphorothioate bond. Furthermore, RNase III cleaved the phosphorothioate internucleotide bond with 5' polarity. RNase III cleavage of phosphorothioate substituted T7 polycistronic early mRNA precursor produced the same gel electrophoretic pattern as that obtained with the control transcript. Thus, RNase III cleavage specificity is not altered by phosphorothioate internucleotide linkages.","author":[{"dropping-particle":"","family":"Nicholson","given":"A W","non-dropping-particle":"","parse-names":false,"suffix":""},{"dropping-particle":"","family":"Niebling","given":"K R","non-dropping-particle":"","parse-names":false,"suffix":""},{"dropping-particle":"","family":"McOsker","given":"P L","non-dropping-particle":"","parse-names":false,"suffix":""},{"dropping-particle":"","family":"Robertson","given":"H D","non-dropping-particle":"","parse-names":false,"suffix":""}],"container-title":"Nucleic acids research","id":"ITEM-1","issue":"4","issued":{"date-parts":[["1988","2","25"]]},"page":"1577-91","publisher":"Oxford University Press","title":"Accurate in vitro cleavage by RNase III of phosphorothioate-substituted RNA processing signals in bacteriophage T7 early mRNA.","type":"article-journal","volume":"16"},"uris":["http://www.mendeley.com/documents/?uuid=6d86f0a3-cc99-3302-acd1-4416b2a7b44f"]}],"mendeley":{"formattedCitation":"(Nicholson &lt;i&gt;et al.&lt;/i&gt;, 1988)","plainTextFormattedCitation":"(Nicholson et al., 1988)","previouslyFormattedCitation":"(Nicholson &lt;i&gt;et al.&lt;/i&gt;, 1988)"},"properties":{"noteIndex":0},"schema":"https://github.com/citation-style-language/schema/raw/master/csl-citation.json"}</w:instrText>
      </w:r>
      <w:r w:rsidR="005C0E76" w:rsidRPr="004D4132">
        <w:fldChar w:fldCharType="separate"/>
      </w:r>
      <w:r w:rsidRPr="004D4132">
        <w:rPr>
          <w:noProof/>
        </w:rPr>
        <w:t xml:space="preserve">(Nicholson </w:t>
      </w:r>
      <w:r w:rsidRPr="004D4132">
        <w:rPr>
          <w:i/>
          <w:noProof/>
        </w:rPr>
        <w:t>et al.</w:t>
      </w:r>
      <w:r w:rsidRPr="004D4132">
        <w:rPr>
          <w:noProof/>
        </w:rPr>
        <w:t>, 1988)</w:t>
      </w:r>
      <w:r w:rsidR="005C0E76" w:rsidRPr="004D4132">
        <w:fldChar w:fldCharType="end"/>
      </w:r>
      <w:r w:rsidRPr="004D4132">
        <w:t>. As</w:t>
      </w:r>
      <w:r>
        <w:t xml:space="preserve"> the current project utilises long dsRNA precursors that need to be processed by Dicer to active siRNAs, and as Dicer has a role in RISC formation in insects, the tolerance of Dicer for chemical modifications is a key point for consideration and investigation</w:t>
      </w:r>
      <w:r w:rsidR="00ED1BE5">
        <w:t>.</w:t>
      </w:r>
    </w:p>
    <w:p w:rsidR="00D90CDA" w:rsidRDefault="00D90CDA" w:rsidP="000441D9">
      <w:pPr>
        <w:spacing w:line="360" w:lineRule="auto"/>
        <w:ind w:firstLine="284"/>
        <w:rPr>
          <w:color w:val="FF0000"/>
        </w:rPr>
      </w:pPr>
    </w:p>
    <w:p w:rsidR="00ED1BE5" w:rsidRPr="00D90CDA" w:rsidRDefault="00ED1BE5" w:rsidP="000441D9">
      <w:pPr>
        <w:spacing w:line="360" w:lineRule="auto"/>
        <w:ind w:firstLine="284"/>
      </w:pPr>
      <w:r w:rsidRPr="00D90CDA">
        <w:t>It was required that we establish that modified long dsRNAs could be efficiently enzymatically synthesised for subsequent use for RNAi in insect cells or live insects; this i</w:t>
      </w:r>
      <w:r w:rsidR="00D6722B">
        <w:t>ssue is examined in chapters 3.</w:t>
      </w:r>
      <w:r w:rsidRPr="00D90CDA">
        <w:t xml:space="preserve"> The ability of Dicer – a key protein in the RNAi machinery – to process chemically modified dsRNA was also examined, and this is covered in chapter 4. Many RNA chemical modifications result in an increase in nuclease resistance which allows the RNA to survive degradation by nucleases, in order to be used for RNAi. This is a key mechanism by which a chemically modified dsRNA might demonstrate improved RNAi efficacy in insects. The effect of chemical modifications on the resistance of nucleic acid to insect nucleases is not known, and so this was also investigated in chapter 4. Finally, as </w:t>
      </w:r>
      <w:r w:rsidRPr="00ED2E5F">
        <w:t>previously discussed</w:t>
      </w:r>
      <w:r w:rsidR="00ED2E5F" w:rsidRPr="00ED2E5F">
        <w:t>,</w:t>
      </w:r>
      <w:r w:rsidRPr="00ED2E5F">
        <w:t xml:space="preserve"> it is not known how efficacious for RNAi chemically modified dsRNA will be overall in insects, and therefore</w:t>
      </w:r>
      <w:r w:rsidRPr="00D90CDA">
        <w:t xml:space="preserve"> the RNAi efficacy of chemically modified dsRNA in insect cells and whole live insect systems is the critical point for consideration.  Establishing that chemically modified dsRNAs could induce RNAi in insect cells was examined in chapter 5. Whether or not an improvement in mRNA knockdown through RNAi in live insects due to increased nuclease resistance from RNA modifications could be detected was investigated and details of this form chapter 6.</w:t>
      </w:r>
    </w:p>
    <w:p w:rsidR="009A3AEC" w:rsidRDefault="009A3AEC" w:rsidP="009A3AEC">
      <w:pPr>
        <w:jc w:val="center"/>
        <w:rPr>
          <w:b/>
        </w:rPr>
      </w:pPr>
    </w:p>
    <w:p w:rsidR="009A3AEC" w:rsidRDefault="009A3AEC" w:rsidP="009A3AEC">
      <w:pPr>
        <w:jc w:val="center"/>
        <w:rPr>
          <w:b/>
        </w:rPr>
      </w:pPr>
    </w:p>
    <w:p w:rsidR="009A3AEC" w:rsidRDefault="009A3AEC" w:rsidP="009A3AEC">
      <w:pPr>
        <w:jc w:val="center"/>
        <w:rPr>
          <w:b/>
        </w:rPr>
      </w:pPr>
    </w:p>
    <w:p w:rsidR="009A3AEC" w:rsidRDefault="009A3AEC" w:rsidP="009A3AEC">
      <w:pPr>
        <w:jc w:val="center"/>
        <w:rPr>
          <w:b/>
        </w:rPr>
        <w:sectPr w:rsidR="009A3AEC" w:rsidSect="0007444A">
          <w:type w:val="continuous"/>
          <w:pgSz w:w="11906" w:h="16838"/>
          <w:pgMar w:top="1440" w:right="1440" w:bottom="1440" w:left="1440" w:header="709" w:footer="709" w:gutter="0"/>
          <w:cols w:space="708"/>
          <w:docGrid w:linePitch="360"/>
        </w:sectPr>
      </w:pPr>
    </w:p>
    <w:p w:rsidR="00F814B9" w:rsidRDefault="00F814B9" w:rsidP="00F814B9">
      <w:pPr>
        <w:spacing w:after="200"/>
        <w:jc w:val="center"/>
        <w:rPr>
          <w:sz w:val="72"/>
          <w:szCs w:val="72"/>
        </w:rPr>
      </w:pPr>
      <w:r>
        <w:rPr>
          <w:sz w:val="72"/>
          <w:szCs w:val="72"/>
        </w:rPr>
        <w:lastRenderedPageBreak/>
        <w:t>Chapter 2</w:t>
      </w:r>
    </w:p>
    <w:p w:rsidR="00F814B9" w:rsidRDefault="00F814B9" w:rsidP="00F814B9">
      <w:pPr>
        <w:spacing w:after="200"/>
        <w:jc w:val="center"/>
        <w:rPr>
          <w:sz w:val="72"/>
          <w:szCs w:val="72"/>
        </w:rPr>
      </w:pPr>
    </w:p>
    <w:p w:rsidR="00CF0AF7" w:rsidRDefault="00CF0AF7" w:rsidP="00F814B9">
      <w:pPr>
        <w:widowControl w:val="0"/>
        <w:autoSpaceDE w:val="0"/>
        <w:autoSpaceDN w:val="0"/>
        <w:adjustRightInd w:val="0"/>
        <w:spacing w:after="120" w:line="240" w:lineRule="auto"/>
        <w:jc w:val="center"/>
        <w:rPr>
          <w:sz w:val="52"/>
          <w:szCs w:val="52"/>
        </w:rPr>
      </w:pPr>
      <w:r>
        <w:rPr>
          <w:sz w:val="52"/>
          <w:szCs w:val="52"/>
        </w:rPr>
        <w:t>Materials and Methods</w:t>
      </w:r>
    </w:p>
    <w:p w:rsidR="00CF0AF7" w:rsidRDefault="00CF0AF7">
      <w:pPr>
        <w:spacing w:after="200"/>
        <w:jc w:val="left"/>
        <w:rPr>
          <w:sz w:val="52"/>
          <w:szCs w:val="52"/>
        </w:rPr>
      </w:pPr>
      <w:r>
        <w:rPr>
          <w:sz w:val="52"/>
          <w:szCs w:val="52"/>
        </w:rPr>
        <w:br w:type="page"/>
      </w:r>
    </w:p>
    <w:p w:rsidR="00CF0AF7" w:rsidRDefault="00CF0AF7" w:rsidP="00CF0AF7">
      <w:pPr>
        <w:pStyle w:val="Heading1"/>
        <w:spacing w:line="360" w:lineRule="auto"/>
      </w:pPr>
      <w:bookmarkStart w:id="31" w:name="_Toc8914958"/>
      <w:bookmarkStart w:id="32" w:name="_Toc35333931"/>
      <w:r>
        <w:lastRenderedPageBreak/>
        <w:t>Materials and Methods</w:t>
      </w:r>
      <w:bookmarkEnd w:id="31"/>
      <w:bookmarkEnd w:id="32"/>
    </w:p>
    <w:p w:rsidR="00CF0AF7" w:rsidRDefault="00CF0AF7" w:rsidP="00CF0AF7">
      <w:pPr>
        <w:pStyle w:val="Heading2"/>
        <w:spacing w:line="360" w:lineRule="auto"/>
      </w:pPr>
      <w:bookmarkStart w:id="33" w:name="_Toc8914959"/>
      <w:bookmarkStart w:id="34" w:name="_Toc35333932"/>
      <w:r>
        <w:t>Chemicals, reagents and equipment</w:t>
      </w:r>
      <w:bookmarkEnd w:id="34"/>
    </w:p>
    <w:p w:rsidR="00CF0AF7" w:rsidRDefault="00CF0AF7" w:rsidP="00CF0AF7">
      <w:pPr>
        <w:spacing w:line="360" w:lineRule="auto"/>
        <w:rPr>
          <w:color w:val="FF0000"/>
        </w:rPr>
      </w:pPr>
    </w:p>
    <w:tbl>
      <w:tblPr>
        <w:tblStyle w:val="TableGrid"/>
        <w:tblW w:w="0" w:type="auto"/>
        <w:jc w:val="center"/>
        <w:tblLook w:val="04A0"/>
      </w:tblPr>
      <w:tblGrid>
        <w:gridCol w:w="3794"/>
        <w:gridCol w:w="3402"/>
        <w:gridCol w:w="2046"/>
      </w:tblGrid>
      <w:tr w:rsidR="00B824BF" w:rsidRPr="00371F22" w:rsidTr="00A25E8D">
        <w:trPr>
          <w:jc w:val="center"/>
        </w:trPr>
        <w:tc>
          <w:tcPr>
            <w:tcW w:w="3794" w:type="dxa"/>
          </w:tcPr>
          <w:p w:rsidR="00B824BF" w:rsidRPr="00371F22" w:rsidRDefault="00B824BF" w:rsidP="00CF0AF7">
            <w:pPr>
              <w:rPr>
                <w:rFonts w:cs="Times New Roman"/>
                <w:b/>
              </w:rPr>
            </w:pPr>
            <w:r w:rsidRPr="00371F22">
              <w:rPr>
                <w:rFonts w:cs="Times New Roman"/>
                <w:b/>
              </w:rPr>
              <w:t>Chemicals, reagents,</w:t>
            </w:r>
            <w:r>
              <w:rPr>
                <w:rFonts w:cs="Times New Roman"/>
                <w:b/>
              </w:rPr>
              <w:t xml:space="preserve"> and</w:t>
            </w:r>
            <w:r w:rsidRPr="00371F22">
              <w:rPr>
                <w:rFonts w:cs="Times New Roman"/>
                <w:b/>
              </w:rPr>
              <w:t xml:space="preserve"> </w:t>
            </w:r>
            <w:r w:rsidRPr="00371F22">
              <w:rPr>
                <w:rFonts w:cs="Times New Roman"/>
                <w:b/>
                <w:noProof/>
              </w:rPr>
              <w:t>kits</w:t>
            </w:r>
          </w:p>
        </w:tc>
        <w:tc>
          <w:tcPr>
            <w:tcW w:w="3402" w:type="dxa"/>
          </w:tcPr>
          <w:p w:rsidR="00B824BF" w:rsidRPr="00371F22" w:rsidRDefault="00B824BF" w:rsidP="00CF0AF7">
            <w:pPr>
              <w:rPr>
                <w:rFonts w:cs="Times New Roman"/>
              </w:rPr>
            </w:pPr>
            <w:r w:rsidRPr="00371F22">
              <w:rPr>
                <w:rFonts w:cs="Times New Roman"/>
                <w:b/>
              </w:rPr>
              <w:t>Company</w:t>
            </w:r>
          </w:p>
        </w:tc>
        <w:tc>
          <w:tcPr>
            <w:tcW w:w="2046" w:type="dxa"/>
          </w:tcPr>
          <w:p w:rsidR="00B824BF" w:rsidRPr="00371F22" w:rsidRDefault="00B824BF" w:rsidP="00CF0AF7">
            <w:pPr>
              <w:rPr>
                <w:rFonts w:cs="Times New Roman"/>
                <w:b/>
              </w:rPr>
            </w:pPr>
            <w:r>
              <w:rPr>
                <w:rFonts w:cs="Times New Roman"/>
                <w:b/>
              </w:rPr>
              <w:t>Product Code</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Acetic Acid</w:t>
            </w:r>
          </w:p>
        </w:tc>
        <w:tc>
          <w:tcPr>
            <w:tcW w:w="3402" w:type="dxa"/>
          </w:tcPr>
          <w:p w:rsidR="00B824BF" w:rsidRPr="00371F22" w:rsidRDefault="00B824BF" w:rsidP="00CF0AF7">
            <w:pPr>
              <w:rPr>
                <w:rFonts w:cs="Times New Roman"/>
              </w:rPr>
            </w:pPr>
            <w:r w:rsidRPr="00371F22">
              <w:rPr>
                <w:rFonts w:cs="Times New Roman"/>
              </w:rPr>
              <w:t>VWR</w:t>
            </w:r>
          </w:p>
        </w:tc>
        <w:tc>
          <w:tcPr>
            <w:tcW w:w="2046" w:type="dxa"/>
          </w:tcPr>
          <w:p w:rsidR="00B824BF" w:rsidRPr="00371F22" w:rsidRDefault="00CC71E2" w:rsidP="00CF0AF7">
            <w:pPr>
              <w:rPr>
                <w:rFonts w:cs="Times New Roman"/>
              </w:rPr>
            </w:pPr>
            <w:r>
              <w:rPr>
                <w:rFonts w:cs="Times New Roman"/>
              </w:rPr>
              <w:t>20102.320</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Acetonitrile</w:t>
            </w:r>
          </w:p>
        </w:tc>
        <w:tc>
          <w:tcPr>
            <w:tcW w:w="3402" w:type="dxa"/>
          </w:tcPr>
          <w:p w:rsidR="00B824BF" w:rsidRPr="00371F22" w:rsidRDefault="00B824BF" w:rsidP="00CC71E2">
            <w:pPr>
              <w:rPr>
                <w:rFonts w:cs="Times New Roman"/>
              </w:rPr>
            </w:pPr>
            <w:r w:rsidRPr="00371F22">
              <w:rPr>
                <w:rFonts w:cs="Times New Roman"/>
              </w:rPr>
              <w:t>F</w:t>
            </w:r>
            <w:r w:rsidR="00CC71E2">
              <w:rPr>
                <w:rFonts w:cs="Times New Roman"/>
              </w:rPr>
              <w:t>isher Scientific</w:t>
            </w:r>
          </w:p>
        </w:tc>
        <w:tc>
          <w:tcPr>
            <w:tcW w:w="2046" w:type="dxa"/>
          </w:tcPr>
          <w:p w:rsidR="00B824BF" w:rsidRPr="00371F22" w:rsidRDefault="00CC71E2" w:rsidP="00CF0AF7">
            <w:pPr>
              <w:rPr>
                <w:rFonts w:cs="Times New Roman"/>
              </w:rPr>
            </w:pPr>
            <w:r>
              <w:rPr>
                <w:rFonts w:cs="Times New Roman"/>
              </w:rPr>
              <w:t>A/0626/17</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Agarose</w:t>
            </w:r>
          </w:p>
        </w:tc>
        <w:tc>
          <w:tcPr>
            <w:tcW w:w="3402" w:type="dxa"/>
          </w:tcPr>
          <w:p w:rsidR="00B824BF" w:rsidRPr="00371F22" w:rsidRDefault="00B824BF" w:rsidP="00CF0AF7">
            <w:pPr>
              <w:rPr>
                <w:rFonts w:cs="Times New Roman"/>
              </w:rPr>
            </w:pPr>
            <w:r w:rsidRPr="00371F22">
              <w:rPr>
                <w:rFonts w:cs="Times New Roman"/>
              </w:rPr>
              <w:t>Bioline</w:t>
            </w:r>
          </w:p>
        </w:tc>
        <w:tc>
          <w:tcPr>
            <w:tcW w:w="2046" w:type="dxa"/>
          </w:tcPr>
          <w:p w:rsidR="00B824BF" w:rsidRPr="00371F22" w:rsidRDefault="00CC71E2" w:rsidP="00CF0AF7">
            <w:pPr>
              <w:rPr>
                <w:rFonts w:cs="Times New Roman"/>
              </w:rPr>
            </w:pPr>
            <w:r>
              <w:rPr>
                <w:rFonts w:cs="Times New Roman"/>
              </w:rPr>
              <w:t>BIO-41025</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Ammonium acetate</w:t>
            </w:r>
          </w:p>
        </w:tc>
        <w:tc>
          <w:tcPr>
            <w:tcW w:w="3402" w:type="dxa"/>
          </w:tcPr>
          <w:p w:rsidR="00B824BF" w:rsidRPr="00371F22" w:rsidRDefault="00B824BF" w:rsidP="00CF0AF7">
            <w:pPr>
              <w:rPr>
                <w:rFonts w:cs="Times New Roman"/>
              </w:rPr>
            </w:pPr>
            <w:r w:rsidRPr="00371F22">
              <w:rPr>
                <w:rFonts w:cs="Times New Roman"/>
              </w:rPr>
              <w:t>Sigma</w:t>
            </w:r>
          </w:p>
        </w:tc>
        <w:tc>
          <w:tcPr>
            <w:tcW w:w="2046" w:type="dxa"/>
          </w:tcPr>
          <w:p w:rsidR="00B824BF" w:rsidRPr="00371F22" w:rsidRDefault="00CC71E2" w:rsidP="00CF0AF7">
            <w:pPr>
              <w:rPr>
                <w:rFonts w:cs="Times New Roman"/>
              </w:rPr>
            </w:pPr>
            <w:r>
              <w:rPr>
                <w:rFonts w:cs="Times New Roman"/>
              </w:rPr>
              <w:t>A1542</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Ammonium sulfate</w:t>
            </w:r>
          </w:p>
        </w:tc>
        <w:tc>
          <w:tcPr>
            <w:tcW w:w="3402" w:type="dxa"/>
          </w:tcPr>
          <w:p w:rsidR="00B824BF" w:rsidRPr="00371F22" w:rsidRDefault="00B824BF" w:rsidP="00CF0AF7">
            <w:pPr>
              <w:rPr>
                <w:rFonts w:cs="Times New Roman"/>
              </w:rPr>
            </w:pPr>
            <w:r w:rsidRPr="00371F22">
              <w:rPr>
                <w:rFonts w:cs="Times New Roman"/>
              </w:rPr>
              <w:t>Sigma</w:t>
            </w:r>
          </w:p>
        </w:tc>
        <w:tc>
          <w:tcPr>
            <w:tcW w:w="2046" w:type="dxa"/>
          </w:tcPr>
          <w:p w:rsidR="00B824BF" w:rsidRPr="00371F22" w:rsidRDefault="00CC71E2" w:rsidP="00CF0AF7">
            <w:pPr>
              <w:rPr>
                <w:rFonts w:cs="Times New Roman"/>
              </w:rPr>
            </w:pPr>
            <w:r>
              <w:rPr>
                <w:rFonts w:cs="Times New Roman"/>
              </w:rPr>
              <w:t>A4915</w:t>
            </w:r>
          </w:p>
        </w:tc>
      </w:tr>
      <w:tr w:rsidR="00B824BF" w:rsidRPr="00371F22" w:rsidTr="00A25E8D">
        <w:trPr>
          <w:jc w:val="center"/>
        </w:trPr>
        <w:tc>
          <w:tcPr>
            <w:tcW w:w="3794" w:type="dxa"/>
          </w:tcPr>
          <w:p w:rsidR="00B824BF" w:rsidRDefault="00B824BF" w:rsidP="00CF0AF7">
            <w:pPr>
              <w:rPr>
                <w:rFonts w:cs="Times New Roman"/>
              </w:rPr>
            </w:pPr>
            <w:r>
              <w:rPr>
                <w:rFonts w:cs="Times New Roman"/>
              </w:rPr>
              <w:t>AMP</w:t>
            </w:r>
          </w:p>
        </w:tc>
        <w:tc>
          <w:tcPr>
            <w:tcW w:w="3402" w:type="dxa"/>
          </w:tcPr>
          <w:p w:rsidR="00B824BF" w:rsidRDefault="00B824BF" w:rsidP="00CF0AF7">
            <w:pPr>
              <w:rPr>
                <w:rFonts w:cs="Times New Roman"/>
              </w:rPr>
            </w:pPr>
            <w:r>
              <w:rPr>
                <w:rFonts w:cs="Times New Roman"/>
              </w:rPr>
              <w:t>Sigma Life Sciences</w:t>
            </w:r>
          </w:p>
        </w:tc>
        <w:tc>
          <w:tcPr>
            <w:tcW w:w="2046" w:type="dxa"/>
          </w:tcPr>
          <w:p w:rsidR="00B824BF" w:rsidRDefault="00CC71E2" w:rsidP="00CF0AF7">
            <w:pPr>
              <w:rPr>
                <w:rFonts w:cs="Times New Roman"/>
              </w:rPr>
            </w:pPr>
            <w:r>
              <w:rPr>
                <w:rFonts w:cs="Times New Roman"/>
              </w:rPr>
              <w:t>A1752</w:t>
            </w:r>
          </w:p>
        </w:tc>
      </w:tr>
      <w:tr w:rsidR="00B824BF" w:rsidRPr="00371F22" w:rsidTr="00A25E8D">
        <w:trPr>
          <w:jc w:val="center"/>
        </w:trPr>
        <w:tc>
          <w:tcPr>
            <w:tcW w:w="3794" w:type="dxa"/>
          </w:tcPr>
          <w:p w:rsidR="00B824BF" w:rsidRPr="00371F22" w:rsidRDefault="00B824BF" w:rsidP="00CF0AF7">
            <w:pPr>
              <w:rPr>
                <w:rFonts w:cs="Times New Roman"/>
                <w:vertAlign w:val="superscript"/>
              </w:rPr>
            </w:pPr>
            <w:r w:rsidRPr="00371F22">
              <w:rPr>
                <w:rFonts w:cs="Times New Roman"/>
              </w:rPr>
              <w:t>Ampicillin sodium salt</w:t>
            </w:r>
          </w:p>
        </w:tc>
        <w:tc>
          <w:tcPr>
            <w:tcW w:w="3402" w:type="dxa"/>
          </w:tcPr>
          <w:p w:rsidR="00B824BF" w:rsidRPr="00371F22" w:rsidRDefault="00B824BF" w:rsidP="00CF0AF7">
            <w:pPr>
              <w:rPr>
                <w:rFonts w:cs="Times New Roman"/>
              </w:rPr>
            </w:pPr>
            <w:r>
              <w:rPr>
                <w:rFonts w:cs="Times New Roman"/>
              </w:rPr>
              <w:t>Alfa Aesar</w:t>
            </w:r>
          </w:p>
        </w:tc>
        <w:tc>
          <w:tcPr>
            <w:tcW w:w="2046" w:type="dxa"/>
          </w:tcPr>
          <w:p w:rsidR="00B824BF" w:rsidRDefault="00CC71E2" w:rsidP="00CF0AF7">
            <w:pPr>
              <w:rPr>
                <w:rFonts w:cs="Times New Roman"/>
              </w:rPr>
            </w:pPr>
            <w:r>
              <w:rPr>
                <w:rFonts w:cs="Times New Roman"/>
              </w:rPr>
              <w:t>J63807</w:t>
            </w:r>
          </w:p>
        </w:tc>
      </w:tr>
      <w:tr w:rsidR="00B824BF" w:rsidRPr="00371F22" w:rsidTr="00A25E8D">
        <w:trPr>
          <w:jc w:val="center"/>
        </w:trPr>
        <w:tc>
          <w:tcPr>
            <w:tcW w:w="3794" w:type="dxa"/>
          </w:tcPr>
          <w:p w:rsidR="00B824BF" w:rsidRDefault="00B824BF" w:rsidP="00CF0AF7">
            <w:pPr>
              <w:rPr>
                <w:rFonts w:cs="Times New Roman"/>
              </w:rPr>
            </w:pPr>
            <w:r>
              <w:rPr>
                <w:rFonts w:cs="Times New Roman"/>
              </w:rPr>
              <w:t>ATP</w:t>
            </w:r>
          </w:p>
        </w:tc>
        <w:tc>
          <w:tcPr>
            <w:tcW w:w="3402" w:type="dxa"/>
          </w:tcPr>
          <w:p w:rsidR="00B824BF" w:rsidRDefault="00B824BF" w:rsidP="00CF0AF7">
            <w:pPr>
              <w:rPr>
                <w:rFonts w:cs="Times New Roman"/>
              </w:rPr>
            </w:pPr>
            <w:r>
              <w:rPr>
                <w:rFonts w:cs="Times New Roman"/>
              </w:rPr>
              <w:t>Sigma</w:t>
            </w:r>
          </w:p>
        </w:tc>
        <w:tc>
          <w:tcPr>
            <w:tcW w:w="2046" w:type="dxa"/>
          </w:tcPr>
          <w:p w:rsidR="00B824BF" w:rsidRDefault="00CC71E2" w:rsidP="00CF0AF7">
            <w:pPr>
              <w:rPr>
                <w:rFonts w:cs="Times New Roman"/>
              </w:rPr>
            </w:pPr>
            <w:r>
              <w:rPr>
                <w:rFonts w:cs="Times New Roman"/>
              </w:rPr>
              <w:t>A2383</w:t>
            </w:r>
          </w:p>
        </w:tc>
      </w:tr>
      <w:tr w:rsidR="00B824BF" w:rsidRPr="00371F22" w:rsidTr="00A25E8D">
        <w:trPr>
          <w:jc w:val="center"/>
        </w:trPr>
        <w:tc>
          <w:tcPr>
            <w:tcW w:w="3794" w:type="dxa"/>
          </w:tcPr>
          <w:p w:rsidR="00B824BF" w:rsidRDefault="00B824BF" w:rsidP="00CF0AF7">
            <w:pPr>
              <w:rPr>
                <w:rFonts w:cs="Times New Roman"/>
              </w:rPr>
            </w:pPr>
            <w:r>
              <w:rPr>
                <w:rFonts w:cs="Times New Roman"/>
              </w:rPr>
              <w:t>D-Coe Mix</w:t>
            </w:r>
          </w:p>
        </w:tc>
        <w:tc>
          <w:tcPr>
            <w:tcW w:w="3402" w:type="dxa"/>
          </w:tcPr>
          <w:p w:rsidR="00B824BF" w:rsidRDefault="00B824BF" w:rsidP="00CF0AF7">
            <w:pPr>
              <w:rPr>
                <w:rFonts w:cs="Times New Roman"/>
              </w:rPr>
            </w:pPr>
            <w:r>
              <w:rPr>
                <w:rFonts w:cs="Times New Roman"/>
              </w:rPr>
              <w:t>Apollo Scientific</w:t>
            </w:r>
          </w:p>
        </w:tc>
        <w:tc>
          <w:tcPr>
            <w:tcW w:w="2046" w:type="dxa"/>
          </w:tcPr>
          <w:p w:rsidR="00B824BF" w:rsidRDefault="00B824BF" w:rsidP="00CF0AF7">
            <w:pPr>
              <w:rPr>
                <w:rFonts w:cs="Times New Roman"/>
              </w:rPr>
            </w:pPr>
          </w:p>
        </w:tc>
      </w:tr>
      <w:tr w:rsidR="00B824BF" w:rsidRPr="00371F22" w:rsidTr="00A25E8D">
        <w:trPr>
          <w:jc w:val="center"/>
        </w:trPr>
        <w:tc>
          <w:tcPr>
            <w:tcW w:w="3794" w:type="dxa"/>
          </w:tcPr>
          <w:p w:rsidR="00B824BF" w:rsidRDefault="00B824BF" w:rsidP="00CF0AF7">
            <w:pPr>
              <w:rPr>
                <w:rFonts w:cs="Times New Roman"/>
              </w:rPr>
            </w:pPr>
            <w:r>
              <w:rPr>
                <w:rFonts w:cs="Times New Roman"/>
              </w:rPr>
              <w:t>D-Luc Mix</w:t>
            </w:r>
          </w:p>
        </w:tc>
        <w:tc>
          <w:tcPr>
            <w:tcW w:w="3402" w:type="dxa"/>
          </w:tcPr>
          <w:p w:rsidR="00B824BF" w:rsidRDefault="00B824BF" w:rsidP="00CF0AF7">
            <w:pPr>
              <w:rPr>
                <w:rFonts w:cs="Times New Roman"/>
              </w:rPr>
            </w:pPr>
            <w:r>
              <w:rPr>
                <w:rFonts w:cs="Times New Roman"/>
              </w:rPr>
              <w:t>Apollo Scientific</w:t>
            </w:r>
          </w:p>
        </w:tc>
        <w:tc>
          <w:tcPr>
            <w:tcW w:w="2046" w:type="dxa"/>
          </w:tcPr>
          <w:p w:rsidR="00B824BF" w:rsidRDefault="00B824BF" w:rsidP="00CF0AF7">
            <w:pPr>
              <w:rPr>
                <w:rFonts w:cs="Times New Roman"/>
              </w:rPr>
            </w:pP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DNA primers</w:t>
            </w:r>
          </w:p>
        </w:tc>
        <w:tc>
          <w:tcPr>
            <w:tcW w:w="3402" w:type="dxa"/>
          </w:tcPr>
          <w:p w:rsidR="00B824BF" w:rsidRPr="00371F22" w:rsidRDefault="00B824BF" w:rsidP="00CF0AF7">
            <w:pPr>
              <w:rPr>
                <w:rFonts w:cs="Times New Roman"/>
              </w:rPr>
            </w:pPr>
            <w:r w:rsidRPr="00371F22">
              <w:rPr>
                <w:rFonts w:cs="Times New Roman"/>
              </w:rPr>
              <w:t>IDT, Eurofins</w:t>
            </w:r>
          </w:p>
        </w:tc>
        <w:tc>
          <w:tcPr>
            <w:tcW w:w="2046" w:type="dxa"/>
          </w:tcPr>
          <w:p w:rsidR="00B824BF" w:rsidRPr="00371F22" w:rsidRDefault="00B824BF" w:rsidP="00CF0AF7">
            <w:pPr>
              <w:rPr>
                <w:rFonts w:cs="Times New Roman"/>
              </w:rPr>
            </w:pPr>
          </w:p>
        </w:tc>
      </w:tr>
      <w:tr w:rsidR="00B824BF" w:rsidRPr="00371F22" w:rsidTr="00A25E8D">
        <w:trPr>
          <w:jc w:val="center"/>
        </w:trPr>
        <w:tc>
          <w:tcPr>
            <w:tcW w:w="3794" w:type="dxa"/>
          </w:tcPr>
          <w:p w:rsidR="00B824BF" w:rsidRDefault="00B824BF" w:rsidP="00CF0AF7">
            <w:pPr>
              <w:rPr>
                <w:rFonts w:cs="Times New Roman"/>
              </w:rPr>
            </w:pPr>
            <w:r>
              <w:rPr>
                <w:rFonts w:cs="Times New Roman"/>
              </w:rPr>
              <w:t>DTT</w:t>
            </w:r>
          </w:p>
        </w:tc>
        <w:tc>
          <w:tcPr>
            <w:tcW w:w="3402" w:type="dxa"/>
          </w:tcPr>
          <w:p w:rsidR="00B824BF" w:rsidRDefault="00B824BF" w:rsidP="00CF0AF7">
            <w:pPr>
              <w:rPr>
                <w:rFonts w:cs="Times New Roman"/>
              </w:rPr>
            </w:pPr>
            <w:r>
              <w:rPr>
                <w:rFonts w:cs="Times New Roman"/>
              </w:rPr>
              <w:t>Sigma</w:t>
            </w:r>
          </w:p>
        </w:tc>
        <w:tc>
          <w:tcPr>
            <w:tcW w:w="2046" w:type="dxa"/>
          </w:tcPr>
          <w:p w:rsidR="00B824BF" w:rsidRDefault="00CC71E2" w:rsidP="00CF0AF7">
            <w:pPr>
              <w:rPr>
                <w:rFonts w:cs="Times New Roman"/>
              </w:rPr>
            </w:pPr>
            <w:r>
              <w:rPr>
                <w:rFonts w:cs="Times New Roman"/>
              </w:rPr>
              <w:t>10708984001</w:t>
            </w:r>
          </w:p>
        </w:tc>
      </w:tr>
      <w:tr w:rsidR="00B824BF" w:rsidRPr="00371F22" w:rsidTr="00A25E8D">
        <w:trPr>
          <w:jc w:val="center"/>
        </w:trPr>
        <w:tc>
          <w:tcPr>
            <w:tcW w:w="3794" w:type="dxa"/>
          </w:tcPr>
          <w:p w:rsidR="00B824BF" w:rsidRPr="00371F22" w:rsidRDefault="00B824BF" w:rsidP="00CF0AF7">
            <w:pPr>
              <w:rPr>
                <w:rFonts w:cs="Times New Roman"/>
              </w:rPr>
            </w:pPr>
            <w:r>
              <w:rPr>
                <w:rFonts w:cs="Times New Roman"/>
              </w:rPr>
              <w:t>Dual luciferase assay kit</w:t>
            </w:r>
          </w:p>
        </w:tc>
        <w:tc>
          <w:tcPr>
            <w:tcW w:w="3402" w:type="dxa"/>
          </w:tcPr>
          <w:p w:rsidR="00B824BF" w:rsidRPr="00371F22" w:rsidRDefault="00B824BF" w:rsidP="00CF0AF7">
            <w:pPr>
              <w:rPr>
                <w:rFonts w:cs="Times New Roman"/>
              </w:rPr>
            </w:pPr>
            <w:r>
              <w:rPr>
                <w:rFonts w:cs="Times New Roman"/>
              </w:rPr>
              <w:t>Promega</w:t>
            </w:r>
            <w:r w:rsidRPr="00371F22">
              <w:rPr>
                <w:rFonts w:cs="Times New Roman"/>
              </w:rPr>
              <w:t xml:space="preserve"> </w:t>
            </w:r>
          </w:p>
        </w:tc>
        <w:tc>
          <w:tcPr>
            <w:tcW w:w="2046" w:type="dxa"/>
          </w:tcPr>
          <w:p w:rsidR="00B824BF" w:rsidRDefault="00CC71E2" w:rsidP="00CF0AF7">
            <w:pPr>
              <w:rPr>
                <w:rFonts w:cs="Times New Roman"/>
              </w:rPr>
            </w:pPr>
            <w:r>
              <w:rPr>
                <w:rFonts w:cs="Times New Roman"/>
              </w:rPr>
              <w:t>E1910</w:t>
            </w:r>
          </w:p>
        </w:tc>
      </w:tr>
      <w:tr w:rsidR="00B824BF" w:rsidRPr="00371F22" w:rsidTr="00A25E8D">
        <w:trPr>
          <w:jc w:val="center"/>
        </w:trPr>
        <w:tc>
          <w:tcPr>
            <w:tcW w:w="3794" w:type="dxa"/>
          </w:tcPr>
          <w:p w:rsidR="00B824BF" w:rsidRPr="001A7D48" w:rsidRDefault="00B824BF" w:rsidP="00CF0AF7">
            <w:pPr>
              <w:rPr>
                <w:rFonts w:cs="Times New Roman"/>
              </w:rPr>
            </w:pPr>
            <w:r w:rsidRPr="001A7D48">
              <w:rPr>
                <w:rFonts w:cs="Times New Roman"/>
              </w:rPr>
              <w:t>Durascribe T7 in vitro transcription Kit</w:t>
            </w:r>
          </w:p>
        </w:tc>
        <w:tc>
          <w:tcPr>
            <w:tcW w:w="3402" w:type="dxa"/>
          </w:tcPr>
          <w:p w:rsidR="00B824BF" w:rsidRPr="001A7D48" w:rsidRDefault="00B824BF" w:rsidP="00CC71E2">
            <w:pPr>
              <w:jc w:val="left"/>
              <w:rPr>
                <w:rFonts w:cs="Times New Roman"/>
              </w:rPr>
            </w:pPr>
            <w:r w:rsidRPr="001A7D48">
              <w:rPr>
                <w:rFonts w:cs="Times New Roman"/>
              </w:rPr>
              <w:t>Epicentre</w:t>
            </w:r>
            <w:r w:rsidR="00CC71E2">
              <w:rPr>
                <w:rFonts w:cs="Times New Roman"/>
              </w:rPr>
              <w:t xml:space="preserve"> (Now Lucigen)</w:t>
            </w:r>
          </w:p>
        </w:tc>
        <w:tc>
          <w:tcPr>
            <w:tcW w:w="2046" w:type="dxa"/>
          </w:tcPr>
          <w:p w:rsidR="00B824BF" w:rsidRPr="001A7D48" w:rsidRDefault="00CC71E2" w:rsidP="00CF0AF7">
            <w:pPr>
              <w:rPr>
                <w:rFonts w:cs="Times New Roman"/>
              </w:rPr>
            </w:pPr>
            <w:r>
              <w:rPr>
                <w:rFonts w:cs="Times New Roman"/>
              </w:rPr>
              <w:t>DS010925</w:t>
            </w:r>
          </w:p>
        </w:tc>
      </w:tr>
      <w:tr w:rsidR="00B824BF" w:rsidRPr="00371F22" w:rsidTr="00A25E8D">
        <w:trPr>
          <w:jc w:val="center"/>
        </w:trPr>
        <w:tc>
          <w:tcPr>
            <w:tcW w:w="3794" w:type="dxa"/>
          </w:tcPr>
          <w:p w:rsidR="00B824BF" w:rsidRPr="00747A48" w:rsidRDefault="00B824BF" w:rsidP="00CF0AF7">
            <w:pPr>
              <w:rPr>
                <w:rFonts w:cs="Times New Roman"/>
              </w:rPr>
            </w:pPr>
            <w:r w:rsidRPr="00747A48">
              <w:rPr>
                <w:rFonts w:cs="Times New Roman"/>
              </w:rPr>
              <w:t>Effectene transfection kit</w:t>
            </w:r>
          </w:p>
        </w:tc>
        <w:tc>
          <w:tcPr>
            <w:tcW w:w="3402" w:type="dxa"/>
          </w:tcPr>
          <w:p w:rsidR="00B824BF" w:rsidRDefault="00B824BF" w:rsidP="00CF0AF7">
            <w:pPr>
              <w:rPr>
                <w:rFonts w:cs="Times New Roman"/>
              </w:rPr>
            </w:pPr>
            <w:r>
              <w:rPr>
                <w:rFonts w:cs="Times New Roman"/>
              </w:rPr>
              <w:t>Qiagen</w:t>
            </w:r>
          </w:p>
        </w:tc>
        <w:tc>
          <w:tcPr>
            <w:tcW w:w="2046" w:type="dxa"/>
          </w:tcPr>
          <w:p w:rsidR="00B824BF" w:rsidRDefault="00886E1E" w:rsidP="00CF0AF7">
            <w:pPr>
              <w:rPr>
                <w:rFonts w:cs="Times New Roman"/>
              </w:rPr>
            </w:pPr>
            <w:r>
              <w:rPr>
                <w:rFonts w:cs="Times New Roman"/>
              </w:rPr>
              <w:t>301427</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 xml:space="preserve">Ethanol </w:t>
            </w:r>
          </w:p>
        </w:tc>
        <w:tc>
          <w:tcPr>
            <w:tcW w:w="3402" w:type="dxa"/>
          </w:tcPr>
          <w:p w:rsidR="00B824BF" w:rsidRPr="00371F22" w:rsidRDefault="00B824BF" w:rsidP="00CF0AF7">
            <w:pPr>
              <w:rPr>
                <w:rFonts w:cs="Times New Roman"/>
              </w:rPr>
            </w:pPr>
            <w:r w:rsidRPr="00371F22">
              <w:rPr>
                <w:rFonts w:cs="Times New Roman"/>
              </w:rPr>
              <w:t>Fluka</w:t>
            </w:r>
          </w:p>
        </w:tc>
        <w:tc>
          <w:tcPr>
            <w:tcW w:w="2046" w:type="dxa"/>
          </w:tcPr>
          <w:p w:rsidR="00B824BF" w:rsidRPr="00371F22" w:rsidRDefault="00886E1E" w:rsidP="00CF0AF7">
            <w:pPr>
              <w:rPr>
                <w:rFonts w:cs="Times New Roman"/>
              </w:rPr>
            </w:pPr>
            <w:r>
              <w:rPr>
                <w:rFonts w:cs="Times New Roman"/>
              </w:rPr>
              <w:t>02860</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Ethylenediaminetetraacetic acid</w:t>
            </w:r>
          </w:p>
        </w:tc>
        <w:tc>
          <w:tcPr>
            <w:tcW w:w="3402" w:type="dxa"/>
          </w:tcPr>
          <w:p w:rsidR="00B824BF" w:rsidRPr="00371F22" w:rsidRDefault="00B824BF" w:rsidP="00886E1E">
            <w:pPr>
              <w:rPr>
                <w:rFonts w:cs="Times New Roman"/>
              </w:rPr>
            </w:pPr>
            <w:r w:rsidRPr="00371F22">
              <w:rPr>
                <w:rFonts w:cs="Times New Roman"/>
              </w:rPr>
              <w:t>Sigma</w:t>
            </w:r>
          </w:p>
        </w:tc>
        <w:tc>
          <w:tcPr>
            <w:tcW w:w="2046" w:type="dxa"/>
          </w:tcPr>
          <w:p w:rsidR="00B824BF" w:rsidRPr="00371F22" w:rsidRDefault="00886E1E" w:rsidP="00CF0AF7">
            <w:pPr>
              <w:rPr>
                <w:rFonts w:cs="Times New Roman"/>
              </w:rPr>
            </w:pPr>
            <w:r>
              <w:rPr>
                <w:rFonts w:cs="Times New Roman"/>
              </w:rPr>
              <w:t>324503</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Ethidium Bromide</w:t>
            </w:r>
          </w:p>
        </w:tc>
        <w:tc>
          <w:tcPr>
            <w:tcW w:w="3402" w:type="dxa"/>
          </w:tcPr>
          <w:p w:rsidR="00B824BF" w:rsidRPr="00371F22" w:rsidRDefault="00B824BF" w:rsidP="00CF0AF7">
            <w:pPr>
              <w:rPr>
                <w:rFonts w:cs="Times New Roman"/>
              </w:rPr>
            </w:pPr>
            <w:r w:rsidRPr="00371F22">
              <w:rPr>
                <w:rFonts w:cs="Times New Roman"/>
              </w:rPr>
              <w:t>Sigma</w:t>
            </w:r>
          </w:p>
        </w:tc>
        <w:tc>
          <w:tcPr>
            <w:tcW w:w="2046" w:type="dxa"/>
          </w:tcPr>
          <w:p w:rsidR="00B824BF" w:rsidRPr="00371F22" w:rsidRDefault="00886E1E" w:rsidP="00CF0AF7">
            <w:pPr>
              <w:rPr>
                <w:rFonts w:cs="Times New Roman"/>
              </w:rPr>
            </w:pPr>
            <w:r>
              <w:rPr>
                <w:rFonts w:cs="Times New Roman"/>
              </w:rPr>
              <w:t>E1510</w:t>
            </w:r>
          </w:p>
        </w:tc>
      </w:tr>
      <w:tr w:rsidR="00B824BF" w:rsidRPr="00371F22" w:rsidTr="00A25E8D">
        <w:trPr>
          <w:jc w:val="center"/>
        </w:trPr>
        <w:tc>
          <w:tcPr>
            <w:tcW w:w="3794" w:type="dxa"/>
          </w:tcPr>
          <w:p w:rsidR="00B824BF" w:rsidRPr="00371F22" w:rsidRDefault="00886E1E" w:rsidP="00CF0AF7">
            <w:pPr>
              <w:rPr>
                <w:rFonts w:cs="Times New Roman"/>
              </w:rPr>
            </w:pPr>
            <w:r>
              <w:rPr>
                <w:rFonts w:cs="Times New Roman"/>
              </w:rPr>
              <w:t xml:space="preserve">Wizard </w:t>
            </w:r>
            <w:r w:rsidR="00B824BF">
              <w:rPr>
                <w:rFonts w:cs="Times New Roman"/>
              </w:rPr>
              <w:t>G</w:t>
            </w:r>
            <w:r w:rsidR="00B824BF" w:rsidRPr="00371F22">
              <w:rPr>
                <w:rFonts w:cs="Times New Roman"/>
              </w:rPr>
              <w:t xml:space="preserve">enomic DNA </w:t>
            </w:r>
            <w:r w:rsidR="00B824BF">
              <w:rPr>
                <w:rFonts w:cs="Times New Roman"/>
              </w:rPr>
              <w:t>extraction k</w:t>
            </w:r>
            <w:r w:rsidR="00B824BF" w:rsidRPr="00371F22">
              <w:rPr>
                <w:rFonts w:cs="Times New Roman"/>
              </w:rPr>
              <w:t>it</w:t>
            </w:r>
          </w:p>
        </w:tc>
        <w:tc>
          <w:tcPr>
            <w:tcW w:w="3402" w:type="dxa"/>
          </w:tcPr>
          <w:p w:rsidR="00B824BF" w:rsidRPr="00371F22" w:rsidRDefault="00B824BF" w:rsidP="00CF0AF7">
            <w:pPr>
              <w:rPr>
                <w:rFonts w:cs="Times New Roman"/>
              </w:rPr>
            </w:pPr>
            <w:r>
              <w:rPr>
                <w:rFonts w:cs="Times New Roman"/>
              </w:rPr>
              <w:t>Promega</w:t>
            </w:r>
          </w:p>
        </w:tc>
        <w:tc>
          <w:tcPr>
            <w:tcW w:w="2046" w:type="dxa"/>
          </w:tcPr>
          <w:p w:rsidR="00B824BF" w:rsidRDefault="00886E1E" w:rsidP="00CF0AF7">
            <w:pPr>
              <w:rPr>
                <w:rFonts w:cs="Times New Roman"/>
              </w:rPr>
            </w:pPr>
            <w:r>
              <w:rPr>
                <w:rFonts w:cs="Times New Roman"/>
              </w:rPr>
              <w:t>A1120</w:t>
            </w:r>
          </w:p>
        </w:tc>
      </w:tr>
      <w:tr w:rsidR="00B824BF" w:rsidRPr="00371F22" w:rsidTr="00A25E8D">
        <w:trPr>
          <w:jc w:val="center"/>
        </w:trPr>
        <w:tc>
          <w:tcPr>
            <w:tcW w:w="3794" w:type="dxa"/>
          </w:tcPr>
          <w:p w:rsidR="00B824BF" w:rsidRDefault="00B824BF" w:rsidP="00CF0AF7">
            <w:pPr>
              <w:rPr>
                <w:rFonts w:cs="Times New Roman"/>
              </w:rPr>
            </w:pPr>
            <w:r>
              <w:rPr>
                <w:rFonts w:cs="Times New Roman"/>
              </w:rPr>
              <w:t>HEPES</w:t>
            </w:r>
          </w:p>
        </w:tc>
        <w:tc>
          <w:tcPr>
            <w:tcW w:w="3402" w:type="dxa"/>
          </w:tcPr>
          <w:p w:rsidR="00B824BF" w:rsidRDefault="00B824BF" w:rsidP="00CF0AF7">
            <w:pPr>
              <w:rPr>
                <w:rFonts w:cs="Times New Roman"/>
              </w:rPr>
            </w:pPr>
            <w:r>
              <w:rPr>
                <w:rFonts w:cs="Times New Roman"/>
              </w:rPr>
              <w:t>Sigma Life Sciences</w:t>
            </w:r>
          </w:p>
        </w:tc>
        <w:tc>
          <w:tcPr>
            <w:tcW w:w="2046" w:type="dxa"/>
          </w:tcPr>
          <w:p w:rsidR="00B824BF" w:rsidRDefault="00886E1E" w:rsidP="00CF0AF7">
            <w:pPr>
              <w:rPr>
                <w:rFonts w:cs="Times New Roman"/>
              </w:rPr>
            </w:pPr>
            <w:r>
              <w:rPr>
                <w:rFonts w:cs="Times New Roman"/>
              </w:rPr>
              <w:t>H3375</w:t>
            </w:r>
          </w:p>
        </w:tc>
      </w:tr>
      <w:tr w:rsidR="00B824BF" w:rsidRPr="00371F22" w:rsidTr="00A25E8D">
        <w:trPr>
          <w:jc w:val="center"/>
        </w:trPr>
        <w:tc>
          <w:tcPr>
            <w:tcW w:w="3794" w:type="dxa"/>
          </w:tcPr>
          <w:p w:rsidR="00B824BF" w:rsidRPr="001A7D48" w:rsidRDefault="00B824BF" w:rsidP="00CF0AF7">
            <w:pPr>
              <w:rPr>
                <w:rFonts w:cs="Times New Roman"/>
              </w:rPr>
            </w:pPr>
            <w:r w:rsidRPr="001A7D48">
              <w:rPr>
                <w:rFonts w:cs="Times New Roman"/>
              </w:rPr>
              <w:t>5-hydroxymethyl dCTP</w:t>
            </w:r>
          </w:p>
        </w:tc>
        <w:tc>
          <w:tcPr>
            <w:tcW w:w="3402" w:type="dxa"/>
          </w:tcPr>
          <w:p w:rsidR="00B824BF" w:rsidRPr="001A7D48" w:rsidRDefault="00B824BF" w:rsidP="00CF0AF7">
            <w:pPr>
              <w:rPr>
                <w:rFonts w:cs="Times New Roman"/>
              </w:rPr>
            </w:pPr>
            <w:r w:rsidRPr="001A7D48">
              <w:rPr>
                <w:rFonts w:cs="Times New Roman"/>
              </w:rPr>
              <w:t>Bioline</w:t>
            </w:r>
          </w:p>
        </w:tc>
        <w:tc>
          <w:tcPr>
            <w:tcW w:w="2046" w:type="dxa"/>
          </w:tcPr>
          <w:p w:rsidR="00B824BF" w:rsidRPr="001A7D48" w:rsidRDefault="00886E1E" w:rsidP="00CF0AF7">
            <w:pPr>
              <w:rPr>
                <w:rFonts w:cs="Times New Roman"/>
              </w:rPr>
            </w:pPr>
            <w:r>
              <w:rPr>
                <w:rFonts w:cs="Times New Roman"/>
              </w:rPr>
              <w:t>BIO-39046</w:t>
            </w:r>
          </w:p>
        </w:tc>
      </w:tr>
      <w:tr w:rsidR="00B824BF" w:rsidRPr="00371F22" w:rsidTr="00A25E8D">
        <w:trPr>
          <w:jc w:val="center"/>
        </w:trPr>
        <w:tc>
          <w:tcPr>
            <w:tcW w:w="3794" w:type="dxa"/>
          </w:tcPr>
          <w:p w:rsidR="00B824BF" w:rsidRPr="001A7D48" w:rsidRDefault="00B824BF" w:rsidP="00CF0AF7">
            <w:pPr>
              <w:rPr>
                <w:rFonts w:cs="Times New Roman"/>
              </w:rPr>
            </w:pPr>
            <w:r w:rsidRPr="001A7D48">
              <w:rPr>
                <w:rFonts w:cs="Times New Roman"/>
              </w:rPr>
              <w:t>5-hydroxymethyl CTP</w:t>
            </w:r>
          </w:p>
        </w:tc>
        <w:tc>
          <w:tcPr>
            <w:tcW w:w="3402" w:type="dxa"/>
          </w:tcPr>
          <w:p w:rsidR="00B824BF" w:rsidRPr="001A7D48" w:rsidRDefault="00B824BF" w:rsidP="00CF0AF7">
            <w:pPr>
              <w:rPr>
                <w:rFonts w:cs="Times New Roman"/>
              </w:rPr>
            </w:pPr>
            <w:r w:rsidRPr="001A7D48">
              <w:rPr>
                <w:rFonts w:cs="Times New Roman"/>
              </w:rPr>
              <w:t>TriLink</w:t>
            </w:r>
          </w:p>
        </w:tc>
        <w:tc>
          <w:tcPr>
            <w:tcW w:w="2046" w:type="dxa"/>
          </w:tcPr>
          <w:p w:rsidR="00B824BF" w:rsidRPr="001A7D48" w:rsidRDefault="00886E1E" w:rsidP="00CF0AF7">
            <w:pPr>
              <w:rPr>
                <w:rFonts w:cs="Times New Roman"/>
              </w:rPr>
            </w:pPr>
            <w:r>
              <w:rPr>
                <w:rFonts w:cs="Times New Roman"/>
              </w:rPr>
              <w:t>N-1087</w:t>
            </w:r>
          </w:p>
        </w:tc>
      </w:tr>
      <w:tr w:rsidR="00B824BF" w:rsidRPr="00371F22" w:rsidTr="00A25E8D">
        <w:trPr>
          <w:jc w:val="center"/>
        </w:trPr>
        <w:tc>
          <w:tcPr>
            <w:tcW w:w="3794" w:type="dxa"/>
          </w:tcPr>
          <w:p w:rsidR="00B824BF" w:rsidRPr="00371F22" w:rsidRDefault="00886E1E" w:rsidP="00CF0AF7">
            <w:pPr>
              <w:rPr>
                <w:rFonts w:cs="Times New Roman"/>
              </w:rPr>
            </w:pPr>
            <w:r>
              <w:rPr>
                <w:rFonts w:cs="Times New Roman"/>
              </w:rPr>
              <w:t xml:space="preserve">GeneRuler </w:t>
            </w:r>
            <w:r w:rsidR="00B824BF" w:rsidRPr="00371F22">
              <w:rPr>
                <w:rFonts w:cs="Times New Roman"/>
              </w:rPr>
              <w:t>100 bp Ladder</w:t>
            </w:r>
          </w:p>
        </w:tc>
        <w:tc>
          <w:tcPr>
            <w:tcW w:w="3402" w:type="dxa"/>
          </w:tcPr>
          <w:p w:rsidR="00B824BF" w:rsidRPr="00371F22" w:rsidRDefault="00886E1E" w:rsidP="00CF0AF7">
            <w:pPr>
              <w:pStyle w:val="Default"/>
              <w:rPr>
                <w:rFonts w:asciiTheme="minorHAnsi" w:hAnsiTheme="minorHAnsi" w:cs="Times New Roman"/>
                <w:sz w:val="22"/>
                <w:szCs w:val="22"/>
              </w:rPr>
            </w:pPr>
            <w:r>
              <w:rPr>
                <w:rFonts w:asciiTheme="minorHAnsi" w:hAnsiTheme="minorHAnsi" w:cs="Times New Roman"/>
                <w:sz w:val="22"/>
                <w:szCs w:val="22"/>
              </w:rPr>
              <w:t>Thermo Fisher</w:t>
            </w:r>
          </w:p>
        </w:tc>
        <w:tc>
          <w:tcPr>
            <w:tcW w:w="2046" w:type="dxa"/>
          </w:tcPr>
          <w:p w:rsidR="00B824BF" w:rsidRDefault="00A25E8D" w:rsidP="00CF0AF7">
            <w:pPr>
              <w:pStyle w:val="Default"/>
              <w:rPr>
                <w:rFonts w:asciiTheme="minorHAnsi" w:hAnsiTheme="minorHAnsi" w:cs="Times New Roman"/>
                <w:sz w:val="22"/>
                <w:szCs w:val="22"/>
              </w:rPr>
            </w:pPr>
            <w:r>
              <w:rPr>
                <w:rFonts w:asciiTheme="minorHAnsi" w:hAnsiTheme="minorHAnsi" w:cs="Times New Roman"/>
                <w:sz w:val="22"/>
                <w:szCs w:val="22"/>
              </w:rPr>
              <w:t>SM1553</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Isopropanol</w:t>
            </w:r>
          </w:p>
        </w:tc>
        <w:tc>
          <w:tcPr>
            <w:tcW w:w="3402" w:type="dxa"/>
          </w:tcPr>
          <w:p w:rsidR="00B824BF" w:rsidRPr="00371F22" w:rsidRDefault="00B824BF" w:rsidP="00CF0AF7">
            <w:pPr>
              <w:rPr>
                <w:rFonts w:cs="Times New Roman"/>
              </w:rPr>
            </w:pPr>
            <w:r w:rsidRPr="00371F22">
              <w:rPr>
                <w:rFonts w:cs="Times New Roman"/>
              </w:rPr>
              <w:t>Fluka</w:t>
            </w:r>
          </w:p>
        </w:tc>
        <w:tc>
          <w:tcPr>
            <w:tcW w:w="2046" w:type="dxa"/>
          </w:tcPr>
          <w:p w:rsidR="00B824BF" w:rsidRPr="00371F22" w:rsidRDefault="00A25E8D" w:rsidP="00CF0AF7">
            <w:pPr>
              <w:rPr>
                <w:rFonts w:cs="Times New Roman"/>
              </w:rPr>
            </w:pPr>
            <w:r>
              <w:rPr>
                <w:rFonts w:cs="Times New Roman"/>
              </w:rPr>
              <w:t>24137</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MEGAscript T7 in vitro transcription Kit</w:t>
            </w:r>
          </w:p>
        </w:tc>
        <w:tc>
          <w:tcPr>
            <w:tcW w:w="3402" w:type="dxa"/>
          </w:tcPr>
          <w:p w:rsidR="00B824BF" w:rsidRPr="00371F22" w:rsidRDefault="00B824BF" w:rsidP="00CF0AF7">
            <w:pPr>
              <w:pStyle w:val="Default"/>
              <w:rPr>
                <w:rFonts w:asciiTheme="minorHAnsi" w:hAnsiTheme="minorHAnsi" w:cs="Times New Roman"/>
                <w:sz w:val="22"/>
                <w:szCs w:val="22"/>
              </w:rPr>
            </w:pPr>
            <w:r w:rsidRPr="00371F22">
              <w:rPr>
                <w:rFonts w:asciiTheme="minorHAnsi" w:hAnsiTheme="minorHAnsi" w:cs="Times New Roman"/>
                <w:sz w:val="22"/>
                <w:szCs w:val="22"/>
              </w:rPr>
              <w:t>Ambion</w:t>
            </w:r>
            <w:r w:rsidR="00A25E8D">
              <w:rPr>
                <w:rFonts w:asciiTheme="minorHAnsi" w:hAnsiTheme="minorHAnsi" w:cs="Times New Roman"/>
                <w:sz w:val="22"/>
                <w:szCs w:val="22"/>
              </w:rPr>
              <w:t>/Invitrogen/Thermo Fisher</w:t>
            </w:r>
          </w:p>
        </w:tc>
        <w:tc>
          <w:tcPr>
            <w:tcW w:w="2046" w:type="dxa"/>
          </w:tcPr>
          <w:p w:rsidR="00B824BF" w:rsidRPr="00371F22" w:rsidRDefault="00A25E8D" w:rsidP="00CF0AF7">
            <w:pPr>
              <w:pStyle w:val="Default"/>
              <w:rPr>
                <w:rFonts w:asciiTheme="minorHAnsi" w:hAnsiTheme="minorHAnsi" w:cs="Times New Roman"/>
                <w:sz w:val="22"/>
                <w:szCs w:val="22"/>
              </w:rPr>
            </w:pPr>
            <w:r>
              <w:rPr>
                <w:rFonts w:asciiTheme="minorHAnsi" w:hAnsiTheme="minorHAnsi" w:cs="Times New Roman"/>
                <w:sz w:val="22"/>
                <w:szCs w:val="22"/>
              </w:rPr>
              <w:t>AM1334</w:t>
            </w:r>
          </w:p>
        </w:tc>
      </w:tr>
      <w:tr w:rsidR="00B824BF" w:rsidRPr="00371F22" w:rsidTr="00A25E8D">
        <w:trPr>
          <w:jc w:val="center"/>
        </w:trPr>
        <w:tc>
          <w:tcPr>
            <w:tcW w:w="3794" w:type="dxa"/>
          </w:tcPr>
          <w:p w:rsidR="00B824BF" w:rsidRPr="00747A48" w:rsidRDefault="00B824BF" w:rsidP="00CF0AF7">
            <w:pPr>
              <w:rPr>
                <w:rFonts w:cs="Times New Roman"/>
              </w:rPr>
            </w:pPr>
            <w:r w:rsidRPr="00747A48">
              <w:rPr>
                <w:rFonts w:cs="Times New Roman"/>
              </w:rPr>
              <w:t>Mini/Midi prep kits</w:t>
            </w:r>
          </w:p>
        </w:tc>
        <w:tc>
          <w:tcPr>
            <w:tcW w:w="3402" w:type="dxa"/>
          </w:tcPr>
          <w:p w:rsidR="00B824BF" w:rsidRDefault="00B824BF" w:rsidP="00CF0AF7">
            <w:pPr>
              <w:rPr>
                <w:rFonts w:cs="Times New Roman"/>
              </w:rPr>
            </w:pPr>
            <w:r>
              <w:rPr>
                <w:rFonts w:cs="Times New Roman"/>
              </w:rPr>
              <w:t>Qiagen</w:t>
            </w:r>
          </w:p>
        </w:tc>
        <w:tc>
          <w:tcPr>
            <w:tcW w:w="2046" w:type="dxa"/>
          </w:tcPr>
          <w:p w:rsidR="00B824BF" w:rsidRDefault="00A25E8D" w:rsidP="00CF0AF7">
            <w:pPr>
              <w:rPr>
                <w:rFonts w:cs="Times New Roman"/>
              </w:rPr>
            </w:pPr>
            <w:r>
              <w:rPr>
                <w:rFonts w:cs="Times New Roman"/>
              </w:rPr>
              <w:t>27104/12143</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Nuclease-free water</w:t>
            </w:r>
          </w:p>
        </w:tc>
        <w:tc>
          <w:tcPr>
            <w:tcW w:w="3402" w:type="dxa"/>
          </w:tcPr>
          <w:p w:rsidR="00B824BF" w:rsidRPr="00371F22" w:rsidRDefault="00B824BF" w:rsidP="00CF0AF7">
            <w:pPr>
              <w:rPr>
                <w:rFonts w:cs="Times New Roman"/>
              </w:rPr>
            </w:pPr>
            <w:r>
              <w:rPr>
                <w:rFonts w:cs="Times New Roman"/>
              </w:rPr>
              <w:t>Ambion</w:t>
            </w:r>
            <w:r w:rsidR="00A25E8D">
              <w:rPr>
                <w:rFonts w:cs="Times New Roman"/>
              </w:rPr>
              <w:t>/Thermo Fisher</w:t>
            </w:r>
          </w:p>
        </w:tc>
        <w:tc>
          <w:tcPr>
            <w:tcW w:w="2046" w:type="dxa"/>
          </w:tcPr>
          <w:p w:rsidR="00B824BF" w:rsidRDefault="00A25E8D" w:rsidP="00CF0AF7">
            <w:pPr>
              <w:rPr>
                <w:rFonts w:cs="Times New Roman"/>
              </w:rPr>
            </w:pPr>
            <w:r>
              <w:rPr>
                <w:rFonts w:cs="Times New Roman"/>
              </w:rPr>
              <w:t>AM9939</w:t>
            </w:r>
          </w:p>
        </w:tc>
      </w:tr>
      <w:tr w:rsidR="00B824BF" w:rsidRPr="00371F22" w:rsidTr="00A25E8D">
        <w:trPr>
          <w:jc w:val="center"/>
        </w:trPr>
        <w:tc>
          <w:tcPr>
            <w:tcW w:w="3794" w:type="dxa"/>
          </w:tcPr>
          <w:p w:rsidR="00B824BF" w:rsidRPr="00747A48" w:rsidRDefault="00B824BF" w:rsidP="00CF0AF7">
            <w:pPr>
              <w:rPr>
                <w:rFonts w:cs="Times New Roman"/>
                <w:color w:val="FF0000"/>
              </w:rPr>
            </w:pPr>
            <w:r w:rsidRPr="00747A48">
              <w:rPr>
                <w:rFonts w:ascii="Calibri" w:hAnsi="Calibri" w:cs="Arial"/>
                <w:bCs/>
                <w:color w:val="000000"/>
                <w:kern w:val="24"/>
              </w:rPr>
              <w:t>Rp/Sp α-thio NTPs</w:t>
            </w:r>
          </w:p>
        </w:tc>
        <w:tc>
          <w:tcPr>
            <w:tcW w:w="3402" w:type="dxa"/>
          </w:tcPr>
          <w:p w:rsidR="00B824BF" w:rsidRDefault="00B824BF" w:rsidP="00CF0AF7">
            <w:pPr>
              <w:rPr>
                <w:rFonts w:cs="Times New Roman"/>
              </w:rPr>
            </w:pPr>
            <w:r>
              <w:rPr>
                <w:rFonts w:cs="Times New Roman"/>
              </w:rPr>
              <w:t>TriLink</w:t>
            </w:r>
          </w:p>
        </w:tc>
        <w:tc>
          <w:tcPr>
            <w:tcW w:w="2046" w:type="dxa"/>
          </w:tcPr>
          <w:p w:rsidR="00B824BF" w:rsidRDefault="005D37CE" w:rsidP="00CF0AF7">
            <w:pPr>
              <w:rPr>
                <w:rFonts w:cs="Times New Roman"/>
              </w:rPr>
            </w:pPr>
            <w:r>
              <w:rPr>
                <w:rFonts w:cs="Times New Roman"/>
              </w:rPr>
              <w:t>K-1002</w:t>
            </w:r>
          </w:p>
        </w:tc>
      </w:tr>
      <w:tr w:rsidR="00B824BF" w:rsidRPr="00371F22" w:rsidTr="00A25E8D">
        <w:trPr>
          <w:jc w:val="center"/>
        </w:trPr>
        <w:tc>
          <w:tcPr>
            <w:tcW w:w="3794" w:type="dxa"/>
          </w:tcPr>
          <w:p w:rsidR="00B824BF" w:rsidRPr="00747A48" w:rsidRDefault="00B824BF" w:rsidP="00CF0AF7">
            <w:pPr>
              <w:rPr>
                <w:rFonts w:cs="Times New Roman"/>
                <w:color w:val="FF0000"/>
              </w:rPr>
            </w:pPr>
            <w:r w:rsidRPr="00747A48">
              <w:rPr>
                <w:rFonts w:ascii="Calibri" w:hAnsi="Calibri" w:cs="Arial"/>
                <w:bCs/>
                <w:color w:val="000000"/>
                <w:kern w:val="24"/>
              </w:rPr>
              <w:t>Sp α-thio NTPs</w:t>
            </w:r>
          </w:p>
        </w:tc>
        <w:tc>
          <w:tcPr>
            <w:tcW w:w="3402" w:type="dxa"/>
          </w:tcPr>
          <w:p w:rsidR="00B824BF" w:rsidRPr="00371F22" w:rsidRDefault="00B824BF" w:rsidP="00CF0AF7">
            <w:pPr>
              <w:rPr>
                <w:rFonts w:cs="Times New Roman"/>
              </w:rPr>
            </w:pPr>
            <w:r>
              <w:rPr>
                <w:rFonts w:cs="Times New Roman"/>
              </w:rPr>
              <w:t>Biolog</w:t>
            </w:r>
          </w:p>
        </w:tc>
        <w:tc>
          <w:tcPr>
            <w:tcW w:w="2046" w:type="dxa"/>
          </w:tcPr>
          <w:p w:rsidR="00B824BF" w:rsidRDefault="005D37CE" w:rsidP="00CF0AF7">
            <w:pPr>
              <w:rPr>
                <w:rFonts w:cs="Times New Roman"/>
              </w:rPr>
            </w:pPr>
            <w:r>
              <w:rPr>
                <w:rFonts w:cs="Times New Roman"/>
              </w:rPr>
              <w:t>A040/G015/U003</w:t>
            </w:r>
          </w:p>
        </w:tc>
      </w:tr>
      <w:tr w:rsidR="00B824BF" w:rsidRPr="00371F22" w:rsidTr="00A25E8D">
        <w:trPr>
          <w:jc w:val="center"/>
        </w:trPr>
        <w:tc>
          <w:tcPr>
            <w:tcW w:w="3794" w:type="dxa"/>
          </w:tcPr>
          <w:p w:rsidR="00B824BF" w:rsidRPr="00371F22" w:rsidRDefault="00B824BF" w:rsidP="00CF0AF7">
            <w:pPr>
              <w:rPr>
                <w:rFonts w:cs="Times New Roman"/>
              </w:rPr>
            </w:pPr>
            <w:r>
              <w:rPr>
                <w:rFonts w:cs="Times New Roman"/>
              </w:rPr>
              <w:t>PB Buffer</w:t>
            </w:r>
          </w:p>
        </w:tc>
        <w:tc>
          <w:tcPr>
            <w:tcW w:w="3402" w:type="dxa"/>
          </w:tcPr>
          <w:p w:rsidR="00B824BF" w:rsidRDefault="00B824BF" w:rsidP="00CF0AF7">
            <w:pPr>
              <w:rPr>
                <w:rFonts w:cs="Times New Roman"/>
              </w:rPr>
            </w:pPr>
            <w:r>
              <w:rPr>
                <w:rFonts w:cs="Times New Roman"/>
              </w:rPr>
              <w:t>Qiagen</w:t>
            </w:r>
          </w:p>
        </w:tc>
        <w:tc>
          <w:tcPr>
            <w:tcW w:w="2046" w:type="dxa"/>
          </w:tcPr>
          <w:p w:rsidR="00B824BF" w:rsidRDefault="005D37CE" w:rsidP="00CF0AF7">
            <w:pPr>
              <w:rPr>
                <w:rFonts w:cs="Times New Roman"/>
              </w:rPr>
            </w:pPr>
            <w:r>
              <w:rPr>
                <w:rFonts w:cs="Times New Roman"/>
              </w:rPr>
              <w:t>19066</w:t>
            </w:r>
          </w:p>
        </w:tc>
      </w:tr>
      <w:tr w:rsidR="00B824BF" w:rsidRPr="00371F22" w:rsidTr="00A25E8D">
        <w:trPr>
          <w:jc w:val="center"/>
        </w:trPr>
        <w:tc>
          <w:tcPr>
            <w:tcW w:w="3794" w:type="dxa"/>
          </w:tcPr>
          <w:p w:rsidR="00B824BF" w:rsidRPr="00371F22" w:rsidRDefault="00674A0F" w:rsidP="00CF0AF7">
            <w:pPr>
              <w:rPr>
                <w:rFonts w:cs="Times New Roman"/>
              </w:rPr>
            </w:pPr>
            <w:r>
              <w:rPr>
                <w:rFonts w:cs="Times New Roman"/>
              </w:rPr>
              <w:t xml:space="preserve">KAPA2G </w:t>
            </w:r>
            <w:r w:rsidR="00B824BF" w:rsidRPr="00371F22">
              <w:rPr>
                <w:rFonts w:cs="Times New Roman"/>
              </w:rPr>
              <w:t>PCR master</w:t>
            </w:r>
            <w:r w:rsidR="00B824BF">
              <w:rPr>
                <w:rFonts w:cs="Times New Roman"/>
              </w:rPr>
              <w:t xml:space="preserve"> mix</w:t>
            </w:r>
          </w:p>
        </w:tc>
        <w:tc>
          <w:tcPr>
            <w:tcW w:w="3402" w:type="dxa"/>
          </w:tcPr>
          <w:p w:rsidR="00B824BF" w:rsidRPr="00371F22" w:rsidRDefault="00B824BF" w:rsidP="00CF0AF7">
            <w:pPr>
              <w:rPr>
                <w:rFonts w:cs="Times New Roman"/>
              </w:rPr>
            </w:pPr>
            <w:r>
              <w:rPr>
                <w:rFonts w:cs="Times New Roman"/>
              </w:rPr>
              <w:t>KAPA Biosystems</w:t>
            </w:r>
          </w:p>
        </w:tc>
        <w:tc>
          <w:tcPr>
            <w:tcW w:w="2046" w:type="dxa"/>
          </w:tcPr>
          <w:p w:rsidR="00B824BF" w:rsidRDefault="00674A0F" w:rsidP="00CF0AF7">
            <w:pPr>
              <w:rPr>
                <w:rFonts w:cs="Times New Roman"/>
              </w:rPr>
            </w:pPr>
            <w:r>
              <w:rPr>
                <w:rFonts w:cs="Times New Roman"/>
              </w:rPr>
              <w:t>KK5102</w:t>
            </w:r>
          </w:p>
        </w:tc>
      </w:tr>
      <w:tr w:rsidR="00B824BF" w:rsidRPr="00371F22" w:rsidTr="00A25E8D">
        <w:trPr>
          <w:jc w:val="center"/>
        </w:trPr>
        <w:tc>
          <w:tcPr>
            <w:tcW w:w="3794" w:type="dxa"/>
          </w:tcPr>
          <w:p w:rsidR="00B824BF" w:rsidRPr="00371F22" w:rsidRDefault="00674A0F" w:rsidP="00CF0AF7">
            <w:pPr>
              <w:rPr>
                <w:rFonts w:cs="Times New Roman"/>
              </w:rPr>
            </w:pPr>
            <w:r>
              <w:rPr>
                <w:rFonts w:cs="Times New Roman"/>
              </w:rPr>
              <w:t xml:space="preserve">KAPA2G </w:t>
            </w:r>
            <w:r w:rsidR="00B824BF">
              <w:rPr>
                <w:rFonts w:cs="Times New Roman"/>
              </w:rPr>
              <w:t>PCR kit</w:t>
            </w:r>
          </w:p>
        </w:tc>
        <w:tc>
          <w:tcPr>
            <w:tcW w:w="3402" w:type="dxa"/>
          </w:tcPr>
          <w:p w:rsidR="00B824BF" w:rsidRDefault="00B824BF" w:rsidP="00CF0AF7">
            <w:pPr>
              <w:rPr>
                <w:rFonts w:cs="Times New Roman"/>
              </w:rPr>
            </w:pPr>
            <w:r>
              <w:rPr>
                <w:rFonts w:cs="Times New Roman"/>
              </w:rPr>
              <w:t>KAPA Biosystems</w:t>
            </w:r>
          </w:p>
        </w:tc>
        <w:tc>
          <w:tcPr>
            <w:tcW w:w="2046" w:type="dxa"/>
          </w:tcPr>
          <w:p w:rsidR="00B824BF" w:rsidRDefault="00674A0F" w:rsidP="00CF0AF7">
            <w:pPr>
              <w:rPr>
                <w:rFonts w:cs="Times New Roman"/>
              </w:rPr>
            </w:pPr>
            <w:r>
              <w:rPr>
                <w:rFonts w:cs="Times New Roman"/>
              </w:rPr>
              <w:t>KK5008</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 xml:space="preserve">Phosphate buffered saline </w:t>
            </w:r>
          </w:p>
        </w:tc>
        <w:tc>
          <w:tcPr>
            <w:tcW w:w="3402" w:type="dxa"/>
          </w:tcPr>
          <w:p w:rsidR="00B824BF" w:rsidRPr="00371F22" w:rsidRDefault="00B824BF" w:rsidP="00CF0AF7">
            <w:pPr>
              <w:rPr>
                <w:rFonts w:cs="Times New Roman"/>
              </w:rPr>
            </w:pPr>
            <w:r w:rsidRPr="00371F22">
              <w:rPr>
                <w:rFonts w:cs="Times New Roman"/>
              </w:rPr>
              <w:t xml:space="preserve">Thermo Fisher </w:t>
            </w:r>
          </w:p>
        </w:tc>
        <w:tc>
          <w:tcPr>
            <w:tcW w:w="2046" w:type="dxa"/>
          </w:tcPr>
          <w:p w:rsidR="00B824BF" w:rsidRPr="00371F22" w:rsidRDefault="00674A0F" w:rsidP="00CF0AF7">
            <w:pPr>
              <w:rPr>
                <w:rFonts w:cs="Times New Roman"/>
              </w:rPr>
            </w:pPr>
            <w:r>
              <w:rPr>
                <w:rFonts w:cs="Times New Roman"/>
              </w:rPr>
              <w:t>BR0014G</w:t>
            </w:r>
          </w:p>
        </w:tc>
      </w:tr>
      <w:tr w:rsidR="00B824BF" w:rsidRPr="00371F22" w:rsidTr="00A25E8D">
        <w:trPr>
          <w:jc w:val="center"/>
        </w:trPr>
        <w:tc>
          <w:tcPr>
            <w:tcW w:w="3794" w:type="dxa"/>
          </w:tcPr>
          <w:p w:rsidR="00B824BF" w:rsidRPr="001A7D48" w:rsidRDefault="00B824BF" w:rsidP="00CF0AF7">
            <w:pPr>
              <w:rPr>
                <w:rFonts w:cs="Times New Roman"/>
              </w:rPr>
            </w:pPr>
            <w:r>
              <w:rPr>
                <w:rFonts w:cs="Times New Roman"/>
              </w:rPr>
              <w:t xml:space="preserve">PowerCut </w:t>
            </w:r>
            <w:r w:rsidRPr="001A7D48">
              <w:rPr>
                <w:rFonts w:cs="Times New Roman"/>
              </w:rPr>
              <w:t>Dicer kit</w:t>
            </w:r>
          </w:p>
        </w:tc>
        <w:tc>
          <w:tcPr>
            <w:tcW w:w="3402" w:type="dxa"/>
          </w:tcPr>
          <w:p w:rsidR="00B824BF" w:rsidRPr="001A7D48" w:rsidRDefault="00B824BF" w:rsidP="00CF0AF7">
            <w:pPr>
              <w:rPr>
                <w:rFonts w:cs="Times New Roman"/>
              </w:rPr>
            </w:pPr>
            <w:r w:rsidRPr="001A7D48">
              <w:rPr>
                <w:rFonts w:cs="Times New Roman"/>
              </w:rPr>
              <w:t>Thermo Fisher</w:t>
            </w:r>
          </w:p>
        </w:tc>
        <w:tc>
          <w:tcPr>
            <w:tcW w:w="2046" w:type="dxa"/>
          </w:tcPr>
          <w:p w:rsidR="00B824BF" w:rsidRPr="001A7D48" w:rsidRDefault="00674A0F" w:rsidP="00CF0AF7">
            <w:pPr>
              <w:rPr>
                <w:rFonts w:cs="Times New Roman"/>
              </w:rPr>
            </w:pPr>
            <w:r>
              <w:rPr>
                <w:rFonts w:cs="Times New Roman"/>
              </w:rPr>
              <w:t>F-602S</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 xml:space="preserve">RNA loading dye </w:t>
            </w:r>
            <w:r>
              <w:rPr>
                <w:rFonts w:cs="Times New Roman"/>
              </w:rPr>
              <w:t>II</w:t>
            </w:r>
          </w:p>
        </w:tc>
        <w:tc>
          <w:tcPr>
            <w:tcW w:w="3402" w:type="dxa"/>
          </w:tcPr>
          <w:p w:rsidR="00B824BF" w:rsidRPr="00371F22" w:rsidRDefault="00B824BF" w:rsidP="00CF0AF7">
            <w:pPr>
              <w:rPr>
                <w:rFonts w:cs="Times New Roman"/>
                <w:color w:val="FF0000"/>
              </w:rPr>
            </w:pPr>
            <w:r w:rsidRPr="00371F22">
              <w:rPr>
                <w:rFonts w:cs="Times New Roman"/>
              </w:rPr>
              <w:t>Ambion</w:t>
            </w:r>
          </w:p>
        </w:tc>
        <w:tc>
          <w:tcPr>
            <w:tcW w:w="2046" w:type="dxa"/>
          </w:tcPr>
          <w:p w:rsidR="00B824BF" w:rsidRPr="00371F22" w:rsidRDefault="00674A0F" w:rsidP="00CF0AF7">
            <w:pPr>
              <w:rPr>
                <w:rFonts w:cs="Times New Roman"/>
              </w:rPr>
            </w:pPr>
            <w:r>
              <w:rPr>
                <w:rFonts w:cs="Times New Roman"/>
              </w:rPr>
              <w:t>AM8546G</w:t>
            </w:r>
          </w:p>
        </w:tc>
      </w:tr>
      <w:tr w:rsidR="00B824BF" w:rsidRPr="00371F22" w:rsidTr="00A25E8D">
        <w:trPr>
          <w:jc w:val="center"/>
        </w:trPr>
        <w:tc>
          <w:tcPr>
            <w:tcW w:w="3794" w:type="dxa"/>
          </w:tcPr>
          <w:p w:rsidR="00B824BF" w:rsidRPr="001A7D48" w:rsidRDefault="00B824BF" w:rsidP="00CF0AF7">
            <w:pPr>
              <w:rPr>
                <w:rFonts w:cs="Times New Roman"/>
              </w:rPr>
            </w:pPr>
            <w:r>
              <w:rPr>
                <w:rFonts w:cs="Times New Roman"/>
              </w:rPr>
              <w:t xml:space="preserve">Shortcut </w:t>
            </w:r>
            <w:r w:rsidRPr="001A7D48">
              <w:rPr>
                <w:rFonts w:cs="Times New Roman"/>
              </w:rPr>
              <w:t>RNase III kit</w:t>
            </w:r>
          </w:p>
        </w:tc>
        <w:tc>
          <w:tcPr>
            <w:tcW w:w="3402" w:type="dxa"/>
          </w:tcPr>
          <w:p w:rsidR="00B824BF" w:rsidRPr="001A7D48" w:rsidRDefault="00B824BF" w:rsidP="00CF0AF7">
            <w:pPr>
              <w:rPr>
                <w:rFonts w:cs="Times New Roman"/>
              </w:rPr>
            </w:pPr>
            <w:r w:rsidRPr="001A7D48">
              <w:rPr>
                <w:rFonts w:cs="Times New Roman"/>
              </w:rPr>
              <w:t>NEB</w:t>
            </w:r>
          </w:p>
        </w:tc>
        <w:tc>
          <w:tcPr>
            <w:tcW w:w="2046" w:type="dxa"/>
          </w:tcPr>
          <w:p w:rsidR="00B824BF" w:rsidRPr="001A7D48" w:rsidRDefault="00674A0F" w:rsidP="00CF0AF7">
            <w:pPr>
              <w:rPr>
                <w:rFonts w:cs="Times New Roman"/>
              </w:rPr>
            </w:pPr>
            <w:r>
              <w:rPr>
                <w:rFonts w:cs="Times New Roman"/>
              </w:rPr>
              <w:t>M0245S</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Sodium chloride</w:t>
            </w:r>
            <w:r w:rsidRPr="00371F22">
              <w:rPr>
                <w:rFonts w:cs="Times New Roman"/>
                <w:vertAlign w:val="superscript"/>
              </w:rPr>
              <w:t xml:space="preserve"> </w:t>
            </w:r>
          </w:p>
        </w:tc>
        <w:tc>
          <w:tcPr>
            <w:tcW w:w="3402" w:type="dxa"/>
          </w:tcPr>
          <w:p w:rsidR="00B824BF" w:rsidRPr="00371F22" w:rsidRDefault="00B824BF" w:rsidP="00CF0AF7">
            <w:pPr>
              <w:rPr>
                <w:rFonts w:cs="Times New Roman"/>
              </w:rPr>
            </w:pPr>
            <w:r w:rsidRPr="00371F22">
              <w:rPr>
                <w:rFonts w:cs="Times New Roman"/>
              </w:rPr>
              <w:t>Sigma</w:t>
            </w:r>
          </w:p>
        </w:tc>
        <w:tc>
          <w:tcPr>
            <w:tcW w:w="2046" w:type="dxa"/>
          </w:tcPr>
          <w:p w:rsidR="00B824BF" w:rsidRPr="00371F22" w:rsidRDefault="00674A0F" w:rsidP="00CF0AF7">
            <w:pPr>
              <w:rPr>
                <w:rFonts w:cs="Times New Roman"/>
              </w:rPr>
            </w:pPr>
            <w:r>
              <w:rPr>
                <w:rFonts w:cs="Times New Roman"/>
              </w:rPr>
              <w:t>S9888</w:t>
            </w:r>
          </w:p>
        </w:tc>
      </w:tr>
      <w:tr w:rsidR="00B824BF" w:rsidRPr="00371F22" w:rsidTr="00A25E8D">
        <w:trPr>
          <w:jc w:val="center"/>
        </w:trPr>
        <w:tc>
          <w:tcPr>
            <w:tcW w:w="3794" w:type="dxa"/>
          </w:tcPr>
          <w:p w:rsidR="00B824BF" w:rsidRPr="00371F22" w:rsidRDefault="00B824BF" w:rsidP="00CF0AF7">
            <w:pPr>
              <w:rPr>
                <w:rFonts w:cs="Times New Roman"/>
              </w:rPr>
            </w:pPr>
            <w:r w:rsidRPr="00371F22">
              <w:rPr>
                <w:rFonts w:cs="Times New Roman"/>
              </w:rPr>
              <w:t>Triethylammonium acetate</w:t>
            </w:r>
          </w:p>
        </w:tc>
        <w:tc>
          <w:tcPr>
            <w:tcW w:w="3402" w:type="dxa"/>
          </w:tcPr>
          <w:p w:rsidR="00B824BF" w:rsidRPr="00371F22" w:rsidRDefault="00B824BF" w:rsidP="00CF0AF7">
            <w:pPr>
              <w:rPr>
                <w:rFonts w:cs="Times New Roman"/>
              </w:rPr>
            </w:pPr>
            <w:r>
              <w:rPr>
                <w:rFonts w:cs="Times New Roman"/>
              </w:rPr>
              <w:t>Fluka</w:t>
            </w:r>
          </w:p>
        </w:tc>
        <w:tc>
          <w:tcPr>
            <w:tcW w:w="2046" w:type="dxa"/>
          </w:tcPr>
          <w:p w:rsidR="00B824BF" w:rsidRDefault="00674A0F" w:rsidP="00CF0AF7">
            <w:pPr>
              <w:rPr>
                <w:rFonts w:cs="Times New Roman"/>
              </w:rPr>
            </w:pPr>
            <w:r>
              <w:rPr>
                <w:rFonts w:cs="Times New Roman"/>
              </w:rPr>
              <w:t>90357-500ML</w:t>
            </w:r>
          </w:p>
        </w:tc>
      </w:tr>
      <w:tr w:rsidR="00B824BF" w:rsidRPr="00371F22" w:rsidTr="00A25E8D">
        <w:trPr>
          <w:jc w:val="center"/>
        </w:trPr>
        <w:tc>
          <w:tcPr>
            <w:tcW w:w="3794" w:type="dxa"/>
          </w:tcPr>
          <w:p w:rsidR="00B824BF" w:rsidRPr="00371F22" w:rsidRDefault="00B824BF" w:rsidP="00CF0AF7">
            <w:pPr>
              <w:rPr>
                <w:rFonts w:cs="Times New Roman"/>
              </w:rPr>
            </w:pPr>
            <w:r>
              <w:rPr>
                <w:rFonts w:cs="Times New Roman"/>
              </w:rPr>
              <w:t>Tris base</w:t>
            </w:r>
          </w:p>
        </w:tc>
        <w:tc>
          <w:tcPr>
            <w:tcW w:w="3402" w:type="dxa"/>
          </w:tcPr>
          <w:p w:rsidR="00B824BF" w:rsidRDefault="00B824BF" w:rsidP="00CF0AF7">
            <w:pPr>
              <w:rPr>
                <w:rFonts w:cs="Times New Roman"/>
              </w:rPr>
            </w:pPr>
            <w:r>
              <w:rPr>
                <w:rFonts w:cs="Times New Roman"/>
              </w:rPr>
              <w:t>Sigma</w:t>
            </w:r>
          </w:p>
        </w:tc>
        <w:tc>
          <w:tcPr>
            <w:tcW w:w="2046" w:type="dxa"/>
          </w:tcPr>
          <w:p w:rsidR="00B824BF" w:rsidRDefault="007878EA" w:rsidP="00CF0AF7">
            <w:pPr>
              <w:rPr>
                <w:rFonts w:cs="Times New Roman"/>
              </w:rPr>
            </w:pPr>
            <w:r>
              <w:rPr>
                <w:rFonts w:cs="Times New Roman"/>
              </w:rPr>
              <w:t>648310-M</w:t>
            </w:r>
          </w:p>
        </w:tc>
      </w:tr>
      <w:tr w:rsidR="00B824BF" w:rsidRPr="00371F22" w:rsidTr="00A25E8D">
        <w:trPr>
          <w:jc w:val="center"/>
        </w:trPr>
        <w:tc>
          <w:tcPr>
            <w:tcW w:w="3794" w:type="dxa"/>
          </w:tcPr>
          <w:p w:rsidR="00B824BF" w:rsidRDefault="00B824BF" w:rsidP="00CF0AF7">
            <w:pPr>
              <w:rPr>
                <w:rFonts w:cs="Times New Roman"/>
              </w:rPr>
            </w:pPr>
            <w:r>
              <w:rPr>
                <w:rFonts w:cs="Times New Roman"/>
              </w:rPr>
              <w:t>Triton X-100</w:t>
            </w:r>
          </w:p>
        </w:tc>
        <w:tc>
          <w:tcPr>
            <w:tcW w:w="3402" w:type="dxa"/>
          </w:tcPr>
          <w:p w:rsidR="00B824BF" w:rsidRDefault="00B824BF" w:rsidP="00CF0AF7">
            <w:pPr>
              <w:rPr>
                <w:rFonts w:cs="Times New Roman"/>
              </w:rPr>
            </w:pPr>
            <w:r>
              <w:rPr>
                <w:rFonts w:cs="Times New Roman"/>
              </w:rPr>
              <w:t>Sigma Life Sciences</w:t>
            </w:r>
          </w:p>
        </w:tc>
        <w:tc>
          <w:tcPr>
            <w:tcW w:w="2046" w:type="dxa"/>
          </w:tcPr>
          <w:p w:rsidR="00B824BF" w:rsidRDefault="007878EA" w:rsidP="00CF0AF7">
            <w:pPr>
              <w:rPr>
                <w:rFonts w:cs="Times New Roman"/>
              </w:rPr>
            </w:pPr>
            <w:r>
              <w:rPr>
                <w:rFonts w:cs="Times New Roman"/>
              </w:rPr>
              <w:t>T8787</w:t>
            </w:r>
          </w:p>
        </w:tc>
      </w:tr>
    </w:tbl>
    <w:p w:rsidR="00CF0AF7" w:rsidRDefault="00CF0AF7" w:rsidP="00CF0AF7"/>
    <w:p w:rsidR="00CF0AF7" w:rsidRDefault="00CF0AF7" w:rsidP="00CF0AF7"/>
    <w:p w:rsidR="00CF0AF7" w:rsidRDefault="00CF0AF7" w:rsidP="00CF0AF7"/>
    <w:tbl>
      <w:tblPr>
        <w:tblStyle w:val="TableGrid"/>
        <w:tblW w:w="0" w:type="auto"/>
        <w:jc w:val="center"/>
        <w:tblLook w:val="04A0"/>
      </w:tblPr>
      <w:tblGrid>
        <w:gridCol w:w="3794"/>
        <w:gridCol w:w="2126"/>
        <w:gridCol w:w="3322"/>
      </w:tblGrid>
      <w:tr w:rsidR="00B824BF" w:rsidRPr="00371F22" w:rsidTr="00B824BF">
        <w:trPr>
          <w:jc w:val="center"/>
        </w:trPr>
        <w:tc>
          <w:tcPr>
            <w:tcW w:w="3794" w:type="dxa"/>
          </w:tcPr>
          <w:p w:rsidR="00B824BF" w:rsidRPr="000764B2" w:rsidRDefault="00B824BF" w:rsidP="00CF0AF7">
            <w:pPr>
              <w:rPr>
                <w:rFonts w:cs="Times New Roman"/>
                <w:b/>
              </w:rPr>
            </w:pPr>
            <w:r>
              <w:rPr>
                <w:rFonts w:cs="Times New Roman"/>
                <w:b/>
              </w:rPr>
              <w:lastRenderedPageBreak/>
              <w:t>Cell culture medium and supplements</w:t>
            </w:r>
          </w:p>
        </w:tc>
        <w:tc>
          <w:tcPr>
            <w:tcW w:w="2126" w:type="dxa"/>
          </w:tcPr>
          <w:p w:rsidR="00B824BF" w:rsidRPr="000764B2" w:rsidRDefault="00B824BF" w:rsidP="00CF0AF7">
            <w:pPr>
              <w:rPr>
                <w:rFonts w:cs="Times New Roman"/>
                <w:b/>
              </w:rPr>
            </w:pPr>
            <w:r>
              <w:rPr>
                <w:rFonts w:cs="Times New Roman"/>
                <w:b/>
              </w:rPr>
              <w:t>Company</w:t>
            </w:r>
          </w:p>
        </w:tc>
        <w:tc>
          <w:tcPr>
            <w:tcW w:w="3322" w:type="dxa"/>
          </w:tcPr>
          <w:p w:rsidR="00B824BF" w:rsidRDefault="00B824BF" w:rsidP="00CF0AF7">
            <w:pPr>
              <w:rPr>
                <w:rFonts w:cs="Times New Roman"/>
                <w:b/>
              </w:rPr>
            </w:pPr>
            <w:r>
              <w:rPr>
                <w:rFonts w:cs="Times New Roman"/>
                <w:b/>
              </w:rPr>
              <w:t>Product Code</w:t>
            </w:r>
          </w:p>
        </w:tc>
      </w:tr>
      <w:tr w:rsidR="00B824BF" w:rsidRPr="00371F22" w:rsidTr="00B824BF">
        <w:trPr>
          <w:jc w:val="center"/>
        </w:trPr>
        <w:tc>
          <w:tcPr>
            <w:tcW w:w="3794" w:type="dxa"/>
          </w:tcPr>
          <w:p w:rsidR="00B824BF" w:rsidRPr="001A7D48" w:rsidRDefault="00B824BF" w:rsidP="00CF0AF7">
            <w:pPr>
              <w:rPr>
                <w:rFonts w:cs="Times New Roman"/>
              </w:rPr>
            </w:pPr>
            <w:r w:rsidRPr="001A7D48">
              <w:rPr>
                <w:rFonts w:cs="Times New Roman"/>
              </w:rPr>
              <w:t>Foetal bovine serum (FBS)</w:t>
            </w:r>
          </w:p>
        </w:tc>
        <w:tc>
          <w:tcPr>
            <w:tcW w:w="2126" w:type="dxa"/>
          </w:tcPr>
          <w:p w:rsidR="00B824BF" w:rsidRPr="001A7D48" w:rsidRDefault="00B824BF" w:rsidP="00CF0AF7">
            <w:pPr>
              <w:rPr>
                <w:rFonts w:cs="Times New Roman"/>
              </w:rPr>
            </w:pPr>
            <w:r w:rsidRPr="001A7D48">
              <w:rPr>
                <w:rFonts w:cs="Times New Roman"/>
              </w:rPr>
              <w:t>Sigma Life Sciences</w:t>
            </w:r>
          </w:p>
        </w:tc>
        <w:tc>
          <w:tcPr>
            <w:tcW w:w="3322" w:type="dxa"/>
          </w:tcPr>
          <w:p w:rsidR="00B824BF" w:rsidRPr="001A7D48" w:rsidRDefault="007878EA" w:rsidP="00CF0AF7">
            <w:pPr>
              <w:rPr>
                <w:rFonts w:cs="Times New Roman"/>
              </w:rPr>
            </w:pPr>
            <w:r>
              <w:rPr>
                <w:rFonts w:cs="Times New Roman"/>
              </w:rPr>
              <w:t>F2442</w:t>
            </w:r>
          </w:p>
        </w:tc>
      </w:tr>
      <w:tr w:rsidR="00B824BF" w:rsidRPr="00371F22" w:rsidTr="00B824BF">
        <w:trPr>
          <w:jc w:val="center"/>
        </w:trPr>
        <w:tc>
          <w:tcPr>
            <w:tcW w:w="3794" w:type="dxa"/>
          </w:tcPr>
          <w:p w:rsidR="00B824BF" w:rsidRPr="001A7D48" w:rsidRDefault="00B824BF" w:rsidP="00CF0AF7">
            <w:pPr>
              <w:rPr>
                <w:rFonts w:cs="Times New Roman"/>
              </w:rPr>
            </w:pPr>
            <w:r w:rsidRPr="001A7D48">
              <w:rPr>
                <w:rFonts w:cs="Times New Roman"/>
              </w:rPr>
              <w:t>Hyclone CCM3 Medium</w:t>
            </w:r>
          </w:p>
        </w:tc>
        <w:tc>
          <w:tcPr>
            <w:tcW w:w="2126" w:type="dxa"/>
          </w:tcPr>
          <w:p w:rsidR="00B824BF" w:rsidRPr="001A7D48" w:rsidRDefault="00B824BF" w:rsidP="00CF0AF7">
            <w:pPr>
              <w:rPr>
                <w:rFonts w:cs="Times New Roman"/>
              </w:rPr>
            </w:pPr>
            <w:r w:rsidRPr="001A7D48">
              <w:rPr>
                <w:rFonts w:cs="Times New Roman"/>
              </w:rPr>
              <w:t>GE Life Sciences</w:t>
            </w:r>
          </w:p>
        </w:tc>
        <w:tc>
          <w:tcPr>
            <w:tcW w:w="3322" w:type="dxa"/>
          </w:tcPr>
          <w:p w:rsidR="00B824BF" w:rsidRPr="001A7D48" w:rsidRDefault="007878EA" w:rsidP="00CF0AF7">
            <w:pPr>
              <w:rPr>
                <w:rFonts w:cs="Times New Roman"/>
              </w:rPr>
            </w:pPr>
            <w:r>
              <w:rPr>
                <w:rFonts w:cs="Times New Roman"/>
              </w:rPr>
              <w:t>SH30065</w:t>
            </w:r>
          </w:p>
        </w:tc>
      </w:tr>
      <w:tr w:rsidR="00B824BF" w:rsidRPr="00371F22" w:rsidTr="00B824BF">
        <w:trPr>
          <w:jc w:val="center"/>
        </w:trPr>
        <w:tc>
          <w:tcPr>
            <w:tcW w:w="3794" w:type="dxa"/>
          </w:tcPr>
          <w:p w:rsidR="00B824BF" w:rsidRPr="001A7D48" w:rsidRDefault="00B824BF" w:rsidP="00CF0AF7">
            <w:pPr>
              <w:rPr>
                <w:rFonts w:cs="Times New Roman"/>
              </w:rPr>
            </w:pPr>
            <w:r w:rsidRPr="001A7D48">
              <w:rPr>
                <w:rFonts w:cs="Times New Roman"/>
              </w:rPr>
              <w:t>LB Agar</w:t>
            </w:r>
          </w:p>
        </w:tc>
        <w:tc>
          <w:tcPr>
            <w:tcW w:w="2126" w:type="dxa"/>
          </w:tcPr>
          <w:p w:rsidR="00B824BF" w:rsidRPr="001A7D48" w:rsidRDefault="00B824BF" w:rsidP="00CF0AF7">
            <w:pPr>
              <w:rPr>
                <w:rFonts w:cs="Times New Roman"/>
              </w:rPr>
            </w:pPr>
            <w:r w:rsidRPr="001A7D48">
              <w:rPr>
                <w:rFonts w:cs="Times New Roman"/>
              </w:rPr>
              <w:t>MP Biomedicals</w:t>
            </w:r>
          </w:p>
        </w:tc>
        <w:tc>
          <w:tcPr>
            <w:tcW w:w="3322" w:type="dxa"/>
          </w:tcPr>
          <w:p w:rsidR="00B824BF" w:rsidRPr="001A7D48" w:rsidRDefault="007878EA" w:rsidP="00CF0AF7">
            <w:pPr>
              <w:rPr>
                <w:rFonts w:cs="Times New Roman"/>
              </w:rPr>
            </w:pPr>
            <w:r>
              <w:rPr>
                <w:rFonts w:cs="Times New Roman"/>
              </w:rPr>
              <w:t>11383259</w:t>
            </w:r>
          </w:p>
        </w:tc>
      </w:tr>
      <w:tr w:rsidR="00B824BF" w:rsidRPr="00371F22" w:rsidTr="00B824BF">
        <w:trPr>
          <w:jc w:val="center"/>
        </w:trPr>
        <w:tc>
          <w:tcPr>
            <w:tcW w:w="3794" w:type="dxa"/>
          </w:tcPr>
          <w:p w:rsidR="00B824BF" w:rsidRDefault="00B824BF" w:rsidP="00CF0AF7">
            <w:pPr>
              <w:rPr>
                <w:rFonts w:cs="Times New Roman"/>
              </w:rPr>
            </w:pPr>
            <w:r>
              <w:rPr>
                <w:rFonts w:cs="Times New Roman"/>
              </w:rPr>
              <w:t>LB Broth</w:t>
            </w:r>
          </w:p>
        </w:tc>
        <w:tc>
          <w:tcPr>
            <w:tcW w:w="2126" w:type="dxa"/>
          </w:tcPr>
          <w:p w:rsidR="00B824BF" w:rsidRDefault="00B824BF" w:rsidP="00CF0AF7">
            <w:pPr>
              <w:rPr>
                <w:rFonts w:cs="Times New Roman"/>
              </w:rPr>
            </w:pPr>
            <w:r>
              <w:rPr>
                <w:rFonts w:cs="Times New Roman"/>
              </w:rPr>
              <w:t>Sigma Life Sciences</w:t>
            </w:r>
          </w:p>
        </w:tc>
        <w:tc>
          <w:tcPr>
            <w:tcW w:w="3322" w:type="dxa"/>
          </w:tcPr>
          <w:p w:rsidR="00B824BF" w:rsidRDefault="007878EA" w:rsidP="00CF0AF7">
            <w:pPr>
              <w:rPr>
                <w:rFonts w:cs="Times New Roman"/>
              </w:rPr>
            </w:pPr>
            <w:r>
              <w:rPr>
                <w:rFonts w:cs="Times New Roman"/>
              </w:rPr>
              <w:t>L3522</w:t>
            </w:r>
          </w:p>
        </w:tc>
      </w:tr>
      <w:tr w:rsidR="00B824BF" w:rsidRPr="00371F22" w:rsidTr="00B824BF">
        <w:trPr>
          <w:jc w:val="center"/>
        </w:trPr>
        <w:tc>
          <w:tcPr>
            <w:tcW w:w="3794" w:type="dxa"/>
          </w:tcPr>
          <w:p w:rsidR="00B824BF" w:rsidRPr="001A7D48" w:rsidRDefault="00B824BF" w:rsidP="00CF0AF7">
            <w:pPr>
              <w:rPr>
                <w:rFonts w:cs="Times New Roman"/>
              </w:rPr>
            </w:pPr>
            <w:r w:rsidRPr="001A7D48">
              <w:rPr>
                <w:rFonts w:cs="Times New Roman"/>
              </w:rPr>
              <w:t>M3 Medium</w:t>
            </w:r>
          </w:p>
        </w:tc>
        <w:tc>
          <w:tcPr>
            <w:tcW w:w="2126" w:type="dxa"/>
          </w:tcPr>
          <w:p w:rsidR="00B824BF" w:rsidRPr="001A7D48" w:rsidRDefault="00B824BF" w:rsidP="00CF0AF7">
            <w:pPr>
              <w:rPr>
                <w:rFonts w:cs="Times New Roman"/>
              </w:rPr>
            </w:pPr>
            <w:r w:rsidRPr="001A7D48">
              <w:rPr>
                <w:rFonts w:cs="Times New Roman"/>
              </w:rPr>
              <w:t>Caisson</w:t>
            </w:r>
          </w:p>
        </w:tc>
        <w:tc>
          <w:tcPr>
            <w:tcW w:w="3322" w:type="dxa"/>
          </w:tcPr>
          <w:p w:rsidR="00B824BF" w:rsidRPr="001A7D48" w:rsidRDefault="00FB15D2" w:rsidP="00CF0AF7">
            <w:pPr>
              <w:rPr>
                <w:rFonts w:cs="Times New Roman"/>
              </w:rPr>
            </w:pPr>
            <w:r>
              <w:rPr>
                <w:rFonts w:cs="Times New Roman"/>
              </w:rPr>
              <w:t>SSL01</w:t>
            </w:r>
          </w:p>
        </w:tc>
      </w:tr>
      <w:tr w:rsidR="00B824BF" w:rsidRPr="00371F22" w:rsidTr="00B824BF">
        <w:trPr>
          <w:jc w:val="center"/>
        </w:trPr>
        <w:tc>
          <w:tcPr>
            <w:tcW w:w="3794" w:type="dxa"/>
          </w:tcPr>
          <w:p w:rsidR="00B824BF" w:rsidRPr="001A7D48" w:rsidRDefault="00B824BF" w:rsidP="00CF0AF7">
            <w:pPr>
              <w:rPr>
                <w:rFonts w:cs="Times New Roman"/>
              </w:rPr>
            </w:pPr>
            <w:r w:rsidRPr="001A7D48">
              <w:rPr>
                <w:rFonts w:cs="Times New Roman"/>
              </w:rPr>
              <w:t>Pen-Strep</w:t>
            </w:r>
          </w:p>
        </w:tc>
        <w:tc>
          <w:tcPr>
            <w:tcW w:w="2126" w:type="dxa"/>
          </w:tcPr>
          <w:p w:rsidR="00B824BF" w:rsidRPr="001A7D48" w:rsidRDefault="00B824BF" w:rsidP="00CF0AF7">
            <w:pPr>
              <w:rPr>
                <w:rFonts w:cs="Times New Roman"/>
              </w:rPr>
            </w:pPr>
            <w:r w:rsidRPr="001A7D48">
              <w:rPr>
                <w:rFonts w:cs="Times New Roman"/>
              </w:rPr>
              <w:t>Lonza</w:t>
            </w:r>
          </w:p>
        </w:tc>
        <w:tc>
          <w:tcPr>
            <w:tcW w:w="3322" w:type="dxa"/>
          </w:tcPr>
          <w:p w:rsidR="00B824BF" w:rsidRPr="001A7D48" w:rsidRDefault="00FB15D2" w:rsidP="00CF0AF7">
            <w:pPr>
              <w:rPr>
                <w:rFonts w:cs="Times New Roman"/>
              </w:rPr>
            </w:pPr>
            <w:r>
              <w:rPr>
                <w:rFonts w:cs="Times New Roman"/>
              </w:rPr>
              <w:t>17-602E</w:t>
            </w:r>
          </w:p>
        </w:tc>
      </w:tr>
      <w:tr w:rsidR="00B824BF" w:rsidRPr="00371F22" w:rsidTr="00B824BF">
        <w:trPr>
          <w:jc w:val="center"/>
        </w:trPr>
        <w:tc>
          <w:tcPr>
            <w:tcW w:w="3794" w:type="dxa"/>
          </w:tcPr>
          <w:p w:rsidR="00B824BF" w:rsidRPr="001A7D48" w:rsidRDefault="00B824BF" w:rsidP="00CF0AF7">
            <w:pPr>
              <w:rPr>
                <w:rFonts w:cs="Times New Roman"/>
              </w:rPr>
            </w:pPr>
            <w:r w:rsidRPr="001A7D48">
              <w:rPr>
                <w:rFonts w:cs="Times New Roman"/>
              </w:rPr>
              <w:t>Schneider’s Drosophila Medium</w:t>
            </w:r>
          </w:p>
        </w:tc>
        <w:tc>
          <w:tcPr>
            <w:tcW w:w="2126" w:type="dxa"/>
          </w:tcPr>
          <w:p w:rsidR="00B824BF" w:rsidRPr="001A7D48" w:rsidRDefault="00B824BF" w:rsidP="00CF0AF7">
            <w:pPr>
              <w:rPr>
                <w:rFonts w:cs="Times New Roman"/>
              </w:rPr>
            </w:pPr>
            <w:r w:rsidRPr="001A7D48">
              <w:rPr>
                <w:rFonts w:cs="Times New Roman"/>
              </w:rPr>
              <w:t>Gibco</w:t>
            </w:r>
          </w:p>
        </w:tc>
        <w:tc>
          <w:tcPr>
            <w:tcW w:w="3322" w:type="dxa"/>
          </w:tcPr>
          <w:p w:rsidR="00B824BF" w:rsidRPr="001A7D48" w:rsidRDefault="00FB15D2" w:rsidP="00CF0AF7">
            <w:pPr>
              <w:rPr>
                <w:rFonts w:cs="Times New Roman"/>
              </w:rPr>
            </w:pPr>
            <w:r>
              <w:rPr>
                <w:rFonts w:cs="Times New Roman"/>
              </w:rPr>
              <w:t>21720001</w:t>
            </w:r>
          </w:p>
        </w:tc>
      </w:tr>
      <w:tr w:rsidR="00B824BF" w:rsidRPr="00371F22" w:rsidTr="00B824BF">
        <w:trPr>
          <w:jc w:val="center"/>
        </w:trPr>
        <w:tc>
          <w:tcPr>
            <w:tcW w:w="3794" w:type="dxa"/>
          </w:tcPr>
          <w:p w:rsidR="00B824BF" w:rsidRPr="001A7D48" w:rsidRDefault="00B824BF" w:rsidP="00CF0AF7">
            <w:pPr>
              <w:rPr>
                <w:rFonts w:cs="Times New Roman"/>
              </w:rPr>
            </w:pPr>
            <w:r w:rsidRPr="001A7D48">
              <w:rPr>
                <w:rFonts w:cs="Times New Roman"/>
              </w:rPr>
              <w:t>Sf9 Medium</w:t>
            </w:r>
          </w:p>
        </w:tc>
        <w:tc>
          <w:tcPr>
            <w:tcW w:w="2126" w:type="dxa"/>
          </w:tcPr>
          <w:p w:rsidR="00B824BF" w:rsidRPr="001A7D48" w:rsidRDefault="00B824BF" w:rsidP="00CF0AF7">
            <w:pPr>
              <w:rPr>
                <w:rFonts w:cs="Times New Roman"/>
              </w:rPr>
            </w:pPr>
            <w:r w:rsidRPr="001A7D48">
              <w:rPr>
                <w:rFonts w:cs="Times New Roman"/>
              </w:rPr>
              <w:t>Gibco</w:t>
            </w:r>
          </w:p>
        </w:tc>
        <w:tc>
          <w:tcPr>
            <w:tcW w:w="3322" w:type="dxa"/>
          </w:tcPr>
          <w:p w:rsidR="00B824BF" w:rsidRPr="001A7D48" w:rsidRDefault="00FB15D2" w:rsidP="00CF0AF7">
            <w:pPr>
              <w:rPr>
                <w:rFonts w:cs="Times New Roman"/>
              </w:rPr>
            </w:pPr>
            <w:r>
              <w:rPr>
                <w:rFonts w:cs="Times New Roman"/>
              </w:rPr>
              <w:t>10902088</w:t>
            </w:r>
          </w:p>
        </w:tc>
      </w:tr>
      <w:tr w:rsidR="009D093D" w:rsidRPr="00371F22" w:rsidTr="00B824BF">
        <w:trPr>
          <w:jc w:val="center"/>
        </w:trPr>
        <w:tc>
          <w:tcPr>
            <w:tcW w:w="3794" w:type="dxa"/>
          </w:tcPr>
          <w:p w:rsidR="009D093D" w:rsidRPr="001A7D48" w:rsidRDefault="009D093D" w:rsidP="00CF0AF7">
            <w:pPr>
              <w:rPr>
                <w:rFonts w:cs="Times New Roman"/>
              </w:rPr>
            </w:pPr>
            <w:r>
              <w:rPr>
                <w:rFonts w:cs="Times New Roman"/>
              </w:rPr>
              <w:t>Yeast Extract</w:t>
            </w:r>
          </w:p>
        </w:tc>
        <w:tc>
          <w:tcPr>
            <w:tcW w:w="2126" w:type="dxa"/>
          </w:tcPr>
          <w:p w:rsidR="009D093D" w:rsidRPr="001A7D48" w:rsidRDefault="009D093D" w:rsidP="00CF0AF7">
            <w:pPr>
              <w:rPr>
                <w:rFonts w:cs="Times New Roman"/>
              </w:rPr>
            </w:pPr>
            <w:r>
              <w:rPr>
                <w:rFonts w:cs="Times New Roman"/>
              </w:rPr>
              <w:t>Sigma Life Sciences</w:t>
            </w:r>
          </w:p>
        </w:tc>
        <w:tc>
          <w:tcPr>
            <w:tcW w:w="3322" w:type="dxa"/>
          </w:tcPr>
          <w:p w:rsidR="009D093D" w:rsidRPr="001A7D48" w:rsidRDefault="00FB15D2" w:rsidP="00CF0AF7">
            <w:pPr>
              <w:rPr>
                <w:rFonts w:cs="Times New Roman"/>
              </w:rPr>
            </w:pPr>
            <w:r>
              <w:rPr>
                <w:rFonts w:cs="Times New Roman"/>
              </w:rPr>
              <w:t>Y1625</w:t>
            </w:r>
          </w:p>
        </w:tc>
      </w:tr>
      <w:tr w:rsidR="009D093D" w:rsidRPr="00371F22" w:rsidTr="00B824BF">
        <w:trPr>
          <w:jc w:val="center"/>
        </w:trPr>
        <w:tc>
          <w:tcPr>
            <w:tcW w:w="3794" w:type="dxa"/>
          </w:tcPr>
          <w:p w:rsidR="009D093D" w:rsidRPr="001A7D48" w:rsidRDefault="00FB15D2" w:rsidP="00CF0AF7">
            <w:pPr>
              <w:rPr>
                <w:rFonts w:cs="Times New Roman"/>
              </w:rPr>
            </w:pPr>
            <w:r>
              <w:rPr>
                <w:rFonts w:cs="Times New Roman"/>
              </w:rPr>
              <w:t>Bacteriological</w:t>
            </w:r>
            <w:r w:rsidR="009D093D">
              <w:rPr>
                <w:rFonts w:cs="Times New Roman"/>
              </w:rPr>
              <w:t xml:space="preserve"> Peptone</w:t>
            </w:r>
          </w:p>
        </w:tc>
        <w:tc>
          <w:tcPr>
            <w:tcW w:w="2126" w:type="dxa"/>
          </w:tcPr>
          <w:p w:rsidR="009D093D" w:rsidRPr="001A7D48" w:rsidRDefault="009D093D" w:rsidP="00CF0AF7">
            <w:pPr>
              <w:rPr>
                <w:rFonts w:cs="Times New Roman"/>
              </w:rPr>
            </w:pPr>
            <w:r>
              <w:rPr>
                <w:rFonts w:cs="Times New Roman"/>
              </w:rPr>
              <w:t>Fisher Scientific</w:t>
            </w:r>
          </w:p>
        </w:tc>
        <w:tc>
          <w:tcPr>
            <w:tcW w:w="3322" w:type="dxa"/>
          </w:tcPr>
          <w:p w:rsidR="009D093D" w:rsidRPr="001A7D48" w:rsidRDefault="00FB15D2" w:rsidP="00CF0AF7">
            <w:pPr>
              <w:rPr>
                <w:rFonts w:cs="Times New Roman"/>
              </w:rPr>
            </w:pPr>
            <w:r>
              <w:rPr>
                <w:rFonts w:cs="Times New Roman"/>
              </w:rPr>
              <w:t>10404013</w:t>
            </w:r>
          </w:p>
        </w:tc>
      </w:tr>
    </w:tbl>
    <w:p w:rsidR="00CF0AF7" w:rsidRDefault="00CF0AF7" w:rsidP="009D093D">
      <w:pPr>
        <w:pStyle w:val="Heading2"/>
        <w:numPr>
          <w:ilvl w:val="0"/>
          <w:numId w:val="0"/>
        </w:numPr>
        <w:spacing w:before="0" w:line="360" w:lineRule="auto"/>
        <w:ind w:left="578"/>
      </w:pPr>
    </w:p>
    <w:tbl>
      <w:tblPr>
        <w:tblStyle w:val="TableGrid"/>
        <w:tblW w:w="0" w:type="auto"/>
        <w:jc w:val="center"/>
        <w:tblInd w:w="-135" w:type="dxa"/>
        <w:tblLook w:val="04A0"/>
      </w:tblPr>
      <w:tblGrid>
        <w:gridCol w:w="3362"/>
        <w:gridCol w:w="2417"/>
        <w:gridCol w:w="3260"/>
      </w:tblGrid>
      <w:tr w:rsidR="00B824BF" w:rsidRPr="00DC2307" w:rsidTr="00780074">
        <w:trPr>
          <w:jc w:val="center"/>
        </w:trPr>
        <w:tc>
          <w:tcPr>
            <w:tcW w:w="3362" w:type="dxa"/>
          </w:tcPr>
          <w:p w:rsidR="00B824BF" w:rsidRPr="00DC2307" w:rsidRDefault="00B824BF" w:rsidP="00CF0AF7">
            <w:pPr>
              <w:rPr>
                <w:rFonts w:cs="Times New Roman"/>
                <w:b/>
              </w:rPr>
            </w:pPr>
            <w:r w:rsidRPr="00DC2307">
              <w:rPr>
                <w:rFonts w:cs="Times New Roman"/>
                <w:b/>
              </w:rPr>
              <w:t xml:space="preserve">Equipment </w:t>
            </w:r>
          </w:p>
        </w:tc>
        <w:tc>
          <w:tcPr>
            <w:tcW w:w="2417" w:type="dxa"/>
          </w:tcPr>
          <w:p w:rsidR="00B824BF" w:rsidRPr="00DC2307" w:rsidRDefault="00B824BF" w:rsidP="00CF0AF7">
            <w:pPr>
              <w:rPr>
                <w:rFonts w:cs="Times New Roman"/>
                <w:b/>
              </w:rPr>
            </w:pPr>
            <w:r w:rsidRPr="00DC2307">
              <w:rPr>
                <w:rFonts w:cs="Times New Roman"/>
                <w:b/>
              </w:rPr>
              <w:t>Company</w:t>
            </w:r>
          </w:p>
        </w:tc>
        <w:tc>
          <w:tcPr>
            <w:tcW w:w="3260" w:type="dxa"/>
          </w:tcPr>
          <w:p w:rsidR="00B824BF" w:rsidRPr="00DC2307" w:rsidRDefault="00B824BF" w:rsidP="00CF0AF7">
            <w:pPr>
              <w:rPr>
                <w:rFonts w:cs="Times New Roman"/>
                <w:b/>
              </w:rPr>
            </w:pPr>
            <w:r>
              <w:rPr>
                <w:rFonts w:cs="Times New Roman"/>
                <w:b/>
              </w:rPr>
              <w:t>Model</w:t>
            </w:r>
            <w:r w:rsidR="00780074">
              <w:rPr>
                <w:rFonts w:cs="Times New Roman"/>
                <w:b/>
              </w:rPr>
              <w:t>/Catalogue</w:t>
            </w:r>
            <w:r>
              <w:rPr>
                <w:rFonts w:cs="Times New Roman"/>
                <w:b/>
              </w:rPr>
              <w:t xml:space="preserve"> Number</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 xml:space="preserve">Weighing balance </w:t>
            </w:r>
          </w:p>
        </w:tc>
        <w:tc>
          <w:tcPr>
            <w:tcW w:w="2417" w:type="dxa"/>
          </w:tcPr>
          <w:p w:rsidR="00B824BF" w:rsidRPr="00DC2307" w:rsidRDefault="00B824BF" w:rsidP="00CF0AF7">
            <w:pPr>
              <w:rPr>
                <w:rFonts w:cs="Times New Roman"/>
              </w:rPr>
            </w:pPr>
            <w:r w:rsidRPr="00DC2307">
              <w:rPr>
                <w:rFonts w:cs="Times New Roman"/>
              </w:rPr>
              <w:t>Kern</w:t>
            </w:r>
          </w:p>
        </w:tc>
        <w:tc>
          <w:tcPr>
            <w:tcW w:w="3260" w:type="dxa"/>
          </w:tcPr>
          <w:p w:rsidR="00B824BF" w:rsidRPr="00DC2307" w:rsidRDefault="005852B3" w:rsidP="00CF0AF7">
            <w:pPr>
              <w:rPr>
                <w:rFonts w:cs="Times New Roman"/>
              </w:rPr>
            </w:pPr>
            <w:r>
              <w:rPr>
                <w:rFonts w:cs="Times New Roman"/>
              </w:rPr>
              <w:t>ABT320-4NM</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Heating Block</w:t>
            </w:r>
          </w:p>
        </w:tc>
        <w:tc>
          <w:tcPr>
            <w:tcW w:w="2417" w:type="dxa"/>
          </w:tcPr>
          <w:p w:rsidR="00B824BF" w:rsidRPr="00DC2307" w:rsidRDefault="00B824BF" w:rsidP="00CF0AF7">
            <w:pPr>
              <w:rPr>
                <w:rFonts w:cs="Times New Roman"/>
              </w:rPr>
            </w:pPr>
            <w:r w:rsidRPr="00DC2307">
              <w:rPr>
                <w:rFonts w:cs="Times New Roman"/>
              </w:rPr>
              <w:t>Techne</w:t>
            </w:r>
          </w:p>
        </w:tc>
        <w:tc>
          <w:tcPr>
            <w:tcW w:w="3260" w:type="dxa"/>
          </w:tcPr>
          <w:p w:rsidR="00B824BF" w:rsidRPr="00DC2307" w:rsidRDefault="005C452A" w:rsidP="00CF0AF7">
            <w:pPr>
              <w:rPr>
                <w:rFonts w:cs="Times New Roman"/>
              </w:rPr>
            </w:pPr>
            <w:r>
              <w:rPr>
                <w:rFonts w:cs="Times New Roman"/>
              </w:rPr>
              <w:t>DB-3A</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 xml:space="preserve">Heated ultrasonic bath </w:t>
            </w:r>
          </w:p>
        </w:tc>
        <w:tc>
          <w:tcPr>
            <w:tcW w:w="2417" w:type="dxa"/>
          </w:tcPr>
          <w:p w:rsidR="00B824BF" w:rsidRPr="00DC2307" w:rsidRDefault="00B824BF" w:rsidP="00CF0AF7">
            <w:pPr>
              <w:rPr>
                <w:rFonts w:cs="Times New Roman"/>
              </w:rPr>
            </w:pPr>
            <w:r w:rsidRPr="00DC2307">
              <w:rPr>
                <w:rFonts w:cs="Times New Roman"/>
              </w:rPr>
              <w:t>Fisher Scientific</w:t>
            </w:r>
          </w:p>
        </w:tc>
        <w:tc>
          <w:tcPr>
            <w:tcW w:w="3260" w:type="dxa"/>
          </w:tcPr>
          <w:p w:rsidR="00B824BF" w:rsidRPr="00DC2307" w:rsidRDefault="005C452A" w:rsidP="00CF0AF7">
            <w:pPr>
              <w:rPr>
                <w:rFonts w:cs="Times New Roman"/>
              </w:rPr>
            </w:pPr>
            <w:r>
              <w:rPr>
                <w:rFonts w:cs="Times New Roman"/>
              </w:rPr>
              <w:t>11718029</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Centrifuge</w:t>
            </w:r>
          </w:p>
        </w:tc>
        <w:tc>
          <w:tcPr>
            <w:tcW w:w="2417" w:type="dxa"/>
          </w:tcPr>
          <w:p w:rsidR="00B824BF" w:rsidRPr="00DC2307" w:rsidRDefault="00B824BF" w:rsidP="00CF0AF7">
            <w:pPr>
              <w:rPr>
                <w:rFonts w:cs="Times New Roman"/>
                <w:highlight w:val="red"/>
              </w:rPr>
            </w:pPr>
            <w:r w:rsidRPr="00DC2307">
              <w:rPr>
                <w:rFonts w:cs="Times New Roman"/>
              </w:rPr>
              <w:t>Eppendorf</w:t>
            </w:r>
          </w:p>
        </w:tc>
        <w:tc>
          <w:tcPr>
            <w:tcW w:w="3260" w:type="dxa"/>
          </w:tcPr>
          <w:p w:rsidR="00B824BF" w:rsidRPr="00DC2307" w:rsidRDefault="005C452A" w:rsidP="00CF0AF7">
            <w:pPr>
              <w:rPr>
                <w:rFonts w:cs="Times New Roman"/>
              </w:rPr>
            </w:pPr>
            <w:r>
              <w:rPr>
                <w:rFonts w:cs="Times New Roman"/>
              </w:rPr>
              <w:t>5424</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Nanodrop Spectrophotometer</w:t>
            </w:r>
          </w:p>
        </w:tc>
        <w:tc>
          <w:tcPr>
            <w:tcW w:w="2417" w:type="dxa"/>
          </w:tcPr>
          <w:p w:rsidR="00B824BF" w:rsidRPr="00DC2307" w:rsidRDefault="00B824BF" w:rsidP="00CF0AF7">
            <w:pPr>
              <w:rPr>
                <w:rFonts w:cs="Times New Roman"/>
                <w:highlight w:val="red"/>
              </w:rPr>
            </w:pPr>
            <w:r w:rsidRPr="00DC2307">
              <w:rPr>
                <w:rFonts w:cs="Times New Roman"/>
              </w:rPr>
              <w:t>Fisher Scientific</w:t>
            </w:r>
          </w:p>
        </w:tc>
        <w:tc>
          <w:tcPr>
            <w:tcW w:w="3260" w:type="dxa"/>
          </w:tcPr>
          <w:p w:rsidR="00B824BF" w:rsidRPr="00DC2307" w:rsidRDefault="005C452A" w:rsidP="00CF0AF7">
            <w:pPr>
              <w:rPr>
                <w:rFonts w:cs="Times New Roman"/>
              </w:rPr>
            </w:pPr>
            <w:r>
              <w:rPr>
                <w:rFonts w:cs="Times New Roman"/>
              </w:rPr>
              <w:t>ND-2000</w:t>
            </w:r>
          </w:p>
        </w:tc>
      </w:tr>
      <w:tr w:rsidR="00B824BF" w:rsidRPr="00DC2307" w:rsidTr="00780074">
        <w:trPr>
          <w:jc w:val="center"/>
        </w:trPr>
        <w:tc>
          <w:tcPr>
            <w:tcW w:w="3362" w:type="dxa"/>
          </w:tcPr>
          <w:p w:rsidR="00B824BF" w:rsidRPr="00DC2307" w:rsidRDefault="00B824BF" w:rsidP="00CF0AF7">
            <w:pPr>
              <w:rPr>
                <w:rFonts w:cs="Times New Roman"/>
              </w:rPr>
            </w:pPr>
            <w:r>
              <w:rPr>
                <w:rFonts w:cs="Times New Roman"/>
              </w:rPr>
              <w:t>Thermal cycler (PCR)</w:t>
            </w:r>
          </w:p>
        </w:tc>
        <w:tc>
          <w:tcPr>
            <w:tcW w:w="2417" w:type="dxa"/>
          </w:tcPr>
          <w:p w:rsidR="00B824BF" w:rsidRPr="00DC2307" w:rsidRDefault="00B824BF" w:rsidP="00CF0AF7">
            <w:pPr>
              <w:rPr>
                <w:rFonts w:cs="Times New Roman"/>
              </w:rPr>
            </w:pPr>
            <w:r>
              <w:rPr>
                <w:rFonts w:cs="Times New Roman"/>
              </w:rPr>
              <w:t>Applied Biosystems</w:t>
            </w:r>
          </w:p>
        </w:tc>
        <w:tc>
          <w:tcPr>
            <w:tcW w:w="3260" w:type="dxa"/>
          </w:tcPr>
          <w:p w:rsidR="00B824BF" w:rsidRDefault="005C452A" w:rsidP="00CF0AF7">
            <w:pPr>
              <w:rPr>
                <w:rFonts w:cs="Times New Roman"/>
              </w:rPr>
            </w:pPr>
            <w:r>
              <w:rPr>
                <w:rFonts w:cs="Times New Roman"/>
              </w:rPr>
              <w:t>4375786</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UV transilluminator</w:t>
            </w:r>
          </w:p>
        </w:tc>
        <w:tc>
          <w:tcPr>
            <w:tcW w:w="2417" w:type="dxa"/>
          </w:tcPr>
          <w:p w:rsidR="00B824BF" w:rsidRPr="00DC2307" w:rsidRDefault="00B824BF" w:rsidP="00CF0AF7">
            <w:pPr>
              <w:rPr>
                <w:rFonts w:cs="Times New Roman"/>
                <w:highlight w:val="red"/>
              </w:rPr>
            </w:pPr>
            <w:r w:rsidRPr="00DC2307">
              <w:rPr>
                <w:rFonts w:cs="Times New Roman"/>
              </w:rPr>
              <w:t>UVP</w:t>
            </w:r>
          </w:p>
        </w:tc>
        <w:tc>
          <w:tcPr>
            <w:tcW w:w="3260" w:type="dxa"/>
          </w:tcPr>
          <w:p w:rsidR="00B824BF" w:rsidRPr="00DC2307" w:rsidRDefault="005C452A" w:rsidP="00CF0AF7">
            <w:pPr>
              <w:rPr>
                <w:rFonts w:cs="Times New Roman"/>
              </w:rPr>
            </w:pPr>
            <w:r>
              <w:rPr>
                <w:rFonts w:cs="Times New Roman"/>
              </w:rPr>
              <w:t>UV/White</w:t>
            </w:r>
          </w:p>
        </w:tc>
      </w:tr>
      <w:tr w:rsidR="00B824BF" w:rsidRPr="00DC2307" w:rsidTr="00780074">
        <w:trPr>
          <w:jc w:val="center"/>
        </w:trPr>
        <w:tc>
          <w:tcPr>
            <w:tcW w:w="3362" w:type="dxa"/>
          </w:tcPr>
          <w:p w:rsidR="00B824BF" w:rsidRPr="00166257" w:rsidRDefault="00B824BF" w:rsidP="00CF0AF7">
            <w:pPr>
              <w:rPr>
                <w:rFonts w:cs="Times New Roman"/>
              </w:rPr>
            </w:pPr>
            <w:r>
              <w:rPr>
                <w:rFonts w:cs="Times New Roman"/>
              </w:rPr>
              <w:t>FAS-Digi</w:t>
            </w:r>
          </w:p>
        </w:tc>
        <w:tc>
          <w:tcPr>
            <w:tcW w:w="2417" w:type="dxa"/>
          </w:tcPr>
          <w:p w:rsidR="00B824BF" w:rsidRPr="00DC2307" w:rsidRDefault="00B824BF" w:rsidP="00CF0AF7">
            <w:pPr>
              <w:rPr>
                <w:rFonts w:cs="Times New Roman"/>
              </w:rPr>
            </w:pPr>
            <w:r>
              <w:rPr>
                <w:rFonts w:cs="Times New Roman"/>
              </w:rPr>
              <w:t>Geneflow</w:t>
            </w:r>
          </w:p>
        </w:tc>
        <w:tc>
          <w:tcPr>
            <w:tcW w:w="3260" w:type="dxa"/>
          </w:tcPr>
          <w:p w:rsidR="00B824BF" w:rsidRDefault="005C452A" w:rsidP="00CF0AF7">
            <w:pPr>
              <w:rPr>
                <w:rFonts w:cs="Times New Roman"/>
              </w:rPr>
            </w:pPr>
            <w:r>
              <w:rPr>
                <w:rFonts w:cs="Times New Roman"/>
              </w:rPr>
              <w:t>NGFG09/G5-0744</w:t>
            </w:r>
          </w:p>
        </w:tc>
      </w:tr>
      <w:tr w:rsidR="00B824BF" w:rsidRPr="00DC2307" w:rsidTr="00780074">
        <w:trPr>
          <w:jc w:val="center"/>
        </w:trPr>
        <w:tc>
          <w:tcPr>
            <w:tcW w:w="3362" w:type="dxa"/>
          </w:tcPr>
          <w:p w:rsidR="00B824BF" w:rsidRPr="00747A48" w:rsidRDefault="00B824BF" w:rsidP="00CF0AF7">
            <w:pPr>
              <w:rPr>
                <w:rFonts w:cs="Times New Roman"/>
              </w:rPr>
            </w:pPr>
            <w:r>
              <w:rPr>
                <w:rFonts w:cs="Times New Roman"/>
              </w:rPr>
              <w:t>Camera</w:t>
            </w:r>
          </w:p>
        </w:tc>
        <w:tc>
          <w:tcPr>
            <w:tcW w:w="2417" w:type="dxa"/>
          </w:tcPr>
          <w:p w:rsidR="00B824BF" w:rsidRPr="00DC2307" w:rsidRDefault="00B824BF" w:rsidP="00CF0AF7">
            <w:pPr>
              <w:rPr>
                <w:rFonts w:cs="Times New Roman"/>
              </w:rPr>
            </w:pPr>
            <w:r>
              <w:rPr>
                <w:rFonts w:cs="Times New Roman"/>
              </w:rPr>
              <w:t>Lumix</w:t>
            </w:r>
          </w:p>
        </w:tc>
        <w:tc>
          <w:tcPr>
            <w:tcW w:w="3260" w:type="dxa"/>
          </w:tcPr>
          <w:p w:rsidR="00B824BF" w:rsidRDefault="00780074" w:rsidP="00CF0AF7">
            <w:pPr>
              <w:rPr>
                <w:rFonts w:cs="Times New Roman"/>
              </w:rPr>
            </w:pPr>
            <w:r>
              <w:rPr>
                <w:rFonts w:cs="Times New Roman"/>
              </w:rPr>
              <w:t>DMC-GF7 (Included with FAS-Digi</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Vortex mixer</w:t>
            </w:r>
          </w:p>
        </w:tc>
        <w:tc>
          <w:tcPr>
            <w:tcW w:w="2417" w:type="dxa"/>
          </w:tcPr>
          <w:p w:rsidR="00B824BF" w:rsidRPr="00DC2307" w:rsidRDefault="00B824BF" w:rsidP="00CF0AF7">
            <w:pPr>
              <w:rPr>
                <w:rFonts w:cs="Times New Roman"/>
                <w:highlight w:val="red"/>
              </w:rPr>
            </w:pPr>
            <w:r w:rsidRPr="00DC2307">
              <w:rPr>
                <w:rFonts w:cs="Times New Roman"/>
              </w:rPr>
              <w:t>Fisher Scientific</w:t>
            </w:r>
          </w:p>
        </w:tc>
        <w:tc>
          <w:tcPr>
            <w:tcW w:w="3260" w:type="dxa"/>
          </w:tcPr>
          <w:p w:rsidR="00B824BF" w:rsidRPr="00DC2307" w:rsidRDefault="00780074" w:rsidP="00CF0AF7">
            <w:pPr>
              <w:rPr>
                <w:rFonts w:cs="Times New Roman"/>
              </w:rPr>
            </w:pPr>
            <w:r>
              <w:rPr>
                <w:rFonts w:cs="Times New Roman"/>
              </w:rPr>
              <w:t>11726744</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 xml:space="preserve">pH meter </w:t>
            </w:r>
          </w:p>
        </w:tc>
        <w:tc>
          <w:tcPr>
            <w:tcW w:w="2417" w:type="dxa"/>
          </w:tcPr>
          <w:p w:rsidR="00B824BF" w:rsidRPr="00DC2307" w:rsidRDefault="00B824BF" w:rsidP="00CF0AF7">
            <w:pPr>
              <w:rPr>
                <w:rFonts w:cs="Times New Roman"/>
                <w:highlight w:val="red"/>
              </w:rPr>
            </w:pPr>
            <w:r w:rsidRPr="00DC2307">
              <w:rPr>
                <w:rFonts w:cs="Times New Roman"/>
              </w:rPr>
              <w:t>Mettler Toledo</w:t>
            </w:r>
          </w:p>
        </w:tc>
        <w:tc>
          <w:tcPr>
            <w:tcW w:w="3260" w:type="dxa"/>
          </w:tcPr>
          <w:p w:rsidR="00B824BF" w:rsidRPr="00DC2307" w:rsidRDefault="00780074" w:rsidP="00CF0AF7">
            <w:pPr>
              <w:rPr>
                <w:rFonts w:cs="Times New Roman"/>
              </w:rPr>
            </w:pPr>
            <w:r>
              <w:rPr>
                <w:rFonts w:cs="Times New Roman"/>
              </w:rPr>
              <w:t>F20/F30</w:t>
            </w:r>
          </w:p>
        </w:tc>
      </w:tr>
      <w:tr w:rsidR="00B824BF" w:rsidRPr="00DC2307" w:rsidTr="00780074">
        <w:trPr>
          <w:jc w:val="center"/>
        </w:trPr>
        <w:tc>
          <w:tcPr>
            <w:tcW w:w="3362" w:type="dxa"/>
          </w:tcPr>
          <w:p w:rsidR="00B824BF" w:rsidRPr="00DC2307" w:rsidRDefault="00B824BF" w:rsidP="00CF0AF7">
            <w:pPr>
              <w:rPr>
                <w:rFonts w:cs="Times New Roman"/>
              </w:rPr>
            </w:pPr>
            <w:r>
              <w:rPr>
                <w:rFonts w:cs="Times New Roman"/>
              </w:rPr>
              <w:t>G</w:t>
            </w:r>
            <w:r w:rsidRPr="00DC2307">
              <w:rPr>
                <w:rFonts w:cs="Times New Roman"/>
              </w:rPr>
              <w:t xml:space="preserve">el apparatus </w:t>
            </w:r>
          </w:p>
        </w:tc>
        <w:tc>
          <w:tcPr>
            <w:tcW w:w="2417" w:type="dxa"/>
          </w:tcPr>
          <w:p w:rsidR="00B824BF" w:rsidRPr="00DC2307" w:rsidRDefault="00B824BF" w:rsidP="00CF0AF7">
            <w:pPr>
              <w:rPr>
                <w:rFonts w:cs="Times New Roman"/>
                <w:highlight w:val="red"/>
              </w:rPr>
            </w:pPr>
            <w:r w:rsidRPr="00DC2307">
              <w:rPr>
                <w:rFonts w:cs="Times New Roman"/>
              </w:rPr>
              <w:t>Bio-rad</w:t>
            </w:r>
            <w:r>
              <w:rPr>
                <w:rFonts w:cs="Times New Roman"/>
              </w:rPr>
              <w:t xml:space="preserve">, </w:t>
            </w:r>
            <w:r>
              <w:t>Embi Tec</w:t>
            </w:r>
          </w:p>
        </w:tc>
        <w:tc>
          <w:tcPr>
            <w:tcW w:w="3260" w:type="dxa"/>
          </w:tcPr>
          <w:p w:rsidR="00B824BF" w:rsidRPr="00DC2307" w:rsidRDefault="00780074" w:rsidP="00CF0AF7">
            <w:pPr>
              <w:rPr>
                <w:rFonts w:cs="Times New Roman"/>
              </w:rPr>
            </w:pPr>
            <w:r>
              <w:rPr>
                <w:rFonts w:cs="Times New Roman"/>
              </w:rPr>
              <w:t>Various</w:t>
            </w:r>
          </w:p>
        </w:tc>
      </w:tr>
      <w:tr w:rsidR="00B824BF" w:rsidRPr="00DC2307" w:rsidTr="00780074">
        <w:trPr>
          <w:jc w:val="center"/>
        </w:trPr>
        <w:tc>
          <w:tcPr>
            <w:tcW w:w="3362" w:type="dxa"/>
          </w:tcPr>
          <w:p w:rsidR="00B824BF" w:rsidRPr="00DC2307" w:rsidRDefault="00B824BF" w:rsidP="00CF0AF7">
            <w:r w:rsidRPr="00DC2307">
              <w:t>Power supplies</w:t>
            </w:r>
          </w:p>
        </w:tc>
        <w:tc>
          <w:tcPr>
            <w:tcW w:w="2417" w:type="dxa"/>
          </w:tcPr>
          <w:p w:rsidR="00B824BF" w:rsidRPr="00DC2307" w:rsidRDefault="00B824BF" w:rsidP="00CF0AF7">
            <w:r w:rsidRPr="00DC2307">
              <w:rPr>
                <w:rFonts w:cs="Times New Roman"/>
              </w:rPr>
              <w:t>Bio-rad</w:t>
            </w:r>
            <w:r>
              <w:rPr>
                <w:rFonts w:cs="Times New Roman"/>
              </w:rPr>
              <w:t>, Embi Tec</w:t>
            </w:r>
          </w:p>
        </w:tc>
        <w:tc>
          <w:tcPr>
            <w:tcW w:w="3260" w:type="dxa"/>
          </w:tcPr>
          <w:p w:rsidR="00B824BF" w:rsidRPr="00DC2307" w:rsidRDefault="00780074" w:rsidP="00CF0AF7">
            <w:pPr>
              <w:rPr>
                <w:rFonts w:cs="Times New Roman"/>
              </w:rPr>
            </w:pPr>
            <w:r>
              <w:rPr>
                <w:rFonts w:cs="Times New Roman"/>
              </w:rPr>
              <w:t>Various</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Incubator Shaker</w:t>
            </w:r>
          </w:p>
        </w:tc>
        <w:tc>
          <w:tcPr>
            <w:tcW w:w="2417" w:type="dxa"/>
          </w:tcPr>
          <w:p w:rsidR="00B824BF" w:rsidRPr="00DC2307" w:rsidRDefault="00B824BF" w:rsidP="00CF0AF7">
            <w:pPr>
              <w:rPr>
                <w:rFonts w:cs="Times New Roman"/>
              </w:rPr>
            </w:pPr>
            <w:r w:rsidRPr="00DC2307">
              <w:rPr>
                <w:rFonts w:cs="Times New Roman"/>
              </w:rPr>
              <w:t>SciQuip</w:t>
            </w:r>
          </w:p>
        </w:tc>
        <w:tc>
          <w:tcPr>
            <w:tcW w:w="3260" w:type="dxa"/>
          </w:tcPr>
          <w:p w:rsidR="00B824BF" w:rsidRPr="00DC2307" w:rsidRDefault="00780074" w:rsidP="00CF0AF7">
            <w:pPr>
              <w:rPr>
                <w:rFonts w:cs="Times New Roman"/>
              </w:rPr>
            </w:pPr>
            <w:r>
              <w:rPr>
                <w:rFonts w:cs="Times New Roman"/>
              </w:rPr>
              <w:t>SQ-4030</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HPLC Ultimate 3000</w:t>
            </w:r>
            <w:r w:rsidRPr="00DC2307">
              <w:rPr>
                <w:rFonts w:cs="Times New Roman"/>
              </w:rPr>
              <w:tab/>
            </w:r>
          </w:p>
        </w:tc>
        <w:tc>
          <w:tcPr>
            <w:tcW w:w="2417" w:type="dxa"/>
          </w:tcPr>
          <w:p w:rsidR="00B824BF" w:rsidRPr="00DC2307" w:rsidRDefault="00B824BF" w:rsidP="00CF0AF7">
            <w:pPr>
              <w:rPr>
                <w:rFonts w:cs="Times New Roman"/>
              </w:rPr>
            </w:pPr>
            <w:r w:rsidRPr="00DC2307">
              <w:rPr>
                <w:rFonts w:cs="Times New Roman"/>
              </w:rPr>
              <w:t>Dionex</w:t>
            </w:r>
          </w:p>
        </w:tc>
        <w:tc>
          <w:tcPr>
            <w:tcW w:w="3260" w:type="dxa"/>
          </w:tcPr>
          <w:p w:rsidR="00B824BF" w:rsidRPr="00DC2307" w:rsidRDefault="00780074" w:rsidP="00CF0AF7">
            <w:pPr>
              <w:rPr>
                <w:rFonts w:cs="Times New Roman"/>
              </w:rPr>
            </w:pPr>
            <w:r>
              <w:rPr>
                <w:rFonts w:cs="Times New Roman"/>
              </w:rPr>
              <w:t>U3000</w:t>
            </w:r>
          </w:p>
        </w:tc>
      </w:tr>
      <w:tr w:rsidR="00B824BF" w:rsidRPr="00DC2307" w:rsidTr="00780074">
        <w:trPr>
          <w:jc w:val="center"/>
        </w:trPr>
        <w:tc>
          <w:tcPr>
            <w:tcW w:w="3362" w:type="dxa"/>
          </w:tcPr>
          <w:p w:rsidR="00B824BF" w:rsidRPr="00DC2307" w:rsidRDefault="00B824BF" w:rsidP="00CF0AF7">
            <w:pPr>
              <w:rPr>
                <w:rFonts w:cs="Times New Roman"/>
              </w:rPr>
            </w:pPr>
            <w:r w:rsidRPr="00DC2307">
              <w:rPr>
                <w:rFonts w:cs="Times New Roman"/>
              </w:rPr>
              <w:t>HPLC Agilent 1100</w:t>
            </w:r>
          </w:p>
        </w:tc>
        <w:tc>
          <w:tcPr>
            <w:tcW w:w="2417" w:type="dxa"/>
          </w:tcPr>
          <w:p w:rsidR="00B824BF" w:rsidRPr="00DC2307" w:rsidRDefault="00B824BF" w:rsidP="00CF0AF7">
            <w:pPr>
              <w:rPr>
                <w:rFonts w:cs="Times New Roman"/>
              </w:rPr>
            </w:pPr>
            <w:r w:rsidRPr="00DC2307">
              <w:rPr>
                <w:rFonts w:cs="Times New Roman"/>
              </w:rPr>
              <w:t>Agilent</w:t>
            </w:r>
          </w:p>
        </w:tc>
        <w:tc>
          <w:tcPr>
            <w:tcW w:w="3260" w:type="dxa"/>
          </w:tcPr>
          <w:p w:rsidR="00B824BF" w:rsidRPr="00DC2307" w:rsidRDefault="00780074" w:rsidP="00CF0AF7">
            <w:pPr>
              <w:rPr>
                <w:rFonts w:cs="Times New Roman"/>
              </w:rPr>
            </w:pPr>
            <w:r>
              <w:rPr>
                <w:rFonts w:cs="Times New Roman"/>
              </w:rPr>
              <w:t>1100</w:t>
            </w:r>
          </w:p>
        </w:tc>
      </w:tr>
      <w:tr w:rsidR="00B824BF" w:rsidRPr="00DC2307" w:rsidTr="00780074">
        <w:trPr>
          <w:jc w:val="center"/>
        </w:trPr>
        <w:tc>
          <w:tcPr>
            <w:tcW w:w="3362" w:type="dxa"/>
          </w:tcPr>
          <w:p w:rsidR="00B824BF" w:rsidRPr="00166257" w:rsidRDefault="00B824BF" w:rsidP="00CF0AF7">
            <w:pPr>
              <w:rPr>
                <w:rFonts w:cs="Times New Roman"/>
              </w:rPr>
            </w:pPr>
            <w:r>
              <w:rPr>
                <w:rFonts w:cs="Times New Roman"/>
              </w:rPr>
              <w:t>Column oven</w:t>
            </w:r>
          </w:p>
        </w:tc>
        <w:tc>
          <w:tcPr>
            <w:tcW w:w="2417" w:type="dxa"/>
          </w:tcPr>
          <w:p w:rsidR="00B824BF" w:rsidRPr="00DC2307" w:rsidRDefault="00B824BF" w:rsidP="00CF0AF7">
            <w:pPr>
              <w:rPr>
                <w:rFonts w:cs="Times New Roman"/>
              </w:rPr>
            </w:pPr>
            <w:r>
              <w:rPr>
                <w:rFonts w:cs="Times New Roman"/>
              </w:rPr>
              <w:t>Transgenomic</w:t>
            </w:r>
          </w:p>
        </w:tc>
        <w:tc>
          <w:tcPr>
            <w:tcW w:w="3260" w:type="dxa"/>
          </w:tcPr>
          <w:p w:rsidR="00B824BF" w:rsidRDefault="00780074" w:rsidP="00CF0AF7">
            <w:pPr>
              <w:rPr>
                <w:rFonts w:cs="Times New Roman"/>
              </w:rPr>
            </w:pPr>
            <w:r>
              <w:rPr>
                <w:rFonts w:cs="Times New Roman"/>
              </w:rPr>
              <w:t>L7300</w:t>
            </w:r>
          </w:p>
        </w:tc>
      </w:tr>
      <w:tr w:rsidR="00B824BF" w:rsidRPr="00DC2307" w:rsidTr="00780074">
        <w:trPr>
          <w:jc w:val="center"/>
        </w:trPr>
        <w:tc>
          <w:tcPr>
            <w:tcW w:w="3362" w:type="dxa"/>
          </w:tcPr>
          <w:p w:rsidR="00B824BF" w:rsidRDefault="00B824BF" w:rsidP="00CF0AF7">
            <w:pPr>
              <w:rPr>
                <w:rFonts w:cs="Times New Roman"/>
              </w:rPr>
            </w:pPr>
            <w:r>
              <w:rPr>
                <w:rFonts w:cs="Times New Roman"/>
              </w:rPr>
              <w:t>RP-1S reverse phase HPLC column</w:t>
            </w:r>
          </w:p>
        </w:tc>
        <w:tc>
          <w:tcPr>
            <w:tcW w:w="2417" w:type="dxa"/>
          </w:tcPr>
          <w:p w:rsidR="00B824BF" w:rsidRDefault="00B824BF" w:rsidP="00CF0AF7">
            <w:pPr>
              <w:rPr>
                <w:rFonts w:cs="Times New Roman"/>
              </w:rPr>
            </w:pPr>
            <w:r>
              <w:rPr>
                <w:rFonts w:cs="Times New Roman"/>
              </w:rPr>
              <w:t>Thermo Fisher</w:t>
            </w:r>
          </w:p>
        </w:tc>
        <w:tc>
          <w:tcPr>
            <w:tcW w:w="3260" w:type="dxa"/>
          </w:tcPr>
          <w:p w:rsidR="00B824BF" w:rsidRDefault="00780074" w:rsidP="00CF0AF7">
            <w:pPr>
              <w:rPr>
                <w:rFonts w:cs="Times New Roman"/>
              </w:rPr>
            </w:pPr>
            <w:r>
              <w:rPr>
                <w:rFonts w:cs="Times New Roman"/>
              </w:rPr>
              <w:t>064297</w:t>
            </w:r>
          </w:p>
        </w:tc>
      </w:tr>
      <w:tr w:rsidR="00B824BF" w:rsidRPr="00DC2307" w:rsidTr="00780074">
        <w:trPr>
          <w:jc w:val="center"/>
        </w:trPr>
        <w:tc>
          <w:tcPr>
            <w:tcW w:w="3362" w:type="dxa"/>
          </w:tcPr>
          <w:p w:rsidR="00B824BF" w:rsidRPr="00CF0AF7" w:rsidRDefault="00B824BF" w:rsidP="00CF0AF7">
            <w:pPr>
              <w:rPr>
                <w:rFonts w:cs="Times New Roman"/>
              </w:rPr>
            </w:pPr>
            <w:r w:rsidRPr="00CF0AF7">
              <w:rPr>
                <w:rFonts w:cs="Times New Roman"/>
              </w:rPr>
              <w:t>Varioskan Flash Plate Reader</w:t>
            </w:r>
          </w:p>
        </w:tc>
        <w:tc>
          <w:tcPr>
            <w:tcW w:w="2417" w:type="dxa"/>
          </w:tcPr>
          <w:p w:rsidR="00B824BF" w:rsidRPr="00DC2307" w:rsidRDefault="00B824BF" w:rsidP="00CF0AF7">
            <w:pPr>
              <w:rPr>
                <w:rFonts w:cs="Times New Roman"/>
              </w:rPr>
            </w:pPr>
            <w:r>
              <w:rPr>
                <w:rFonts w:cs="Times New Roman"/>
              </w:rPr>
              <w:t>Thermo Scientific</w:t>
            </w:r>
          </w:p>
        </w:tc>
        <w:tc>
          <w:tcPr>
            <w:tcW w:w="3260" w:type="dxa"/>
          </w:tcPr>
          <w:p w:rsidR="00B824BF" w:rsidRDefault="00780074" w:rsidP="00CF0AF7">
            <w:pPr>
              <w:rPr>
                <w:rFonts w:cs="Times New Roman"/>
              </w:rPr>
            </w:pPr>
            <w:r>
              <w:rPr>
                <w:rFonts w:cs="Times New Roman"/>
              </w:rPr>
              <w:t>N06354</w:t>
            </w:r>
          </w:p>
        </w:tc>
      </w:tr>
      <w:tr w:rsidR="00B824BF" w:rsidRPr="00DC2307" w:rsidTr="00780074">
        <w:trPr>
          <w:jc w:val="center"/>
        </w:trPr>
        <w:tc>
          <w:tcPr>
            <w:tcW w:w="3362" w:type="dxa"/>
          </w:tcPr>
          <w:p w:rsidR="00B824BF" w:rsidRPr="00CF0AF7" w:rsidRDefault="00B824BF" w:rsidP="00CF0AF7">
            <w:pPr>
              <w:rPr>
                <w:rFonts w:cs="Times New Roman"/>
              </w:rPr>
            </w:pPr>
            <w:r w:rsidRPr="00CF0AF7">
              <w:rPr>
                <w:rFonts w:cs="Times New Roman"/>
              </w:rPr>
              <w:t>Nanoinjector</w:t>
            </w:r>
          </w:p>
        </w:tc>
        <w:tc>
          <w:tcPr>
            <w:tcW w:w="2417" w:type="dxa"/>
          </w:tcPr>
          <w:p w:rsidR="00B824BF" w:rsidRPr="00DC2307" w:rsidRDefault="00B824BF" w:rsidP="00CF0AF7">
            <w:pPr>
              <w:rPr>
                <w:rFonts w:cs="Times New Roman"/>
              </w:rPr>
            </w:pPr>
            <w:r>
              <w:rPr>
                <w:rFonts w:cs="Times New Roman"/>
              </w:rPr>
              <w:t>Eppendorf, Drummond</w:t>
            </w:r>
          </w:p>
        </w:tc>
        <w:tc>
          <w:tcPr>
            <w:tcW w:w="3260" w:type="dxa"/>
          </w:tcPr>
          <w:p w:rsidR="00B824BF" w:rsidRDefault="006E1399" w:rsidP="00CF0AF7">
            <w:pPr>
              <w:rPr>
                <w:rFonts w:cs="Times New Roman"/>
              </w:rPr>
            </w:pPr>
            <w:r>
              <w:rPr>
                <w:rFonts w:cs="Times New Roman"/>
              </w:rPr>
              <w:t>Femtojet, Nanoject III</w:t>
            </w:r>
          </w:p>
        </w:tc>
      </w:tr>
    </w:tbl>
    <w:p w:rsidR="00CF0AF7" w:rsidRDefault="00CF0AF7" w:rsidP="00CF0AF7">
      <w:pPr>
        <w:pStyle w:val="Heading2"/>
        <w:spacing w:line="360" w:lineRule="auto"/>
      </w:pPr>
      <w:bookmarkStart w:id="35" w:name="_Toc35333933"/>
      <w:r>
        <w:t>Production and analysis of dsRNA</w:t>
      </w:r>
      <w:bookmarkEnd w:id="33"/>
      <w:bookmarkEnd w:id="35"/>
    </w:p>
    <w:p w:rsidR="00CF0AF7" w:rsidRDefault="00CF0AF7" w:rsidP="009D093D">
      <w:pPr>
        <w:pStyle w:val="Heading3"/>
        <w:spacing w:before="120" w:line="360" w:lineRule="auto"/>
      </w:pPr>
      <w:bookmarkStart w:id="36" w:name="_Toc35333934"/>
      <w:r w:rsidRPr="001862E6">
        <w:t>PCR</w:t>
      </w:r>
      <w:r>
        <w:t xml:space="preserve"> of DNA templates</w:t>
      </w:r>
      <w:bookmarkEnd w:id="36"/>
    </w:p>
    <w:p w:rsidR="00CF0AF7" w:rsidRDefault="00CF0AF7" w:rsidP="00CF0AF7">
      <w:pPr>
        <w:spacing w:line="360" w:lineRule="auto"/>
        <w:ind w:firstLine="284"/>
      </w:pPr>
      <w:r>
        <w:t xml:space="preserve">For the Jak/STAT pathway Stat and Dome probes, the initial template used in the first round of PCR was genomic DNA extracted from </w:t>
      </w:r>
      <w:r w:rsidRPr="00123C9B">
        <w:rPr>
          <w:i/>
        </w:rPr>
        <w:t>Drosophila</w:t>
      </w:r>
      <w:r>
        <w:t xml:space="preserve"> S2R+ cells using a Promega Wizard Genomic DNA Purification Kit and following the kit. F59C6.5 PCRs used existing PCR product from a library plate as starting material. Targets A, B and C DNA templates, and control GFP DNA templates used plasmids provided by Syngenta as the starting point for PCR. </w:t>
      </w:r>
    </w:p>
    <w:p w:rsidR="00CF0AF7" w:rsidRPr="006408B8" w:rsidRDefault="00CF0AF7" w:rsidP="00CF0AF7">
      <w:pPr>
        <w:spacing w:line="360" w:lineRule="auto"/>
        <w:ind w:firstLine="284"/>
      </w:pPr>
      <w:r w:rsidRPr="006408B8">
        <w:t>Two rounds of PCR we used to generate templates with either a single RNA polymerase binding site for ssRNA templates, or two RNA polymerase binding sites for dsRNA templates, using primers with either no polymerase promoter, a T7 polymerase promoter, or an SP6 polymerase promoter.</w:t>
      </w:r>
    </w:p>
    <w:p w:rsidR="00CF0AF7" w:rsidRDefault="00CF0AF7" w:rsidP="00CF0AF7">
      <w:pPr>
        <w:spacing w:line="360" w:lineRule="auto"/>
        <w:ind w:firstLine="284"/>
      </w:pPr>
      <w:r>
        <w:lastRenderedPageBreak/>
        <w:t xml:space="preserve">PCR was performed using 12.5 </w:t>
      </w:r>
      <w:r w:rsidRPr="00DA6721">
        <w:t>µl</w:t>
      </w:r>
      <w:r>
        <w:t xml:space="preserve"> KAPA2G Fast PCR mastermix, containing reaction buffer, MgCl</w:t>
      </w:r>
      <w:r w:rsidRPr="00CC6C2F">
        <w:rPr>
          <w:vertAlign w:val="subscript"/>
        </w:rPr>
        <w:t>2</w:t>
      </w:r>
      <w:r>
        <w:t xml:space="preserve">, dNTP mix and </w:t>
      </w:r>
      <w:r w:rsidRPr="00DA6721">
        <w:t>DNA polymerase</w:t>
      </w:r>
      <w:r>
        <w:t xml:space="preserve">; </w:t>
      </w:r>
      <w:r w:rsidRPr="00DA6721">
        <w:t xml:space="preserve">1 µl of </w:t>
      </w:r>
      <w:r>
        <w:t xml:space="preserve">initial DNA </w:t>
      </w:r>
      <w:r w:rsidRPr="00166257">
        <w:t>template (approx</w:t>
      </w:r>
      <w:r>
        <w:t>imately</w:t>
      </w:r>
      <w:r w:rsidRPr="00166257">
        <w:t xml:space="preserve"> 10-50 ng</w:t>
      </w:r>
      <w:r>
        <w:t>)</w:t>
      </w:r>
      <w:r w:rsidRPr="00DA6721">
        <w:t>; 1</w:t>
      </w:r>
      <w:r>
        <w:t>.25</w:t>
      </w:r>
      <w:r w:rsidRPr="00DA6721">
        <w:t xml:space="preserve"> µl each of </w:t>
      </w:r>
      <w:r>
        <w:t>10 µM</w:t>
      </w:r>
      <w:r w:rsidRPr="00DA6721">
        <w:t xml:space="preserve"> forward and reverse primers (IDT) (</w:t>
      </w:r>
      <w:r>
        <w:t>see table below</w:t>
      </w:r>
      <w:r w:rsidRPr="00DA6721">
        <w:t>); and PCR grade water</w:t>
      </w:r>
      <w:r>
        <w:t xml:space="preserve"> to 25 </w:t>
      </w:r>
      <w:r w:rsidRPr="00DA6721">
        <w:t xml:space="preserve">µl. </w:t>
      </w:r>
    </w:p>
    <w:p w:rsidR="00CF0AF7" w:rsidRDefault="00CF0AF7" w:rsidP="00CF0AF7">
      <w:pPr>
        <w:spacing w:line="360" w:lineRule="auto"/>
        <w:ind w:firstLine="284"/>
      </w:pPr>
      <w:r>
        <w:rPr>
          <w:rFonts w:cs="Times New Roman"/>
        </w:rPr>
        <w:t>5-Hydroxymethyl deoxycytidine dsDNA was synthesised by PCR using the KAPA2G Fast PCR kit by combining</w:t>
      </w:r>
      <w:r>
        <w:t xml:space="preserve">, 5 </w:t>
      </w:r>
      <w:r w:rsidRPr="00DA6721">
        <w:t>µl</w:t>
      </w:r>
      <w:r>
        <w:t xml:space="preserve"> of 5X reaction buffer, 0.5 </w:t>
      </w:r>
      <w:r w:rsidRPr="00DA6721">
        <w:t>µl</w:t>
      </w:r>
      <w:r>
        <w:t xml:space="preserve"> of 10 mM dNTP dilutions from 100 mM dNTP stock solutions (Promega), including 5-hydroxymethyl dCTP from a 100 mM stock solution (</w:t>
      </w:r>
      <w:r w:rsidRPr="00166257">
        <w:t>Bioline</w:t>
      </w:r>
      <w:r>
        <w:t xml:space="preserve">), and 0.2 </w:t>
      </w:r>
      <w:r w:rsidRPr="00DA6721">
        <w:t xml:space="preserve">µl </w:t>
      </w:r>
      <w:r>
        <w:t xml:space="preserve">KAPA2G Fast </w:t>
      </w:r>
      <w:r w:rsidRPr="00DA6721">
        <w:t>DNA polymerase</w:t>
      </w:r>
      <w:r>
        <w:t xml:space="preserve"> (0.2 U); </w:t>
      </w:r>
      <w:r w:rsidRPr="00DA6721">
        <w:t xml:space="preserve">1 µl of </w:t>
      </w:r>
      <w:r>
        <w:t xml:space="preserve">initial DNA template </w:t>
      </w:r>
      <w:r w:rsidRPr="00166257">
        <w:t>(approximately 10-50 ng</w:t>
      </w:r>
      <w:r>
        <w:t>)</w:t>
      </w:r>
      <w:r w:rsidRPr="00DA6721">
        <w:t>; 1</w:t>
      </w:r>
      <w:r>
        <w:t>.25</w:t>
      </w:r>
      <w:r w:rsidRPr="00DA6721">
        <w:t xml:space="preserve"> µl each of </w:t>
      </w:r>
      <w:r>
        <w:t>10 µM</w:t>
      </w:r>
      <w:r w:rsidRPr="00DA6721">
        <w:t xml:space="preserve"> forward and reverse primers (IDT) (</w:t>
      </w:r>
      <w:r>
        <w:t>see table below</w:t>
      </w:r>
      <w:r w:rsidRPr="00DA6721">
        <w:t>); and PCR grade water</w:t>
      </w:r>
      <w:r>
        <w:t xml:space="preserve"> to 25 </w:t>
      </w:r>
      <w:r w:rsidRPr="00DA6721">
        <w:t xml:space="preserve">µl. </w:t>
      </w:r>
    </w:p>
    <w:tbl>
      <w:tblPr>
        <w:tblW w:w="915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3"/>
        <w:gridCol w:w="863"/>
        <w:gridCol w:w="1471"/>
        <w:gridCol w:w="5893"/>
      </w:tblGrid>
      <w:tr w:rsidR="00CF0AF7" w:rsidRPr="006C621A" w:rsidTr="00CF0AF7">
        <w:trPr>
          <w:trHeight w:val="478"/>
        </w:trPr>
        <w:tc>
          <w:tcPr>
            <w:tcW w:w="9150" w:type="dxa"/>
            <w:gridSpan w:val="4"/>
            <w:shd w:val="clear" w:color="auto" w:fill="auto"/>
            <w:noWrap/>
            <w:vAlign w:val="center"/>
            <w:hideMark/>
          </w:tcPr>
          <w:p w:rsidR="00CF0AF7" w:rsidRPr="004465AD" w:rsidRDefault="00CF0AF7" w:rsidP="00CF0AF7">
            <w:pPr>
              <w:spacing w:line="240" w:lineRule="auto"/>
              <w:jc w:val="center"/>
              <w:rPr>
                <w:rFonts w:ascii="Calibri" w:eastAsia="Times New Roman" w:hAnsi="Calibri" w:cs="Times New Roman"/>
                <w:b/>
                <w:bCs/>
                <w:color w:val="000000"/>
                <w:lang w:eastAsia="en-GB"/>
              </w:rPr>
            </w:pPr>
            <w:r w:rsidRPr="004465AD">
              <w:rPr>
                <w:rFonts w:ascii="Calibri" w:eastAsia="Times New Roman" w:hAnsi="Calibri" w:cs="Times New Roman"/>
                <w:b/>
                <w:bCs/>
                <w:i/>
                <w:color w:val="000000"/>
                <w:lang w:eastAsia="en-GB"/>
              </w:rPr>
              <w:t xml:space="preserve">Drosophila </w:t>
            </w:r>
            <w:r w:rsidRPr="004465AD">
              <w:rPr>
                <w:rFonts w:ascii="Calibri" w:eastAsia="Times New Roman" w:hAnsi="Calibri" w:cs="Times New Roman"/>
                <w:b/>
                <w:bCs/>
                <w:color w:val="000000"/>
                <w:lang w:eastAsia="en-GB"/>
              </w:rPr>
              <w:t>cell assay dsRNAs</w:t>
            </w:r>
          </w:p>
        </w:tc>
      </w:tr>
      <w:tr w:rsidR="00CF0AF7" w:rsidRPr="006C621A" w:rsidTr="00CF0AF7">
        <w:trPr>
          <w:trHeight w:val="288"/>
        </w:trPr>
        <w:tc>
          <w:tcPr>
            <w:tcW w:w="923"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b/>
                <w:bCs/>
                <w:color w:val="000000"/>
                <w:sz w:val="18"/>
                <w:szCs w:val="18"/>
                <w:lang w:eastAsia="en-GB"/>
              </w:rPr>
            </w:pPr>
            <w:r>
              <w:rPr>
                <w:rFonts w:ascii="Calibri" w:eastAsia="Times New Roman" w:hAnsi="Calibri" w:cs="Times New Roman"/>
                <w:b/>
                <w:bCs/>
                <w:color w:val="000000"/>
                <w:sz w:val="18"/>
                <w:szCs w:val="18"/>
                <w:lang w:eastAsia="en-GB"/>
              </w:rPr>
              <w:t>Target</w:t>
            </w:r>
          </w:p>
        </w:tc>
        <w:tc>
          <w:tcPr>
            <w:tcW w:w="863"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b/>
                <w:bCs/>
                <w:color w:val="000000"/>
                <w:sz w:val="18"/>
                <w:szCs w:val="18"/>
                <w:lang w:eastAsia="en-GB"/>
              </w:rPr>
            </w:pPr>
            <w:r>
              <w:rPr>
                <w:rFonts w:ascii="Calibri" w:eastAsia="Times New Roman" w:hAnsi="Calibri" w:cs="Times New Roman"/>
                <w:b/>
                <w:bCs/>
                <w:color w:val="000000"/>
                <w:sz w:val="18"/>
                <w:szCs w:val="18"/>
                <w:lang w:eastAsia="en-GB"/>
              </w:rPr>
              <w:t>dsRNA</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b/>
                <w:bCs/>
                <w:color w:val="000000"/>
                <w:sz w:val="18"/>
                <w:szCs w:val="18"/>
                <w:lang w:eastAsia="en-GB"/>
              </w:rPr>
            </w:pPr>
            <w:r w:rsidRPr="0011796C">
              <w:rPr>
                <w:rFonts w:ascii="Calibri" w:eastAsia="Times New Roman" w:hAnsi="Calibri" w:cs="Times New Roman"/>
                <w:b/>
                <w:bCs/>
                <w:color w:val="000000"/>
                <w:sz w:val="18"/>
                <w:szCs w:val="18"/>
                <w:lang w:eastAsia="en-GB"/>
              </w:rPr>
              <w:t>Primer Type</w:t>
            </w:r>
          </w:p>
        </w:tc>
        <w:tc>
          <w:tcPr>
            <w:tcW w:w="5893"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b/>
                <w:bCs/>
                <w:color w:val="000000"/>
                <w:sz w:val="18"/>
                <w:szCs w:val="18"/>
                <w:lang w:eastAsia="en-GB"/>
              </w:rPr>
            </w:pPr>
            <w:r w:rsidRPr="0011796C">
              <w:rPr>
                <w:rFonts w:ascii="Calibri" w:eastAsia="Times New Roman" w:hAnsi="Calibri" w:cs="Times New Roman"/>
                <w:b/>
                <w:bCs/>
                <w:color w:val="000000"/>
                <w:sz w:val="18"/>
                <w:szCs w:val="18"/>
                <w:lang w:eastAsia="en-GB"/>
              </w:rPr>
              <w:t>Primer Sequence</w:t>
            </w:r>
          </w:p>
        </w:tc>
      </w:tr>
      <w:tr w:rsidR="00CF0AF7" w:rsidRPr="006C621A" w:rsidTr="00CF0AF7">
        <w:trPr>
          <w:trHeight w:val="611"/>
        </w:trPr>
        <w:tc>
          <w:tcPr>
            <w:tcW w:w="923" w:type="dxa"/>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stat92e</w:t>
            </w:r>
          </w:p>
        </w:tc>
        <w:tc>
          <w:tcPr>
            <w:tcW w:w="863" w:type="dxa"/>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Stat 3</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Forward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GGTGGCGCCCCTAGATG</w:t>
            </w:r>
            <w:r w:rsidRPr="0011796C">
              <w:rPr>
                <w:rFonts w:ascii="Calibri" w:eastAsia="Times New Roman" w:hAnsi="Calibri" w:cs="Times New Roman"/>
                <w:color w:val="4F81BD"/>
                <w:sz w:val="18"/>
                <w:szCs w:val="18"/>
                <w:lang w:eastAsia="en-GB"/>
              </w:rPr>
              <w:t>GGTGACCAGTCCATTTTCGT</w:t>
            </w:r>
          </w:p>
        </w:tc>
      </w:tr>
      <w:tr w:rsidR="00CF0AF7" w:rsidRPr="006C621A" w:rsidTr="00CF0AF7">
        <w:trPr>
          <w:trHeight w:val="690"/>
        </w:trPr>
        <w:tc>
          <w:tcPr>
            <w:tcW w:w="92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86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Reverse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GGCGACGCCCGCTGATA</w:t>
            </w:r>
            <w:r w:rsidRPr="0011796C">
              <w:rPr>
                <w:rFonts w:ascii="Calibri" w:eastAsia="Times New Roman" w:hAnsi="Calibri" w:cs="Times New Roman"/>
                <w:color w:val="4F81BD"/>
                <w:sz w:val="18"/>
                <w:szCs w:val="18"/>
                <w:lang w:eastAsia="en-GB"/>
              </w:rPr>
              <w:t>CGGTCCTTTACATTCTGGGA</w:t>
            </w:r>
          </w:p>
        </w:tc>
      </w:tr>
      <w:tr w:rsidR="00CF0AF7" w:rsidRPr="006C621A" w:rsidTr="00CF0AF7">
        <w:trPr>
          <w:trHeight w:val="700"/>
        </w:trPr>
        <w:tc>
          <w:tcPr>
            <w:tcW w:w="92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863" w:type="dxa"/>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Stat 4</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Forward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GGTGGCGCCCCTAGATG</w:t>
            </w:r>
            <w:r w:rsidRPr="0011796C">
              <w:rPr>
                <w:rFonts w:ascii="Calibri" w:eastAsia="Times New Roman" w:hAnsi="Calibri" w:cs="Times New Roman"/>
                <w:color w:val="4F81BD"/>
                <w:sz w:val="18"/>
                <w:szCs w:val="18"/>
                <w:lang w:eastAsia="en-GB"/>
              </w:rPr>
              <w:t>TGTTGCACCTCGTACAGCTC</w:t>
            </w:r>
          </w:p>
        </w:tc>
      </w:tr>
      <w:tr w:rsidR="00CF0AF7" w:rsidRPr="006C621A" w:rsidTr="00CF0AF7">
        <w:trPr>
          <w:trHeight w:val="696"/>
        </w:trPr>
        <w:tc>
          <w:tcPr>
            <w:tcW w:w="92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86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Reverse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GGCGACGCCCGCTGATA</w:t>
            </w:r>
            <w:r w:rsidRPr="0011796C">
              <w:rPr>
                <w:rFonts w:ascii="Calibri" w:eastAsia="Times New Roman" w:hAnsi="Calibri" w:cs="Times New Roman"/>
                <w:color w:val="4F81BD"/>
                <w:sz w:val="18"/>
                <w:szCs w:val="18"/>
                <w:lang w:eastAsia="en-GB"/>
              </w:rPr>
              <w:t>GTGGCCCTAAAGTTCAACGA</w:t>
            </w:r>
          </w:p>
        </w:tc>
      </w:tr>
      <w:tr w:rsidR="00CF0AF7" w:rsidRPr="006C621A" w:rsidTr="00CF0AF7">
        <w:trPr>
          <w:trHeight w:val="706"/>
        </w:trPr>
        <w:tc>
          <w:tcPr>
            <w:tcW w:w="923" w:type="dxa"/>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dome</w:t>
            </w:r>
          </w:p>
        </w:tc>
        <w:tc>
          <w:tcPr>
            <w:tcW w:w="863" w:type="dxa"/>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Dome 11</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Forward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GGTGGCGCCCCTAGATG</w:t>
            </w:r>
            <w:r w:rsidRPr="0011796C">
              <w:rPr>
                <w:rFonts w:ascii="Calibri" w:eastAsia="Times New Roman" w:hAnsi="Calibri" w:cs="Times New Roman"/>
                <w:color w:val="4F81BD"/>
                <w:sz w:val="18"/>
                <w:szCs w:val="18"/>
                <w:lang w:eastAsia="en-GB"/>
              </w:rPr>
              <w:t>GATATCGGACATCTTGCGGT</w:t>
            </w:r>
          </w:p>
        </w:tc>
      </w:tr>
      <w:tr w:rsidR="00CF0AF7" w:rsidRPr="006C621A" w:rsidTr="00CF0AF7">
        <w:trPr>
          <w:trHeight w:val="689"/>
        </w:trPr>
        <w:tc>
          <w:tcPr>
            <w:tcW w:w="92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86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Reverse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GGCGACGCCCGCTGATA</w:t>
            </w:r>
            <w:r w:rsidRPr="0011796C">
              <w:rPr>
                <w:rFonts w:ascii="Calibri" w:eastAsia="Times New Roman" w:hAnsi="Calibri" w:cs="Times New Roman"/>
                <w:color w:val="4F81BD"/>
                <w:sz w:val="18"/>
                <w:szCs w:val="18"/>
                <w:lang w:eastAsia="en-GB"/>
              </w:rPr>
              <w:t>CGGGCAGGAACCTATCCTAT</w:t>
            </w:r>
          </w:p>
        </w:tc>
      </w:tr>
      <w:tr w:rsidR="00CF0AF7" w:rsidRPr="006C621A" w:rsidTr="00CF0AF7">
        <w:trPr>
          <w:trHeight w:val="698"/>
        </w:trPr>
        <w:tc>
          <w:tcPr>
            <w:tcW w:w="92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863" w:type="dxa"/>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Dome 14</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Forward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GGTGGCGCCCCTAGATG</w:t>
            </w:r>
            <w:r w:rsidRPr="0011796C">
              <w:rPr>
                <w:rFonts w:ascii="Calibri" w:eastAsia="Times New Roman" w:hAnsi="Calibri" w:cs="Times New Roman"/>
                <w:color w:val="4F81BD"/>
                <w:sz w:val="18"/>
                <w:szCs w:val="18"/>
                <w:lang w:eastAsia="en-GB"/>
              </w:rPr>
              <w:t>GCTCCCGATCCATTTCGCTC</w:t>
            </w:r>
          </w:p>
        </w:tc>
      </w:tr>
      <w:tr w:rsidR="00CF0AF7" w:rsidRPr="006C621A" w:rsidTr="00CF0AF7">
        <w:trPr>
          <w:trHeight w:val="708"/>
        </w:trPr>
        <w:tc>
          <w:tcPr>
            <w:tcW w:w="92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86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Reverse -Spacer+ Linker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GGCGACGCCCGCTGATA</w:t>
            </w:r>
            <w:r w:rsidRPr="0011796C">
              <w:rPr>
                <w:rFonts w:ascii="Calibri" w:eastAsia="Times New Roman" w:hAnsi="Calibri" w:cs="Times New Roman"/>
                <w:color w:val="4F81BD"/>
                <w:sz w:val="18"/>
                <w:szCs w:val="18"/>
                <w:lang w:eastAsia="en-GB"/>
              </w:rPr>
              <w:t>AGCGGAGGCATCGTGTGCAC</w:t>
            </w:r>
          </w:p>
        </w:tc>
      </w:tr>
      <w:tr w:rsidR="00CF0AF7" w:rsidRPr="006C621A" w:rsidTr="00CF0AF7">
        <w:trPr>
          <w:trHeight w:val="548"/>
        </w:trPr>
        <w:tc>
          <w:tcPr>
            <w:tcW w:w="923" w:type="dxa"/>
            <w:vMerge w:val="restart"/>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Firefly luciferase</w:t>
            </w:r>
          </w:p>
        </w:tc>
        <w:tc>
          <w:tcPr>
            <w:tcW w:w="863" w:type="dxa"/>
            <w:vMerge w:val="restart"/>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FLuc</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Forward - Linker</w:t>
            </w:r>
          </w:p>
        </w:tc>
        <w:tc>
          <w:tcPr>
            <w:tcW w:w="5893" w:type="dxa"/>
            <w:shd w:val="clear" w:color="auto" w:fill="auto"/>
            <w:noWrap/>
            <w:vAlign w:val="center"/>
            <w:hideMark/>
          </w:tcPr>
          <w:p w:rsidR="00CF0AF7" w:rsidRPr="004465AD" w:rsidRDefault="00CF0AF7" w:rsidP="00CF0AF7">
            <w:pPr>
              <w:spacing w:line="240" w:lineRule="auto"/>
              <w:jc w:val="left"/>
              <w:rPr>
                <w:rFonts w:ascii="Calibri" w:eastAsia="Times New Roman" w:hAnsi="Calibri" w:cs="Times New Roman"/>
                <w:color w:val="0070C0"/>
                <w:sz w:val="18"/>
                <w:szCs w:val="18"/>
                <w:lang w:eastAsia="en-GB"/>
              </w:rPr>
            </w:pPr>
            <w:r w:rsidRPr="004465AD">
              <w:rPr>
                <w:rFonts w:ascii="Calibri" w:eastAsia="Times New Roman" w:hAnsi="Calibri" w:cs="Times New Roman"/>
                <w:color w:val="0070C0"/>
                <w:sz w:val="18"/>
                <w:szCs w:val="18"/>
                <w:lang w:eastAsia="en-GB"/>
              </w:rPr>
              <w:t>AGAGATACGCCCTGGTTCCT</w:t>
            </w:r>
          </w:p>
        </w:tc>
      </w:tr>
      <w:tr w:rsidR="00CF0AF7" w:rsidRPr="006C621A" w:rsidTr="00CF0AF7">
        <w:trPr>
          <w:trHeight w:val="559"/>
        </w:trPr>
        <w:tc>
          <w:tcPr>
            <w:tcW w:w="92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863" w:type="dxa"/>
            <w:vMerge/>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Reverse - Linker</w:t>
            </w:r>
          </w:p>
        </w:tc>
        <w:tc>
          <w:tcPr>
            <w:tcW w:w="5893" w:type="dxa"/>
            <w:shd w:val="clear" w:color="auto" w:fill="auto"/>
            <w:noWrap/>
            <w:vAlign w:val="center"/>
            <w:hideMark/>
          </w:tcPr>
          <w:p w:rsidR="00CF0AF7" w:rsidRPr="004465AD" w:rsidRDefault="00CF0AF7" w:rsidP="00CF0AF7">
            <w:pPr>
              <w:spacing w:line="240" w:lineRule="auto"/>
              <w:jc w:val="left"/>
              <w:rPr>
                <w:rFonts w:ascii="Calibri" w:eastAsia="Times New Roman" w:hAnsi="Calibri" w:cs="Times New Roman"/>
                <w:color w:val="0070C0"/>
                <w:sz w:val="18"/>
                <w:szCs w:val="18"/>
                <w:lang w:eastAsia="en-GB"/>
              </w:rPr>
            </w:pPr>
            <w:r w:rsidRPr="004465AD">
              <w:rPr>
                <w:rFonts w:ascii="Calibri" w:eastAsia="Times New Roman" w:hAnsi="Calibri" w:cs="Times New Roman"/>
                <w:color w:val="0070C0"/>
                <w:sz w:val="18"/>
                <w:szCs w:val="18"/>
                <w:lang w:eastAsia="en-GB"/>
              </w:rPr>
              <w:t>CATCGACTGAAATCCCTGGT</w:t>
            </w:r>
          </w:p>
        </w:tc>
      </w:tr>
      <w:tr w:rsidR="00CF0AF7" w:rsidRPr="006C621A" w:rsidTr="00CF0AF7">
        <w:trPr>
          <w:trHeight w:val="576"/>
        </w:trPr>
        <w:tc>
          <w:tcPr>
            <w:tcW w:w="1786" w:type="dxa"/>
            <w:gridSpan w:val="2"/>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 xml:space="preserve">T7 </w:t>
            </w:r>
            <w:r>
              <w:rPr>
                <w:rFonts w:ascii="Calibri" w:eastAsia="Times New Roman" w:hAnsi="Calibri" w:cs="Times New Roman"/>
                <w:color w:val="000000"/>
                <w:sz w:val="18"/>
                <w:szCs w:val="18"/>
                <w:lang w:eastAsia="en-GB"/>
              </w:rPr>
              <w:t>Promoter</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Forward - T7 + Spacer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FF0000"/>
                <w:sz w:val="18"/>
                <w:szCs w:val="18"/>
                <w:lang w:eastAsia="en-GB"/>
              </w:rPr>
              <w:t>TAATACGACTCACTATAG</w:t>
            </w:r>
            <w:r w:rsidRPr="004465AD">
              <w:rPr>
                <w:rFonts w:ascii="Calibri" w:eastAsia="Times New Roman" w:hAnsi="Calibri" w:cs="Times New Roman"/>
                <w:color w:val="0070C0"/>
                <w:sz w:val="18"/>
                <w:szCs w:val="18"/>
                <w:lang w:eastAsia="en-GB"/>
              </w:rPr>
              <w:t>GGTGGCGCCCCTAGATG</w:t>
            </w:r>
          </w:p>
        </w:tc>
      </w:tr>
      <w:tr w:rsidR="00CF0AF7" w:rsidRPr="006C621A" w:rsidTr="00CF0AF7">
        <w:trPr>
          <w:trHeight w:val="576"/>
        </w:trPr>
        <w:tc>
          <w:tcPr>
            <w:tcW w:w="1786" w:type="dxa"/>
            <w:gridSpan w:val="2"/>
            <w:vMerge/>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Reverse - T7 + Spacer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11796C">
              <w:rPr>
                <w:rFonts w:ascii="Calibri" w:eastAsia="Times New Roman" w:hAnsi="Calibri" w:cs="Times New Roman"/>
                <w:color w:val="FF0000"/>
                <w:sz w:val="18"/>
                <w:szCs w:val="18"/>
                <w:lang w:eastAsia="en-GB"/>
              </w:rPr>
              <w:t>TAATACGACTCACTATAG</w:t>
            </w:r>
            <w:r w:rsidRPr="004465AD">
              <w:rPr>
                <w:rFonts w:ascii="Calibri" w:eastAsia="Times New Roman" w:hAnsi="Calibri" w:cs="Times New Roman"/>
                <w:color w:val="0070C0"/>
                <w:sz w:val="18"/>
                <w:szCs w:val="18"/>
                <w:lang w:eastAsia="en-GB"/>
              </w:rPr>
              <w:t>GGCGACGCCCGCTGATA</w:t>
            </w:r>
          </w:p>
        </w:tc>
      </w:tr>
      <w:tr w:rsidR="00CF0AF7" w:rsidRPr="006C621A" w:rsidTr="00CF0AF7">
        <w:trPr>
          <w:trHeight w:val="576"/>
        </w:trPr>
        <w:tc>
          <w:tcPr>
            <w:tcW w:w="1786" w:type="dxa"/>
            <w:gridSpan w:val="2"/>
            <w:vMerge w:val="restart"/>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SP6 Promoter</w:t>
            </w: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 xml:space="preserve">Forward </w:t>
            </w:r>
            <w:r>
              <w:rPr>
                <w:rFonts w:ascii="Calibri" w:eastAsia="Times New Roman" w:hAnsi="Calibri" w:cs="Times New Roman"/>
                <w:color w:val="000000"/>
                <w:sz w:val="18"/>
                <w:szCs w:val="18"/>
                <w:lang w:eastAsia="en-GB"/>
              </w:rPr>
              <w:t>–</w:t>
            </w:r>
            <w:r w:rsidRPr="0011796C">
              <w:rPr>
                <w:rFonts w:ascii="Calibri" w:eastAsia="Times New Roman" w:hAnsi="Calibri" w:cs="Times New Roman"/>
                <w:color w:val="000000"/>
                <w:sz w:val="18"/>
                <w:szCs w:val="18"/>
                <w:lang w:eastAsia="en-GB"/>
              </w:rPr>
              <w:t xml:space="preserve"> </w:t>
            </w:r>
            <w:r>
              <w:rPr>
                <w:rFonts w:ascii="Calibri" w:eastAsia="Times New Roman" w:hAnsi="Calibri" w:cs="Times New Roman"/>
                <w:color w:val="000000"/>
                <w:sz w:val="18"/>
                <w:szCs w:val="18"/>
                <w:lang w:eastAsia="en-GB"/>
              </w:rPr>
              <w:t>SP6</w:t>
            </w:r>
            <w:r w:rsidRPr="0011796C">
              <w:rPr>
                <w:rFonts w:ascii="Calibri" w:eastAsia="Times New Roman" w:hAnsi="Calibri" w:cs="Times New Roman"/>
                <w:color w:val="000000"/>
                <w:sz w:val="18"/>
                <w:szCs w:val="18"/>
                <w:lang w:eastAsia="en-GB"/>
              </w:rPr>
              <w:t xml:space="preserve"> + Spacer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2E085F">
              <w:rPr>
                <w:rFonts w:ascii="Calibri" w:eastAsia="Times New Roman" w:hAnsi="Calibri" w:cs="Times New Roman"/>
                <w:color w:val="FF0000"/>
                <w:sz w:val="18"/>
                <w:szCs w:val="18"/>
                <w:lang w:eastAsia="en-GB"/>
              </w:rPr>
              <w:t>ATTTAGGTGACACTATAG</w:t>
            </w:r>
            <w:r w:rsidRPr="004465AD">
              <w:rPr>
                <w:rFonts w:ascii="Calibri" w:eastAsia="Times New Roman" w:hAnsi="Calibri" w:cs="Times New Roman"/>
                <w:color w:val="0070C0"/>
                <w:sz w:val="18"/>
                <w:szCs w:val="18"/>
                <w:lang w:eastAsia="en-GB"/>
              </w:rPr>
              <w:t>GGTGGCGCCCCTAGATG</w:t>
            </w:r>
          </w:p>
        </w:tc>
      </w:tr>
      <w:tr w:rsidR="00CF0AF7" w:rsidRPr="006C621A" w:rsidTr="00CF0AF7">
        <w:trPr>
          <w:trHeight w:val="576"/>
        </w:trPr>
        <w:tc>
          <w:tcPr>
            <w:tcW w:w="1786" w:type="dxa"/>
            <w:gridSpan w:val="2"/>
            <w:vMerge/>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p>
        </w:tc>
        <w:tc>
          <w:tcPr>
            <w:tcW w:w="1471"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sidRPr="0011796C">
              <w:rPr>
                <w:rFonts w:ascii="Calibri" w:eastAsia="Times New Roman" w:hAnsi="Calibri" w:cs="Times New Roman"/>
                <w:color w:val="000000"/>
                <w:sz w:val="18"/>
                <w:szCs w:val="18"/>
                <w:lang w:eastAsia="en-GB"/>
              </w:rPr>
              <w:t xml:space="preserve">Reverse </w:t>
            </w:r>
            <w:r>
              <w:rPr>
                <w:rFonts w:ascii="Calibri" w:eastAsia="Times New Roman" w:hAnsi="Calibri" w:cs="Times New Roman"/>
                <w:color w:val="000000"/>
                <w:sz w:val="18"/>
                <w:szCs w:val="18"/>
                <w:lang w:eastAsia="en-GB"/>
              </w:rPr>
              <w:t>–</w:t>
            </w:r>
            <w:r w:rsidRPr="0011796C">
              <w:rPr>
                <w:rFonts w:ascii="Calibri" w:eastAsia="Times New Roman" w:hAnsi="Calibri" w:cs="Times New Roman"/>
                <w:color w:val="000000"/>
                <w:sz w:val="18"/>
                <w:szCs w:val="18"/>
                <w:lang w:eastAsia="en-GB"/>
              </w:rPr>
              <w:t xml:space="preserve"> </w:t>
            </w:r>
            <w:r>
              <w:rPr>
                <w:rFonts w:ascii="Calibri" w:eastAsia="Times New Roman" w:hAnsi="Calibri" w:cs="Times New Roman"/>
                <w:color w:val="000000"/>
                <w:sz w:val="18"/>
                <w:szCs w:val="18"/>
                <w:lang w:eastAsia="en-GB"/>
              </w:rPr>
              <w:t>SP6</w:t>
            </w:r>
            <w:r w:rsidRPr="0011796C">
              <w:rPr>
                <w:rFonts w:ascii="Calibri" w:eastAsia="Times New Roman" w:hAnsi="Calibri" w:cs="Times New Roman"/>
                <w:color w:val="000000"/>
                <w:sz w:val="18"/>
                <w:szCs w:val="18"/>
                <w:lang w:eastAsia="en-GB"/>
              </w:rPr>
              <w:t xml:space="preserve"> + Spacer</w:t>
            </w:r>
          </w:p>
        </w:tc>
        <w:tc>
          <w:tcPr>
            <w:tcW w:w="5893"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000000"/>
                <w:sz w:val="18"/>
                <w:szCs w:val="18"/>
                <w:lang w:eastAsia="en-GB"/>
              </w:rPr>
            </w:pPr>
            <w:r w:rsidRPr="002E085F">
              <w:rPr>
                <w:rFonts w:ascii="Calibri" w:eastAsia="Times New Roman" w:hAnsi="Calibri" w:cs="Times New Roman"/>
                <w:color w:val="FF0000"/>
                <w:sz w:val="18"/>
                <w:szCs w:val="18"/>
                <w:lang w:eastAsia="en-GB"/>
              </w:rPr>
              <w:t>ATTTAGGTGACACTATAG</w:t>
            </w:r>
            <w:r w:rsidRPr="004465AD">
              <w:rPr>
                <w:rFonts w:ascii="Calibri" w:eastAsia="Times New Roman" w:hAnsi="Calibri" w:cs="Times New Roman"/>
                <w:color w:val="0070C0"/>
                <w:sz w:val="18"/>
                <w:szCs w:val="18"/>
                <w:lang w:eastAsia="en-GB"/>
              </w:rPr>
              <w:t>GGCGACGCCCGCTGATA</w:t>
            </w:r>
          </w:p>
        </w:tc>
      </w:tr>
    </w:tbl>
    <w:p w:rsidR="00CF0AF7" w:rsidRDefault="00CF0AF7" w:rsidP="00CF0AF7">
      <w:pPr>
        <w:spacing w:line="360" w:lineRule="auto"/>
        <w:ind w:firstLine="284"/>
      </w:pPr>
      <w:r>
        <w:t xml:space="preserve">RNA polymerase binding sites – </w:t>
      </w:r>
      <w:r w:rsidRPr="009A1992">
        <w:rPr>
          <w:color w:val="FF0000"/>
        </w:rPr>
        <w:t>Red</w:t>
      </w:r>
      <w:r>
        <w:t xml:space="preserve">; Spacer sequences – </w:t>
      </w:r>
      <w:r w:rsidRPr="004465AD">
        <w:t>Black</w:t>
      </w:r>
      <w:r>
        <w:t xml:space="preserve">; Linker for target region – </w:t>
      </w:r>
      <w:r w:rsidRPr="004465AD">
        <w:rPr>
          <w:color w:val="0070C0"/>
        </w:rPr>
        <w:t>Blue</w:t>
      </w:r>
      <w:r>
        <w:t>.</w:t>
      </w:r>
    </w:p>
    <w:tbl>
      <w:tblPr>
        <w:tblW w:w="915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8"/>
        <w:gridCol w:w="1478"/>
        <w:gridCol w:w="6264"/>
      </w:tblGrid>
      <w:tr w:rsidR="00CF0AF7" w:rsidRPr="006C621A" w:rsidTr="00CF0AF7">
        <w:trPr>
          <w:trHeight w:val="416"/>
        </w:trPr>
        <w:tc>
          <w:tcPr>
            <w:tcW w:w="9150" w:type="dxa"/>
            <w:gridSpan w:val="3"/>
            <w:vAlign w:val="center"/>
            <w:hideMark/>
          </w:tcPr>
          <w:p w:rsidR="00CF0AF7" w:rsidRPr="00C03742" w:rsidRDefault="00CF0AF7" w:rsidP="00CF0AF7">
            <w:pPr>
              <w:jc w:val="center"/>
              <w:rPr>
                <w:b/>
              </w:rPr>
            </w:pPr>
            <w:r w:rsidRPr="00C03742">
              <w:rPr>
                <w:b/>
              </w:rPr>
              <w:lastRenderedPageBreak/>
              <w:t xml:space="preserve">Live </w:t>
            </w:r>
            <w:r>
              <w:rPr>
                <w:b/>
              </w:rPr>
              <w:t>i</w:t>
            </w:r>
            <w:r w:rsidRPr="00C03742">
              <w:rPr>
                <w:b/>
              </w:rPr>
              <w:t xml:space="preserve">nsect </w:t>
            </w:r>
            <w:r>
              <w:rPr>
                <w:b/>
              </w:rPr>
              <w:t xml:space="preserve">assay </w:t>
            </w:r>
            <w:r w:rsidRPr="00C03742">
              <w:rPr>
                <w:b/>
              </w:rPr>
              <w:t>dsRNAs</w:t>
            </w:r>
          </w:p>
          <w:p w:rsidR="00CF0AF7" w:rsidRPr="00D1020C" w:rsidRDefault="00CF0AF7" w:rsidP="00CF0AF7">
            <w:pPr>
              <w:spacing w:line="240" w:lineRule="auto"/>
              <w:jc w:val="center"/>
              <w:rPr>
                <w:rFonts w:ascii="Calibri" w:eastAsia="Times New Roman" w:hAnsi="Calibri" w:cs="Times New Roman"/>
                <w:sz w:val="18"/>
                <w:szCs w:val="18"/>
                <w:lang w:eastAsia="en-GB"/>
              </w:rPr>
            </w:pPr>
          </w:p>
        </w:tc>
      </w:tr>
      <w:tr w:rsidR="00CF0AF7" w:rsidRPr="006C621A" w:rsidTr="00CF0AF7">
        <w:trPr>
          <w:trHeight w:val="576"/>
        </w:trPr>
        <w:tc>
          <w:tcPr>
            <w:tcW w:w="1408" w:type="dxa"/>
            <w:vAlign w:val="center"/>
            <w:hideMark/>
          </w:tcPr>
          <w:p w:rsidR="00CF0AF7" w:rsidRPr="0011796C" w:rsidRDefault="00CF0AF7" w:rsidP="00CF0AF7">
            <w:pPr>
              <w:spacing w:line="240" w:lineRule="auto"/>
              <w:jc w:val="center"/>
              <w:rPr>
                <w:rFonts w:ascii="Calibri" w:eastAsia="Times New Roman" w:hAnsi="Calibri" w:cs="Times New Roman"/>
                <w:b/>
                <w:bCs/>
                <w:color w:val="000000"/>
                <w:sz w:val="18"/>
                <w:szCs w:val="18"/>
                <w:lang w:eastAsia="en-GB"/>
              </w:rPr>
            </w:pPr>
            <w:r>
              <w:rPr>
                <w:rFonts w:ascii="Calibri" w:eastAsia="Times New Roman" w:hAnsi="Calibri" w:cs="Times New Roman"/>
                <w:b/>
                <w:bCs/>
                <w:color w:val="000000"/>
                <w:sz w:val="18"/>
                <w:szCs w:val="18"/>
                <w:lang w:eastAsia="en-GB"/>
              </w:rPr>
              <w:t>dsRNA</w:t>
            </w: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b/>
                <w:bCs/>
                <w:color w:val="000000"/>
                <w:sz w:val="18"/>
                <w:szCs w:val="18"/>
                <w:lang w:eastAsia="en-GB"/>
              </w:rPr>
            </w:pPr>
            <w:r w:rsidRPr="0011796C">
              <w:rPr>
                <w:rFonts w:ascii="Calibri" w:eastAsia="Times New Roman" w:hAnsi="Calibri" w:cs="Times New Roman"/>
                <w:b/>
                <w:bCs/>
                <w:color w:val="000000"/>
                <w:sz w:val="18"/>
                <w:szCs w:val="18"/>
                <w:lang w:eastAsia="en-GB"/>
              </w:rPr>
              <w:t>Primer Type</w:t>
            </w:r>
          </w:p>
        </w:tc>
        <w:tc>
          <w:tcPr>
            <w:tcW w:w="6264"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b/>
                <w:bCs/>
                <w:color w:val="000000"/>
                <w:sz w:val="18"/>
                <w:szCs w:val="18"/>
                <w:lang w:eastAsia="en-GB"/>
              </w:rPr>
            </w:pPr>
            <w:r w:rsidRPr="0011796C">
              <w:rPr>
                <w:rFonts w:ascii="Calibri" w:eastAsia="Times New Roman" w:hAnsi="Calibri" w:cs="Times New Roman"/>
                <w:b/>
                <w:bCs/>
                <w:color w:val="000000"/>
                <w:sz w:val="18"/>
                <w:szCs w:val="18"/>
                <w:lang w:eastAsia="en-GB"/>
              </w:rPr>
              <w:t>Primer Sequence</w:t>
            </w:r>
          </w:p>
        </w:tc>
      </w:tr>
      <w:tr w:rsidR="00CF0AF7" w:rsidRPr="006C621A" w:rsidTr="00CF0AF7">
        <w:trPr>
          <w:trHeight w:val="576"/>
        </w:trPr>
        <w:tc>
          <w:tcPr>
            <w:tcW w:w="1408" w:type="dxa"/>
            <w:vMerge w:val="restart"/>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Target A</w:t>
            </w: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Forward – T7</w:t>
            </w:r>
          </w:p>
        </w:tc>
        <w:tc>
          <w:tcPr>
            <w:tcW w:w="6264" w:type="dxa"/>
            <w:shd w:val="clear" w:color="auto" w:fill="auto"/>
            <w:noWrap/>
            <w:vAlign w:val="center"/>
            <w:hideMark/>
          </w:tcPr>
          <w:p w:rsidR="00CF0AF7" w:rsidRPr="00D1020C" w:rsidRDefault="00CF0AF7" w:rsidP="00CF0AF7">
            <w:pPr>
              <w:spacing w:line="240" w:lineRule="auto"/>
              <w:jc w:val="left"/>
              <w:rPr>
                <w:rFonts w:ascii="Calibri" w:eastAsia="Times New Roman" w:hAnsi="Calibri" w:cs="Times New Roman"/>
                <w:sz w:val="18"/>
                <w:szCs w:val="18"/>
                <w:lang w:eastAsia="en-GB"/>
              </w:rPr>
            </w:pPr>
            <w:r w:rsidRPr="00D1020C">
              <w:rPr>
                <w:rFonts w:ascii="Calibri" w:eastAsia="Times New Roman" w:hAnsi="Calibri" w:cs="Times New Roman"/>
                <w:sz w:val="18"/>
                <w:szCs w:val="18"/>
                <w:lang w:eastAsia="en-GB"/>
              </w:rPr>
              <w:t>GCG</w:t>
            </w:r>
            <w:r w:rsidRPr="0011796C">
              <w:rPr>
                <w:rFonts w:ascii="Calibri" w:eastAsia="Times New Roman" w:hAnsi="Calibri" w:cs="Times New Roman"/>
                <w:color w:val="FF0000"/>
                <w:sz w:val="18"/>
                <w:szCs w:val="18"/>
                <w:lang w:eastAsia="en-GB"/>
              </w:rPr>
              <w:t>TAATACGACTCACTATAG</w:t>
            </w:r>
            <w:r w:rsidRPr="00D1020C">
              <w:rPr>
                <w:rFonts w:ascii="Calibri" w:eastAsia="Times New Roman" w:hAnsi="Calibri" w:cs="Times New Roman"/>
                <w:sz w:val="18"/>
                <w:szCs w:val="18"/>
                <w:lang w:eastAsia="en-GB"/>
              </w:rPr>
              <w:t>GACTTTAACAGGGAAGACCATCACC</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Reverse – T7</w:t>
            </w:r>
          </w:p>
        </w:tc>
        <w:tc>
          <w:tcPr>
            <w:tcW w:w="6264" w:type="dxa"/>
            <w:shd w:val="clear" w:color="auto" w:fill="auto"/>
            <w:noWrap/>
            <w:vAlign w:val="center"/>
            <w:hideMark/>
          </w:tcPr>
          <w:p w:rsidR="00CF0AF7" w:rsidRPr="00633A9A" w:rsidRDefault="00CF0AF7" w:rsidP="00CF0AF7">
            <w:pPr>
              <w:spacing w:line="240" w:lineRule="auto"/>
              <w:jc w:val="left"/>
              <w:rPr>
                <w:rFonts w:ascii="Calibri" w:eastAsia="Times New Roman" w:hAnsi="Calibri" w:cs="Times New Roman"/>
                <w:color w:val="FF0000"/>
                <w:sz w:val="18"/>
                <w:szCs w:val="18"/>
                <w:lang w:eastAsia="en-GB"/>
              </w:rPr>
            </w:pPr>
            <w:r w:rsidRPr="00D1020C">
              <w:rPr>
                <w:rFonts w:ascii="Calibri" w:eastAsia="Times New Roman" w:hAnsi="Calibri" w:cs="Times New Roman"/>
                <w:sz w:val="18"/>
                <w:szCs w:val="18"/>
                <w:lang w:eastAsia="en-GB"/>
              </w:rPr>
              <w:t>GCG</w:t>
            </w:r>
            <w:r w:rsidRPr="00D1020C">
              <w:rPr>
                <w:rFonts w:ascii="Calibri" w:eastAsia="Times New Roman" w:hAnsi="Calibri" w:cs="Times New Roman"/>
                <w:color w:val="FF0000"/>
                <w:sz w:val="18"/>
                <w:szCs w:val="18"/>
                <w:lang w:eastAsia="en-GB"/>
              </w:rPr>
              <w:t>TAATACGACTCACTATAG</w:t>
            </w:r>
            <w:r w:rsidRPr="00D1020C">
              <w:rPr>
                <w:rFonts w:ascii="Calibri" w:eastAsia="Times New Roman" w:hAnsi="Calibri" w:cs="Times New Roman"/>
                <w:sz w:val="18"/>
                <w:szCs w:val="18"/>
                <w:lang w:eastAsia="en-GB"/>
              </w:rPr>
              <w:t>GTTCTCAATTGTATCAGATGGCTCTACTTCCAAGGTAATG</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 xml:space="preserve">Forward – Blunt </w:t>
            </w:r>
          </w:p>
        </w:tc>
        <w:tc>
          <w:tcPr>
            <w:tcW w:w="6264" w:type="dxa"/>
            <w:shd w:val="clear" w:color="auto" w:fill="auto"/>
            <w:noWrap/>
            <w:vAlign w:val="center"/>
            <w:hideMark/>
          </w:tcPr>
          <w:p w:rsidR="00CF0AF7" w:rsidRPr="00D1020C" w:rsidRDefault="00CF0AF7" w:rsidP="00CF0AF7">
            <w:pPr>
              <w:spacing w:line="240" w:lineRule="auto"/>
              <w:jc w:val="left"/>
              <w:rPr>
                <w:rFonts w:ascii="Calibri" w:eastAsia="Times New Roman" w:hAnsi="Calibri" w:cs="Times New Roman"/>
                <w:sz w:val="18"/>
                <w:szCs w:val="18"/>
                <w:lang w:eastAsia="en-GB"/>
              </w:rPr>
            </w:pPr>
            <w:r w:rsidRPr="00D1020C">
              <w:rPr>
                <w:rFonts w:ascii="Calibri" w:eastAsia="Times New Roman" w:hAnsi="Calibri" w:cs="Times New Roman"/>
                <w:sz w:val="18"/>
                <w:szCs w:val="18"/>
                <w:lang w:eastAsia="en-GB"/>
              </w:rPr>
              <w:t>GACTTTAACAGGGAAGACCATCACC</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Reverse – Blunt</w:t>
            </w:r>
          </w:p>
        </w:tc>
        <w:tc>
          <w:tcPr>
            <w:tcW w:w="6264" w:type="dxa"/>
            <w:shd w:val="clear" w:color="auto" w:fill="auto"/>
            <w:noWrap/>
            <w:vAlign w:val="center"/>
            <w:hideMark/>
          </w:tcPr>
          <w:p w:rsidR="00CF0AF7" w:rsidRPr="00D1020C" w:rsidRDefault="00CF0AF7" w:rsidP="00CF0AF7">
            <w:pPr>
              <w:spacing w:line="240" w:lineRule="auto"/>
              <w:jc w:val="left"/>
              <w:rPr>
                <w:rFonts w:ascii="Calibri" w:eastAsia="Times New Roman" w:hAnsi="Calibri" w:cs="Times New Roman"/>
                <w:sz w:val="18"/>
                <w:szCs w:val="18"/>
                <w:lang w:eastAsia="en-GB"/>
              </w:rPr>
            </w:pPr>
            <w:r w:rsidRPr="00D1020C">
              <w:rPr>
                <w:rFonts w:ascii="Calibri" w:eastAsia="Times New Roman" w:hAnsi="Calibri" w:cs="Times New Roman"/>
                <w:sz w:val="18"/>
                <w:szCs w:val="18"/>
                <w:lang w:eastAsia="en-GB"/>
              </w:rPr>
              <w:t>TTCTCAATTGTATCAGATGGCTCTAC</w:t>
            </w:r>
          </w:p>
        </w:tc>
      </w:tr>
      <w:tr w:rsidR="00CF0AF7" w:rsidRPr="006C621A" w:rsidTr="00CF0AF7">
        <w:trPr>
          <w:trHeight w:val="576"/>
        </w:trPr>
        <w:tc>
          <w:tcPr>
            <w:tcW w:w="1408" w:type="dxa"/>
            <w:vMerge w:val="restart"/>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Target B</w:t>
            </w: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Forward – T7</w:t>
            </w:r>
          </w:p>
        </w:tc>
        <w:tc>
          <w:tcPr>
            <w:tcW w:w="6264"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FF0000"/>
                <w:sz w:val="18"/>
                <w:szCs w:val="18"/>
                <w:lang w:eastAsia="en-GB"/>
              </w:rPr>
            </w:pPr>
            <w:r w:rsidRPr="00D1020C">
              <w:rPr>
                <w:rFonts w:ascii="Calibri" w:eastAsia="Times New Roman" w:hAnsi="Calibri" w:cs="Times New Roman"/>
                <w:sz w:val="18"/>
                <w:szCs w:val="18"/>
                <w:lang w:eastAsia="en-GB"/>
              </w:rPr>
              <w:t>GCG</w:t>
            </w:r>
            <w:r w:rsidRPr="00D1020C">
              <w:rPr>
                <w:rFonts w:ascii="Calibri" w:eastAsia="Times New Roman" w:hAnsi="Calibri" w:cs="Times New Roman"/>
                <w:color w:val="FF0000"/>
                <w:sz w:val="18"/>
                <w:szCs w:val="18"/>
                <w:lang w:eastAsia="en-GB"/>
              </w:rPr>
              <w:t>TAATACGACTCACTATAG</w:t>
            </w:r>
            <w:r w:rsidRPr="00D1020C">
              <w:rPr>
                <w:rFonts w:ascii="Calibri" w:eastAsia="Times New Roman" w:hAnsi="Calibri" w:cs="Times New Roman"/>
                <w:sz w:val="18"/>
                <w:szCs w:val="18"/>
                <w:lang w:eastAsia="en-GB"/>
              </w:rPr>
              <w:t xml:space="preserve">GATAGAAGTTGAACCATCTGATACTATTGAG   </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Reverse – T7</w:t>
            </w:r>
          </w:p>
        </w:tc>
        <w:tc>
          <w:tcPr>
            <w:tcW w:w="6264"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FF0000"/>
                <w:sz w:val="18"/>
                <w:szCs w:val="18"/>
                <w:lang w:eastAsia="en-GB"/>
              </w:rPr>
            </w:pPr>
            <w:r w:rsidRPr="00D1020C">
              <w:rPr>
                <w:rFonts w:ascii="Calibri" w:eastAsia="Times New Roman" w:hAnsi="Calibri" w:cs="Times New Roman"/>
                <w:sz w:val="18"/>
                <w:szCs w:val="18"/>
                <w:lang w:eastAsia="en-GB"/>
              </w:rPr>
              <w:t>GCG</w:t>
            </w:r>
            <w:r w:rsidRPr="00D1020C">
              <w:rPr>
                <w:rFonts w:ascii="Calibri" w:eastAsia="Times New Roman" w:hAnsi="Calibri" w:cs="Times New Roman"/>
                <w:color w:val="FF0000"/>
                <w:sz w:val="18"/>
                <w:szCs w:val="18"/>
                <w:lang w:eastAsia="en-GB"/>
              </w:rPr>
              <w:t>TAATACGACTCACTATAG</w:t>
            </w:r>
            <w:r w:rsidRPr="00D1020C">
              <w:rPr>
                <w:rFonts w:ascii="Calibri" w:eastAsia="Times New Roman" w:hAnsi="Calibri" w:cs="Times New Roman"/>
                <w:sz w:val="18"/>
                <w:szCs w:val="18"/>
                <w:lang w:eastAsia="en-GB"/>
              </w:rPr>
              <w:t>GAGTGATGGTCTTTCCAGTTAGTGTCTTG</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D1020C" w:rsidRDefault="00CF0AF7" w:rsidP="00CF0AF7">
            <w:pPr>
              <w:spacing w:line="240" w:lineRule="auto"/>
              <w:jc w:val="center"/>
              <w:rPr>
                <w:rFonts w:ascii="Calibri" w:eastAsia="Times New Roman" w:hAnsi="Calibri" w:cs="Times New Roman"/>
                <w:sz w:val="18"/>
                <w:szCs w:val="18"/>
                <w:lang w:eastAsia="en-GB"/>
              </w:rPr>
            </w:pPr>
            <w:r w:rsidRPr="00D1020C">
              <w:rPr>
                <w:rFonts w:ascii="Calibri" w:eastAsia="Times New Roman" w:hAnsi="Calibri" w:cs="Times New Roman"/>
                <w:sz w:val="18"/>
                <w:szCs w:val="18"/>
                <w:lang w:eastAsia="en-GB"/>
              </w:rPr>
              <w:t xml:space="preserve">Forward – Blunt </w:t>
            </w:r>
          </w:p>
        </w:tc>
        <w:tc>
          <w:tcPr>
            <w:tcW w:w="6264" w:type="dxa"/>
            <w:shd w:val="clear" w:color="auto" w:fill="auto"/>
            <w:noWrap/>
            <w:vAlign w:val="center"/>
            <w:hideMark/>
          </w:tcPr>
          <w:p w:rsidR="00CF0AF7" w:rsidRPr="00D1020C" w:rsidRDefault="00CF0AF7" w:rsidP="00CF0AF7">
            <w:pPr>
              <w:spacing w:line="240" w:lineRule="auto"/>
              <w:jc w:val="left"/>
              <w:rPr>
                <w:rFonts w:ascii="Calibri" w:eastAsia="Times New Roman" w:hAnsi="Calibri" w:cs="Times New Roman"/>
                <w:sz w:val="18"/>
                <w:szCs w:val="18"/>
                <w:lang w:eastAsia="en-GB"/>
              </w:rPr>
            </w:pPr>
            <w:r w:rsidRPr="00D1020C">
              <w:rPr>
                <w:rFonts w:ascii="Calibri" w:eastAsia="Times New Roman" w:hAnsi="Calibri" w:cs="Times New Roman"/>
                <w:sz w:val="18"/>
                <w:szCs w:val="18"/>
                <w:lang w:eastAsia="en-GB"/>
              </w:rPr>
              <w:t>ATAGAAGTTGAACCATCTGATACTATTGAG</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D1020C" w:rsidRDefault="00CF0AF7" w:rsidP="00CF0AF7">
            <w:pPr>
              <w:spacing w:line="240" w:lineRule="auto"/>
              <w:jc w:val="center"/>
              <w:rPr>
                <w:rFonts w:ascii="Calibri" w:eastAsia="Times New Roman" w:hAnsi="Calibri" w:cs="Times New Roman"/>
                <w:sz w:val="18"/>
                <w:szCs w:val="18"/>
                <w:lang w:eastAsia="en-GB"/>
              </w:rPr>
            </w:pPr>
            <w:r w:rsidRPr="00D1020C">
              <w:rPr>
                <w:rFonts w:ascii="Calibri" w:eastAsia="Times New Roman" w:hAnsi="Calibri" w:cs="Times New Roman"/>
                <w:sz w:val="18"/>
                <w:szCs w:val="18"/>
                <w:lang w:eastAsia="en-GB"/>
              </w:rPr>
              <w:t>Reverse – Blunt</w:t>
            </w:r>
          </w:p>
        </w:tc>
        <w:tc>
          <w:tcPr>
            <w:tcW w:w="6264" w:type="dxa"/>
            <w:shd w:val="clear" w:color="auto" w:fill="auto"/>
            <w:noWrap/>
            <w:vAlign w:val="center"/>
            <w:hideMark/>
          </w:tcPr>
          <w:p w:rsidR="00CF0AF7" w:rsidRPr="00D1020C" w:rsidRDefault="00CF0AF7" w:rsidP="00CF0AF7">
            <w:pPr>
              <w:spacing w:line="240" w:lineRule="auto"/>
              <w:jc w:val="left"/>
              <w:rPr>
                <w:rFonts w:ascii="Calibri" w:eastAsia="Times New Roman" w:hAnsi="Calibri" w:cs="Times New Roman"/>
                <w:sz w:val="18"/>
                <w:szCs w:val="18"/>
                <w:lang w:eastAsia="en-GB"/>
              </w:rPr>
            </w:pPr>
            <w:r w:rsidRPr="00D1020C">
              <w:rPr>
                <w:rFonts w:ascii="Calibri" w:eastAsia="Times New Roman" w:hAnsi="Calibri" w:cs="Times New Roman"/>
                <w:sz w:val="18"/>
                <w:szCs w:val="18"/>
                <w:lang w:eastAsia="en-GB"/>
              </w:rPr>
              <w:t>AGTGATGGTCTTTCCAGTTAGTGTCTTG</w:t>
            </w:r>
          </w:p>
        </w:tc>
      </w:tr>
      <w:tr w:rsidR="00CF0AF7" w:rsidRPr="006C621A" w:rsidTr="00CF0AF7">
        <w:trPr>
          <w:trHeight w:val="576"/>
        </w:trPr>
        <w:tc>
          <w:tcPr>
            <w:tcW w:w="1408" w:type="dxa"/>
            <w:vMerge w:val="restart"/>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Target C</w:t>
            </w: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Forward – T7</w:t>
            </w:r>
          </w:p>
        </w:tc>
        <w:tc>
          <w:tcPr>
            <w:tcW w:w="6264" w:type="dxa"/>
            <w:shd w:val="clear" w:color="auto" w:fill="auto"/>
            <w:noWrap/>
            <w:vAlign w:val="center"/>
            <w:hideMark/>
          </w:tcPr>
          <w:p w:rsidR="00CF0AF7" w:rsidRPr="0011796C" w:rsidRDefault="00CF0AF7" w:rsidP="00CF0AF7">
            <w:pPr>
              <w:spacing w:line="240" w:lineRule="auto"/>
              <w:jc w:val="left"/>
              <w:rPr>
                <w:rFonts w:ascii="Calibri" w:eastAsia="Times New Roman" w:hAnsi="Calibri" w:cs="Times New Roman"/>
                <w:color w:val="FF0000"/>
                <w:sz w:val="18"/>
                <w:szCs w:val="18"/>
                <w:lang w:eastAsia="en-GB"/>
              </w:rPr>
            </w:pPr>
            <w:r>
              <w:rPr>
                <w:rFonts w:ascii="Calibri" w:eastAsia="Times New Roman" w:hAnsi="Calibri" w:cs="Times New Roman"/>
                <w:sz w:val="18"/>
                <w:szCs w:val="18"/>
                <w:lang w:eastAsia="en-GB"/>
              </w:rPr>
              <w:t>GCG</w:t>
            </w:r>
            <w:r w:rsidRPr="0011796C">
              <w:rPr>
                <w:rFonts w:ascii="Calibri" w:eastAsia="Times New Roman" w:hAnsi="Calibri" w:cs="Times New Roman"/>
                <w:color w:val="FF0000"/>
                <w:sz w:val="18"/>
                <w:szCs w:val="18"/>
                <w:lang w:eastAsia="en-GB"/>
              </w:rPr>
              <w:t>TAATACGACTCACTATAG</w:t>
            </w:r>
            <w:r>
              <w:rPr>
                <w:rFonts w:ascii="Calibri" w:eastAsia="Times New Roman" w:hAnsi="Calibri" w:cs="Times New Roman"/>
                <w:sz w:val="18"/>
                <w:szCs w:val="18"/>
                <w:lang w:eastAsia="en-GB"/>
              </w:rPr>
              <w:t>GCACCCACAGCTTCTGAAGCT</w:t>
            </w:r>
          </w:p>
        </w:tc>
      </w:tr>
      <w:tr w:rsidR="00CF0AF7" w:rsidRPr="006C621A" w:rsidTr="00CF0AF7">
        <w:trPr>
          <w:trHeight w:val="576"/>
        </w:trPr>
        <w:tc>
          <w:tcPr>
            <w:tcW w:w="1408" w:type="dxa"/>
            <w:vMerge/>
            <w:vAlign w:val="center"/>
            <w:hideMark/>
          </w:tcPr>
          <w:p w:rsidR="00CF0AF7" w:rsidRDefault="00CF0AF7" w:rsidP="00CF0AF7">
            <w:pPr>
              <w:spacing w:line="240" w:lineRule="auto"/>
              <w:jc w:val="center"/>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Reverse – T7</w:t>
            </w:r>
          </w:p>
        </w:tc>
        <w:tc>
          <w:tcPr>
            <w:tcW w:w="6264" w:type="dxa"/>
            <w:shd w:val="clear" w:color="auto" w:fill="auto"/>
            <w:noWrap/>
            <w:vAlign w:val="center"/>
            <w:hideMark/>
          </w:tcPr>
          <w:p w:rsidR="00CF0AF7" w:rsidRPr="003555BC" w:rsidRDefault="00CF0AF7" w:rsidP="00CF0AF7">
            <w:pPr>
              <w:spacing w:line="240" w:lineRule="auto"/>
              <w:jc w:val="left"/>
              <w:rPr>
                <w:rFonts w:ascii="Calibri" w:eastAsia="Times New Roman" w:hAnsi="Calibri" w:cs="Times New Roman"/>
                <w:sz w:val="18"/>
                <w:szCs w:val="18"/>
                <w:lang w:eastAsia="en-GB"/>
              </w:rPr>
            </w:pPr>
            <w:r>
              <w:rPr>
                <w:rFonts w:ascii="Calibri" w:eastAsia="Times New Roman" w:hAnsi="Calibri" w:cs="Times New Roman"/>
                <w:sz w:val="18"/>
                <w:szCs w:val="18"/>
                <w:lang w:eastAsia="en-GB"/>
              </w:rPr>
              <w:t>GCG</w:t>
            </w:r>
            <w:r w:rsidRPr="0011796C">
              <w:rPr>
                <w:rFonts w:ascii="Calibri" w:eastAsia="Times New Roman" w:hAnsi="Calibri" w:cs="Times New Roman"/>
                <w:color w:val="FF0000"/>
                <w:sz w:val="18"/>
                <w:szCs w:val="18"/>
                <w:lang w:eastAsia="en-GB"/>
              </w:rPr>
              <w:t>TAATACGACTCACTATAG</w:t>
            </w:r>
            <w:r>
              <w:rPr>
                <w:rFonts w:ascii="Calibri" w:eastAsia="Times New Roman" w:hAnsi="Calibri" w:cs="Times New Roman"/>
                <w:sz w:val="18"/>
                <w:szCs w:val="18"/>
                <w:lang w:eastAsia="en-GB"/>
              </w:rPr>
              <w:t>GCCAAGGTACCATCAATTTG</w:t>
            </w:r>
          </w:p>
        </w:tc>
      </w:tr>
      <w:tr w:rsidR="00CF0AF7" w:rsidRPr="006C621A" w:rsidTr="00CF0AF7">
        <w:trPr>
          <w:trHeight w:val="576"/>
        </w:trPr>
        <w:tc>
          <w:tcPr>
            <w:tcW w:w="1408" w:type="dxa"/>
            <w:vMerge/>
            <w:vAlign w:val="center"/>
            <w:hideMark/>
          </w:tcPr>
          <w:p w:rsidR="00CF0AF7" w:rsidRDefault="00CF0AF7" w:rsidP="00CF0AF7">
            <w:pPr>
              <w:spacing w:line="240" w:lineRule="auto"/>
              <w:jc w:val="center"/>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 xml:space="preserve">Forward – Blunt </w:t>
            </w:r>
          </w:p>
        </w:tc>
        <w:tc>
          <w:tcPr>
            <w:tcW w:w="6264" w:type="dxa"/>
            <w:shd w:val="clear" w:color="auto" w:fill="auto"/>
            <w:noWrap/>
            <w:vAlign w:val="center"/>
            <w:hideMark/>
          </w:tcPr>
          <w:p w:rsidR="00CF0AF7" w:rsidRPr="003555BC" w:rsidRDefault="00CF0AF7" w:rsidP="00CF0AF7">
            <w:pPr>
              <w:spacing w:line="240" w:lineRule="auto"/>
              <w:jc w:val="left"/>
              <w:rPr>
                <w:rFonts w:ascii="Calibri" w:eastAsia="Times New Roman" w:hAnsi="Calibri" w:cs="Times New Roman"/>
                <w:sz w:val="18"/>
                <w:szCs w:val="18"/>
                <w:lang w:eastAsia="en-GB"/>
              </w:rPr>
            </w:pPr>
            <w:r w:rsidRPr="003555BC">
              <w:rPr>
                <w:rFonts w:ascii="Calibri" w:eastAsia="Times New Roman" w:hAnsi="Calibri" w:cs="Times New Roman"/>
                <w:sz w:val="18"/>
                <w:szCs w:val="18"/>
                <w:lang w:eastAsia="en-GB"/>
              </w:rPr>
              <w:t>CACCCACAGCTTCTGAAGCT</w:t>
            </w:r>
          </w:p>
        </w:tc>
      </w:tr>
      <w:tr w:rsidR="00CF0AF7" w:rsidRPr="006C621A" w:rsidTr="00CF0AF7">
        <w:trPr>
          <w:trHeight w:val="576"/>
        </w:trPr>
        <w:tc>
          <w:tcPr>
            <w:tcW w:w="1408" w:type="dxa"/>
            <w:vMerge/>
            <w:vAlign w:val="center"/>
            <w:hideMark/>
          </w:tcPr>
          <w:p w:rsidR="00CF0AF7" w:rsidRDefault="00CF0AF7" w:rsidP="00CF0AF7">
            <w:pPr>
              <w:spacing w:line="240" w:lineRule="auto"/>
              <w:jc w:val="center"/>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Reverse – Blunt</w:t>
            </w:r>
          </w:p>
        </w:tc>
        <w:tc>
          <w:tcPr>
            <w:tcW w:w="6264" w:type="dxa"/>
            <w:shd w:val="clear" w:color="auto" w:fill="auto"/>
            <w:noWrap/>
            <w:vAlign w:val="center"/>
            <w:hideMark/>
          </w:tcPr>
          <w:p w:rsidR="00CF0AF7" w:rsidRPr="003555BC" w:rsidRDefault="00CF0AF7" w:rsidP="00CF0AF7">
            <w:pPr>
              <w:spacing w:line="240" w:lineRule="auto"/>
              <w:jc w:val="left"/>
              <w:rPr>
                <w:rFonts w:ascii="Calibri" w:eastAsia="Times New Roman" w:hAnsi="Calibri" w:cs="Times New Roman"/>
                <w:sz w:val="18"/>
                <w:szCs w:val="18"/>
                <w:lang w:eastAsia="en-GB"/>
              </w:rPr>
            </w:pPr>
            <w:r>
              <w:rPr>
                <w:rFonts w:ascii="Calibri" w:eastAsia="Times New Roman" w:hAnsi="Calibri" w:cs="Times New Roman"/>
                <w:sz w:val="18"/>
                <w:szCs w:val="18"/>
                <w:lang w:eastAsia="en-GB"/>
              </w:rPr>
              <w:t>GCCAAGGTACCATCAATTTG</w:t>
            </w:r>
          </w:p>
        </w:tc>
      </w:tr>
      <w:tr w:rsidR="00CF0AF7" w:rsidRPr="006C621A" w:rsidTr="00CF0AF7">
        <w:trPr>
          <w:trHeight w:val="576"/>
        </w:trPr>
        <w:tc>
          <w:tcPr>
            <w:tcW w:w="1408" w:type="dxa"/>
            <w:vMerge w:val="restart"/>
            <w:vAlign w:val="center"/>
            <w:hideMark/>
          </w:tcPr>
          <w:p w:rsidR="00CF0AF7"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GFP</w:t>
            </w: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Forward – T7</w:t>
            </w:r>
          </w:p>
        </w:tc>
        <w:tc>
          <w:tcPr>
            <w:tcW w:w="6264" w:type="dxa"/>
            <w:shd w:val="clear" w:color="auto" w:fill="auto"/>
            <w:noWrap/>
            <w:vAlign w:val="center"/>
            <w:hideMark/>
          </w:tcPr>
          <w:p w:rsidR="00CF0AF7" w:rsidRDefault="00CF0AF7" w:rsidP="00CF0AF7">
            <w:pPr>
              <w:spacing w:line="240" w:lineRule="auto"/>
              <w:jc w:val="left"/>
            </w:pPr>
            <w:r>
              <w:rPr>
                <w:rFonts w:ascii="Calibri" w:eastAsia="Times New Roman" w:hAnsi="Calibri" w:cs="Times New Roman"/>
                <w:sz w:val="18"/>
                <w:szCs w:val="18"/>
                <w:lang w:eastAsia="en-GB"/>
              </w:rPr>
              <w:t>GCG</w:t>
            </w:r>
            <w:r w:rsidRPr="0096566D">
              <w:rPr>
                <w:rFonts w:ascii="Calibri" w:eastAsia="Times New Roman" w:hAnsi="Calibri" w:cs="Times New Roman"/>
                <w:color w:val="FF0000"/>
                <w:sz w:val="18"/>
                <w:szCs w:val="18"/>
                <w:lang w:eastAsia="en-GB"/>
              </w:rPr>
              <w:t>TAATACGACTCACTATAG</w:t>
            </w:r>
            <w:r w:rsidRPr="003555BC">
              <w:rPr>
                <w:rFonts w:ascii="Calibri" w:eastAsia="Times New Roman" w:hAnsi="Calibri" w:cs="Times New Roman"/>
                <w:sz w:val="18"/>
                <w:szCs w:val="18"/>
                <w:lang w:eastAsia="en-GB"/>
              </w:rPr>
              <w:t>GAGATACCCAGATCATATGAAACGG</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Reverse – T7</w:t>
            </w:r>
          </w:p>
        </w:tc>
        <w:tc>
          <w:tcPr>
            <w:tcW w:w="6264" w:type="dxa"/>
            <w:shd w:val="clear" w:color="auto" w:fill="auto"/>
            <w:noWrap/>
            <w:vAlign w:val="center"/>
            <w:hideMark/>
          </w:tcPr>
          <w:p w:rsidR="00CF0AF7" w:rsidRPr="003555BC" w:rsidRDefault="00CF0AF7" w:rsidP="00CF0AF7">
            <w:pPr>
              <w:spacing w:line="240" w:lineRule="auto"/>
              <w:jc w:val="left"/>
            </w:pPr>
            <w:r w:rsidRPr="003555BC">
              <w:rPr>
                <w:rFonts w:ascii="Calibri" w:eastAsia="Times New Roman" w:hAnsi="Calibri" w:cs="Times New Roman"/>
                <w:sz w:val="18"/>
                <w:szCs w:val="18"/>
                <w:lang w:eastAsia="en-GB"/>
              </w:rPr>
              <w:t>GCG</w:t>
            </w:r>
            <w:r w:rsidRPr="0096566D">
              <w:rPr>
                <w:rFonts w:ascii="Calibri" w:eastAsia="Times New Roman" w:hAnsi="Calibri" w:cs="Times New Roman"/>
                <w:color w:val="FF0000"/>
                <w:sz w:val="18"/>
                <w:szCs w:val="18"/>
                <w:lang w:eastAsia="en-GB"/>
              </w:rPr>
              <w:t>TAATACGACTCACTATAG</w:t>
            </w:r>
            <w:r>
              <w:rPr>
                <w:rFonts w:ascii="Calibri" w:eastAsia="Times New Roman" w:hAnsi="Calibri" w:cs="Times New Roman"/>
                <w:sz w:val="18"/>
                <w:szCs w:val="18"/>
                <w:lang w:eastAsia="en-GB"/>
              </w:rPr>
              <w:t>GCAATTTGTGTCCAAGAATGTTTCC</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 xml:space="preserve">Forward – Blunt </w:t>
            </w:r>
          </w:p>
        </w:tc>
        <w:tc>
          <w:tcPr>
            <w:tcW w:w="6264" w:type="dxa"/>
            <w:shd w:val="clear" w:color="auto" w:fill="auto"/>
            <w:noWrap/>
            <w:vAlign w:val="center"/>
            <w:hideMark/>
          </w:tcPr>
          <w:p w:rsidR="00CF0AF7" w:rsidRPr="00D1020C" w:rsidRDefault="00CF0AF7" w:rsidP="00CF0AF7">
            <w:pPr>
              <w:spacing w:line="240" w:lineRule="auto"/>
              <w:jc w:val="left"/>
              <w:rPr>
                <w:rFonts w:ascii="Calibri" w:eastAsia="Times New Roman" w:hAnsi="Calibri" w:cs="Times New Roman"/>
                <w:sz w:val="18"/>
                <w:szCs w:val="18"/>
                <w:lang w:eastAsia="en-GB"/>
              </w:rPr>
            </w:pPr>
            <w:r>
              <w:rPr>
                <w:rFonts w:ascii="Calibri" w:eastAsia="Times New Roman" w:hAnsi="Calibri" w:cs="Times New Roman"/>
                <w:sz w:val="18"/>
                <w:szCs w:val="18"/>
                <w:lang w:eastAsia="en-GB"/>
              </w:rPr>
              <w:t>AGATACCCAGATCATATGAAACGG</w:t>
            </w:r>
          </w:p>
        </w:tc>
      </w:tr>
      <w:tr w:rsidR="00CF0AF7" w:rsidRPr="006C621A" w:rsidTr="00CF0AF7">
        <w:trPr>
          <w:trHeight w:val="576"/>
        </w:trPr>
        <w:tc>
          <w:tcPr>
            <w:tcW w:w="1408" w:type="dxa"/>
            <w:vMerge/>
            <w:vAlign w:val="center"/>
            <w:hideMark/>
          </w:tcPr>
          <w:p w:rsidR="00CF0AF7" w:rsidRDefault="00CF0AF7" w:rsidP="00CF0AF7">
            <w:pPr>
              <w:spacing w:line="240" w:lineRule="auto"/>
              <w:jc w:val="left"/>
              <w:rPr>
                <w:rFonts w:ascii="Calibri" w:eastAsia="Times New Roman" w:hAnsi="Calibri" w:cs="Times New Roman"/>
                <w:color w:val="000000"/>
                <w:sz w:val="18"/>
                <w:szCs w:val="18"/>
                <w:lang w:eastAsia="en-GB"/>
              </w:rPr>
            </w:pPr>
          </w:p>
        </w:tc>
        <w:tc>
          <w:tcPr>
            <w:tcW w:w="1478" w:type="dxa"/>
            <w:shd w:val="clear" w:color="auto" w:fill="auto"/>
            <w:noWrap/>
            <w:vAlign w:val="center"/>
            <w:hideMark/>
          </w:tcPr>
          <w:p w:rsidR="00CF0AF7" w:rsidRPr="0011796C" w:rsidRDefault="00CF0AF7" w:rsidP="00CF0AF7">
            <w:pPr>
              <w:spacing w:line="240" w:lineRule="auto"/>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Reverse – Blunt</w:t>
            </w:r>
          </w:p>
        </w:tc>
        <w:tc>
          <w:tcPr>
            <w:tcW w:w="6264" w:type="dxa"/>
            <w:shd w:val="clear" w:color="auto" w:fill="auto"/>
            <w:noWrap/>
            <w:vAlign w:val="center"/>
            <w:hideMark/>
          </w:tcPr>
          <w:p w:rsidR="00CF0AF7" w:rsidRPr="00D1020C" w:rsidRDefault="00CF0AF7" w:rsidP="00CF0AF7">
            <w:pPr>
              <w:spacing w:line="240" w:lineRule="auto"/>
              <w:jc w:val="left"/>
              <w:rPr>
                <w:rFonts w:ascii="Calibri" w:eastAsia="Times New Roman" w:hAnsi="Calibri" w:cs="Times New Roman"/>
                <w:sz w:val="18"/>
                <w:szCs w:val="18"/>
                <w:lang w:eastAsia="en-GB"/>
              </w:rPr>
            </w:pPr>
            <w:r>
              <w:rPr>
                <w:rFonts w:ascii="Calibri" w:eastAsia="Times New Roman" w:hAnsi="Calibri" w:cs="Times New Roman"/>
                <w:sz w:val="18"/>
                <w:szCs w:val="18"/>
                <w:lang w:eastAsia="en-GB"/>
              </w:rPr>
              <w:t>CAATTTGTGTCCAAGAATGTTTCC</w:t>
            </w:r>
          </w:p>
        </w:tc>
      </w:tr>
    </w:tbl>
    <w:p w:rsidR="00CF0AF7" w:rsidRDefault="00CF0AF7" w:rsidP="00CF0AF7">
      <w:pPr>
        <w:spacing w:line="360" w:lineRule="auto"/>
        <w:ind w:firstLine="284"/>
      </w:pPr>
    </w:p>
    <w:p w:rsidR="00CF0AF7" w:rsidRDefault="00CF0AF7" w:rsidP="00CF0AF7">
      <w:pPr>
        <w:spacing w:line="360" w:lineRule="auto"/>
        <w:ind w:firstLine="284"/>
      </w:pPr>
    </w:p>
    <w:p w:rsidR="00CF0AF7" w:rsidRDefault="00CF0AF7" w:rsidP="00CF0AF7">
      <w:pPr>
        <w:spacing w:line="360" w:lineRule="auto"/>
        <w:ind w:firstLine="284"/>
      </w:pPr>
      <w:r>
        <w:t xml:space="preserve">The reactions were carried out using a Verti 96-well Thermal Cycler (Applied Biosystems) using the cycling protocol in the table below. </w:t>
      </w:r>
    </w:p>
    <w:p w:rsidR="00CF0AF7" w:rsidRDefault="00CF0AF7" w:rsidP="00CF0AF7">
      <w:pPr>
        <w:spacing w:line="360" w:lineRule="auto"/>
        <w:ind w:firstLine="284"/>
        <w:rPr>
          <w:color w:val="FF0000"/>
        </w:rPr>
      </w:pPr>
    </w:p>
    <w:p w:rsidR="00CF0AF7" w:rsidRDefault="00CF0AF7" w:rsidP="00CF0AF7">
      <w:pPr>
        <w:spacing w:line="360" w:lineRule="auto"/>
        <w:ind w:firstLine="284"/>
        <w:rPr>
          <w:color w:val="FF0000"/>
        </w:rPr>
      </w:pPr>
    </w:p>
    <w:p w:rsidR="00CF0AF7" w:rsidRDefault="00CF0AF7" w:rsidP="00CF0AF7">
      <w:pPr>
        <w:spacing w:line="360" w:lineRule="auto"/>
        <w:ind w:firstLine="284"/>
        <w:rPr>
          <w:color w:val="FF0000"/>
        </w:rPr>
      </w:pPr>
    </w:p>
    <w:p w:rsidR="00CF0AF7" w:rsidRPr="000C3320" w:rsidRDefault="00CF0AF7" w:rsidP="00CF0AF7">
      <w:pPr>
        <w:spacing w:line="360" w:lineRule="auto"/>
        <w:ind w:firstLine="284"/>
        <w:rPr>
          <w:color w:val="FF0000"/>
        </w:rPr>
      </w:pPr>
    </w:p>
    <w:tbl>
      <w:tblPr>
        <w:tblStyle w:val="TableGrid"/>
        <w:tblW w:w="0" w:type="auto"/>
        <w:jc w:val="center"/>
        <w:tblInd w:w="1526" w:type="dxa"/>
        <w:tblLook w:val="04A0"/>
      </w:tblPr>
      <w:tblGrid>
        <w:gridCol w:w="1946"/>
        <w:gridCol w:w="1314"/>
        <w:gridCol w:w="1134"/>
      </w:tblGrid>
      <w:tr w:rsidR="00CF0AF7" w:rsidTr="00CF0AF7">
        <w:trPr>
          <w:trHeight w:val="278"/>
          <w:jc w:val="center"/>
        </w:trPr>
        <w:tc>
          <w:tcPr>
            <w:tcW w:w="1946" w:type="dxa"/>
          </w:tcPr>
          <w:p w:rsidR="00CF0AF7" w:rsidRPr="00E8732E" w:rsidRDefault="00CF0AF7" w:rsidP="00CF0AF7">
            <w:pPr>
              <w:spacing w:line="276" w:lineRule="auto"/>
              <w:jc w:val="center"/>
              <w:rPr>
                <w:b/>
              </w:rPr>
            </w:pPr>
            <w:r w:rsidRPr="00E8732E">
              <w:rPr>
                <w:b/>
              </w:rPr>
              <w:lastRenderedPageBreak/>
              <w:t>Temperature (°C)</w:t>
            </w:r>
          </w:p>
        </w:tc>
        <w:tc>
          <w:tcPr>
            <w:tcW w:w="1314" w:type="dxa"/>
          </w:tcPr>
          <w:p w:rsidR="00CF0AF7" w:rsidRPr="00E8732E" w:rsidRDefault="00CF0AF7" w:rsidP="00CF0AF7">
            <w:pPr>
              <w:spacing w:line="276" w:lineRule="auto"/>
              <w:jc w:val="center"/>
              <w:rPr>
                <w:b/>
              </w:rPr>
            </w:pPr>
            <w:r w:rsidRPr="00E8732E">
              <w:rPr>
                <w:b/>
              </w:rPr>
              <w:t>Time</w:t>
            </w:r>
          </w:p>
        </w:tc>
        <w:tc>
          <w:tcPr>
            <w:tcW w:w="1134" w:type="dxa"/>
          </w:tcPr>
          <w:p w:rsidR="00CF0AF7" w:rsidRPr="00E8732E" w:rsidRDefault="00CF0AF7" w:rsidP="00CF0AF7">
            <w:pPr>
              <w:spacing w:line="276" w:lineRule="auto"/>
              <w:jc w:val="center"/>
              <w:rPr>
                <w:b/>
              </w:rPr>
            </w:pPr>
            <w:r w:rsidRPr="00E8732E">
              <w:rPr>
                <w:b/>
              </w:rPr>
              <w:t>Cycles</w:t>
            </w:r>
          </w:p>
        </w:tc>
      </w:tr>
      <w:tr w:rsidR="00CF0AF7" w:rsidTr="00CF0AF7">
        <w:trPr>
          <w:trHeight w:val="278"/>
          <w:jc w:val="center"/>
        </w:trPr>
        <w:tc>
          <w:tcPr>
            <w:tcW w:w="1946" w:type="dxa"/>
          </w:tcPr>
          <w:p w:rsidR="00CF0AF7" w:rsidRPr="00E8732E" w:rsidRDefault="00CF0AF7" w:rsidP="00CF0AF7">
            <w:pPr>
              <w:spacing w:line="276" w:lineRule="auto"/>
              <w:jc w:val="center"/>
            </w:pPr>
            <w:r w:rsidRPr="00E8732E">
              <w:t>95</w:t>
            </w:r>
          </w:p>
        </w:tc>
        <w:tc>
          <w:tcPr>
            <w:tcW w:w="1314" w:type="dxa"/>
          </w:tcPr>
          <w:p w:rsidR="00CF0AF7" w:rsidRPr="00E8732E" w:rsidRDefault="00CF0AF7" w:rsidP="00CF0AF7">
            <w:pPr>
              <w:spacing w:line="276" w:lineRule="auto"/>
              <w:jc w:val="center"/>
            </w:pPr>
            <w:r w:rsidRPr="00E8732E">
              <w:t>3 mins</w:t>
            </w:r>
          </w:p>
        </w:tc>
        <w:tc>
          <w:tcPr>
            <w:tcW w:w="1134" w:type="dxa"/>
            <w:vAlign w:val="center"/>
          </w:tcPr>
          <w:p w:rsidR="00CF0AF7" w:rsidRPr="00E8732E" w:rsidRDefault="00CF0AF7" w:rsidP="00CF0AF7">
            <w:pPr>
              <w:spacing w:line="276" w:lineRule="auto"/>
              <w:jc w:val="center"/>
            </w:pPr>
            <w:r w:rsidRPr="00E8732E">
              <w:t>1X</w:t>
            </w:r>
          </w:p>
        </w:tc>
      </w:tr>
      <w:tr w:rsidR="00CF0AF7" w:rsidTr="00CF0AF7">
        <w:trPr>
          <w:trHeight w:val="278"/>
          <w:jc w:val="center"/>
        </w:trPr>
        <w:tc>
          <w:tcPr>
            <w:tcW w:w="1946" w:type="dxa"/>
          </w:tcPr>
          <w:p w:rsidR="00CF0AF7" w:rsidRPr="00E8732E" w:rsidRDefault="00CF0AF7" w:rsidP="00CF0AF7">
            <w:pPr>
              <w:spacing w:line="276" w:lineRule="auto"/>
              <w:jc w:val="center"/>
            </w:pPr>
            <w:r w:rsidRPr="00E8732E">
              <w:t>95</w:t>
            </w:r>
          </w:p>
        </w:tc>
        <w:tc>
          <w:tcPr>
            <w:tcW w:w="1314" w:type="dxa"/>
          </w:tcPr>
          <w:p w:rsidR="00CF0AF7" w:rsidRPr="00E8732E" w:rsidRDefault="00CF0AF7" w:rsidP="00CF0AF7">
            <w:pPr>
              <w:spacing w:line="276" w:lineRule="auto"/>
              <w:jc w:val="center"/>
            </w:pPr>
            <w:r w:rsidRPr="00E8732E">
              <w:t>15 secs</w:t>
            </w:r>
          </w:p>
        </w:tc>
        <w:tc>
          <w:tcPr>
            <w:tcW w:w="1134" w:type="dxa"/>
            <w:vMerge w:val="restart"/>
            <w:vAlign w:val="center"/>
          </w:tcPr>
          <w:p w:rsidR="00CF0AF7" w:rsidRPr="00E8732E" w:rsidRDefault="00CF0AF7" w:rsidP="00CF0AF7">
            <w:pPr>
              <w:spacing w:line="276" w:lineRule="auto"/>
              <w:jc w:val="center"/>
            </w:pPr>
            <w:r w:rsidRPr="00E8732E">
              <w:t>30X</w:t>
            </w:r>
          </w:p>
        </w:tc>
      </w:tr>
      <w:tr w:rsidR="00CF0AF7" w:rsidTr="00CF0AF7">
        <w:trPr>
          <w:trHeight w:val="278"/>
          <w:jc w:val="center"/>
        </w:trPr>
        <w:tc>
          <w:tcPr>
            <w:tcW w:w="1946" w:type="dxa"/>
          </w:tcPr>
          <w:p w:rsidR="00CF0AF7" w:rsidRPr="00E8732E" w:rsidRDefault="00CF0AF7" w:rsidP="00CF0AF7">
            <w:pPr>
              <w:spacing w:line="276" w:lineRule="auto"/>
              <w:jc w:val="center"/>
            </w:pPr>
            <w:r w:rsidRPr="00E8732E">
              <w:t>60</w:t>
            </w:r>
          </w:p>
        </w:tc>
        <w:tc>
          <w:tcPr>
            <w:tcW w:w="1314" w:type="dxa"/>
          </w:tcPr>
          <w:p w:rsidR="00CF0AF7" w:rsidRPr="00E8732E" w:rsidRDefault="00CF0AF7" w:rsidP="00CF0AF7">
            <w:pPr>
              <w:spacing w:line="276" w:lineRule="auto"/>
              <w:jc w:val="center"/>
            </w:pPr>
            <w:r w:rsidRPr="00E8732E">
              <w:t>15 secs</w:t>
            </w:r>
          </w:p>
        </w:tc>
        <w:tc>
          <w:tcPr>
            <w:tcW w:w="1134" w:type="dxa"/>
            <w:vMerge/>
          </w:tcPr>
          <w:p w:rsidR="00CF0AF7" w:rsidRPr="00E8732E" w:rsidRDefault="00CF0AF7" w:rsidP="00CF0AF7">
            <w:pPr>
              <w:spacing w:line="276" w:lineRule="auto"/>
              <w:jc w:val="center"/>
            </w:pPr>
          </w:p>
        </w:tc>
      </w:tr>
      <w:tr w:rsidR="00CF0AF7" w:rsidTr="00CF0AF7">
        <w:trPr>
          <w:trHeight w:val="278"/>
          <w:jc w:val="center"/>
        </w:trPr>
        <w:tc>
          <w:tcPr>
            <w:tcW w:w="1946" w:type="dxa"/>
          </w:tcPr>
          <w:p w:rsidR="00CF0AF7" w:rsidRPr="00E8732E" w:rsidRDefault="00CF0AF7" w:rsidP="00CF0AF7">
            <w:pPr>
              <w:spacing w:line="276" w:lineRule="auto"/>
              <w:jc w:val="center"/>
            </w:pPr>
            <w:r w:rsidRPr="00E8732E">
              <w:t>72</w:t>
            </w:r>
          </w:p>
        </w:tc>
        <w:tc>
          <w:tcPr>
            <w:tcW w:w="1314" w:type="dxa"/>
          </w:tcPr>
          <w:p w:rsidR="00CF0AF7" w:rsidRPr="00E8732E" w:rsidRDefault="00CF0AF7" w:rsidP="00CF0AF7">
            <w:pPr>
              <w:spacing w:line="276" w:lineRule="auto"/>
              <w:jc w:val="center"/>
            </w:pPr>
            <w:r w:rsidRPr="00E8732E">
              <w:t>3 secs</w:t>
            </w:r>
          </w:p>
        </w:tc>
        <w:tc>
          <w:tcPr>
            <w:tcW w:w="1134" w:type="dxa"/>
            <w:vMerge/>
          </w:tcPr>
          <w:p w:rsidR="00CF0AF7" w:rsidRPr="00E8732E" w:rsidRDefault="00CF0AF7" w:rsidP="00CF0AF7">
            <w:pPr>
              <w:spacing w:line="276" w:lineRule="auto"/>
              <w:jc w:val="center"/>
            </w:pPr>
          </w:p>
        </w:tc>
      </w:tr>
      <w:tr w:rsidR="00CF0AF7" w:rsidTr="00CF0AF7">
        <w:trPr>
          <w:trHeight w:val="278"/>
          <w:jc w:val="center"/>
        </w:trPr>
        <w:tc>
          <w:tcPr>
            <w:tcW w:w="1946" w:type="dxa"/>
          </w:tcPr>
          <w:p w:rsidR="00CF0AF7" w:rsidRPr="00E8732E" w:rsidRDefault="00CF0AF7" w:rsidP="00CF0AF7">
            <w:pPr>
              <w:spacing w:line="276" w:lineRule="auto"/>
              <w:jc w:val="center"/>
            </w:pPr>
            <w:r w:rsidRPr="00E8732E">
              <w:t>72</w:t>
            </w:r>
          </w:p>
        </w:tc>
        <w:tc>
          <w:tcPr>
            <w:tcW w:w="1314" w:type="dxa"/>
          </w:tcPr>
          <w:p w:rsidR="00CF0AF7" w:rsidRPr="00E8732E" w:rsidRDefault="00CF0AF7" w:rsidP="00CF0AF7">
            <w:pPr>
              <w:spacing w:line="276" w:lineRule="auto"/>
              <w:jc w:val="center"/>
            </w:pPr>
            <w:r w:rsidRPr="00E8732E">
              <w:t>1 min</w:t>
            </w:r>
          </w:p>
        </w:tc>
        <w:tc>
          <w:tcPr>
            <w:tcW w:w="1134" w:type="dxa"/>
          </w:tcPr>
          <w:p w:rsidR="00CF0AF7" w:rsidRPr="00E8732E" w:rsidRDefault="00CF0AF7" w:rsidP="00CF0AF7">
            <w:pPr>
              <w:spacing w:line="276" w:lineRule="auto"/>
              <w:jc w:val="center"/>
            </w:pPr>
            <w:r w:rsidRPr="00E8732E">
              <w:t>1X</w:t>
            </w:r>
          </w:p>
        </w:tc>
      </w:tr>
      <w:tr w:rsidR="00CF0AF7" w:rsidTr="00CF0AF7">
        <w:trPr>
          <w:trHeight w:val="278"/>
          <w:jc w:val="center"/>
        </w:trPr>
        <w:tc>
          <w:tcPr>
            <w:tcW w:w="1946" w:type="dxa"/>
          </w:tcPr>
          <w:p w:rsidR="00CF0AF7" w:rsidRPr="00E8732E" w:rsidRDefault="00CF0AF7" w:rsidP="00CF0AF7">
            <w:pPr>
              <w:spacing w:line="276" w:lineRule="auto"/>
              <w:jc w:val="center"/>
            </w:pPr>
            <w:r w:rsidRPr="00E8732E">
              <w:t>4</w:t>
            </w:r>
          </w:p>
        </w:tc>
        <w:tc>
          <w:tcPr>
            <w:tcW w:w="1314" w:type="dxa"/>
          </w:tcPr>
          <w:p w:rsidR="00CF0AF7" w:rsidRPr="00E8732E" w:rsidRDefault="00CF0AF7" w:rsidP="00CF0AF7">
            <w:pPr>
              <w:spacing w:line="276" w:lineRule="auto"/>
              <w:jc w:val="center"/>
            </w:pPr>
            <w:r w:rsidRPr="00E8732E">
              <w:t>∞</w:t>
            </w:r>
          </w:p>
        </w:tc>
        <w:tc>
          <w:tcPr>
            <w:tcW w:w="1134" w:type="dxa"/>
          </w:tcPr>
          <w:p w:rsidR="00CF0AF7" w:rsidRPr="00E8732E" w:rsidRDefault="00CF0AF7" w:rsidP="00CF0AF7">
            <w:pPr>
              <w:spacing w:line="276" w:lineRule="auto"/>
              <w:jc w:val="center"/>
            </w:pPr>
            <w:r w:rsidRPr="00E8732E">
              <w:t>1X</w:t>
            </w:r>
          </w:p>
        </w:tc>
      </w:tr>
    </w:tbl>
    <w:p w:rsidR="00CF0AF7" w:rsidRDefault="00CF0AF7" w:rsidP="00CF0AF7">
      <w:pPr>
        <w:spacing w:line="360" w:lineRule="auto"/>
        <w:ind w:firstLine="284"/>
        <w:rPr>
          <w:color w:val="FF0000"/>
        </w:rPr>
      </w:pPr>
    </w:p>
    <w:p w:rsidR="00CF0AF7" w:rsidRDefault="00CF0AF7" w:rsidP="00CF0AF7">
      <w:pPr>
        <w:spacing w:line="360" w:lineRule="auto"/>
        <w:ind w:firstLine="284"/>
      </w:pPr>
      <w:r>
        <w:t>The final PCR product was purified using a Qiagen QIAquick PCR Purification Kit following the kit protocol. This clean PCR product was used as the DNA template for the subsequent IVT reaction.</w:t>
      </w:r>
    </w:p>
    <w:p w:rsidR="00CF0AF7" w:rsidRDefault="00CF0AF7" w:rsidP="00CF0AF7">
      <w:pPr>
        <w:spacing w:line="360" w:lineRule="auto"/>
        <w:ind w:firstLine="284"/>
      </w:pPr>
    </w:p>
    <w:p w:rsidR="00CF0AF7" w:rsidRDefault="00CF0AF7" w:rsidP="00CF0AF7">
      <w:pPr>
        <w:pStyle w:val="Heading3"/>
        <w:spacing w:line="360" w:lineRule="auto"/>
      </w:pPr>
      <w:r>
        <w:t xml:space="preserve"> </w:t>
      </w:r>
      <w:bookmarkStart w:id="37" w:name="_Toc35333935"/>
      <w:r>
        <w:t>Synthesis of ss/dsRNA</w:t>
      </w:r>
      <w:bookmarkEnd w:id="37"/>
    </w:p>
    <w:p w:rsidR="00CF0AF7" w:rsidRDefault="00CF0AF7" w:rsidP="00CF0AF7">
      <w:pPr>
        <w:spacing w:line="360" w:lineRule="auto"/>
        <w:ind w:firstLine="284"/>
        <w:rPr>
          <w:rFonts w:cs="Times New Roman"/>
        </w:rPr>
      </w:pPr>
      <w:r w:rsidRPr="00DC2307">
        <w:rPr>
          <w:rFonts w:eastAsia="Times New Roman" w:cs="Times New Roman"/>
          <w:color w:val="222222"/>
          <w:szCs w:val="24"/>
        </w:rPr>
        <w:t>The amplified DNA (</w:t>
      </w:r>
      <w:r w:rsidRPr="00ED2E5F">
        <w:rPr>
          <w:rFonts w:eastAsia="Times New Roman" w:cs="Times New Roman"/>
          <w:szCs w:val="24"/>
        </w:rPr>
        <w:t xml:space="preserve">described in section </w:t>
      </w:r>
      <w:r w:rsidR="00ED2E5F" w:rsidRPr="00ED2E5F">
        <w:rPr>
          <w:rFonts w:eastAsia="Times New Roman" w:cs="Times New Roman"/>
          <w:szCs w:val="24"/>
        </w:rPr>
        <w:t>2.2.1</w:t>
      </w:r>
      <w:r w:rsidRPr="00ED2E5F">
        <w:rPr>
          <w:rFonts w:eastAsia="Times New Roman" w:cs="Times New Roman"/>
          <w:szCs w:val="24"/>
        </w:rPr>
        <w:t>) was</w:t>
      </w:r>
      <w:r w:rsidRPr="00DC2307">
        <w:rPr>
          <w:rFonts w:eastAsia="Times New Roman" w:cs="Times New Roman"/>
          <w:color w:val="222222"/>
          <w:szCs w:val="24"/>
        </w:rPr>
        <w:t xml:space="preserve"> used as the template for subsequent </w:t>
      </w:r>
      <w:r w:rsidRPr="006408B8">
        <w:rPr>
          <w:rFonts w:eastAsia="Times New Roman" w:cs="Times New Roman"/>
          <w:i/>
          <w:color w:val="222222"/>
          <w:szCs w:val="24"/>
        </w:rPr>
        <w:t>in vitro</w:t>
      </w:r>
      <w:r w:rsidRPr="00DC2307">
        <w:rPr>
          <w:rFonts w:eastAsia="Times New Roman" w:cs="Times New Roman"/>
          <w:color w:val="222222"/>
          <w:szCs w:val="24"/>
        </w:rPr>
        <w:t xml:space="preserve"> transcription</w:t>
      </w:r>
      <w:r>
        <w:rPr>
          <w:rFonts w:eastAsia="Times New Roman" w:cs="Times New Roman"/>
          <w:color w:val="222222"/>
          <w:szCs w:val="24"/>
        </w:rPr>
        <w:t xml:space="preserve"> reactions</w:t>
      </w:r>
      <w:r w:rsidRPr="00DC2307">
        <w:rPr>
          <w:rFonts w:eastAsia="Times New Roman" w:cs="Times New Roman"/>
          <w:color w:val="222222"/>
          <w:szCs w:val="24"/>
        </w:rPr>
        <w:t xml:space="preserve"> in conjunction </w:t>
      </w:r>
      <w:r>
        <w:t xml:space="preserve">Ambion MEGAscript T7 IVT kit </w:t>
      </w:r>
      <w:r w:rsidRPr="00DC2307">
        <w:rPr>
          <w:rFonts w:cs="Times New Roman"/>
        </w:rPr>
        <w:t>(</w:t>
      </w:r>
      <w:r>
        <w:rPr>
          <w:rFonts w:cs="Times New Roman"/>
        </w:rPr>
        <w:t>ThermoFisher). 2 µl</w:t>
      </w:r>
      <w:r w:rsidRPr="00DC2307">
        <w:rPr>
          <w:rFonts w:cs="Times New Roman"/>
        </w:rPr>
        <w:t xml:space="preserve"> of each the</w:t>
      </w:r>
      <w:r>
        <w:rPr>
          <w:rFonts w:cs="Times New Roman"/>
        </w:rPr>
        <w:t xml:space="preserve"> 75 mM</w:t>
      </w:r>
      <w:r w:rsidRPr="00DC2307">
        <w:rPr>
          <w:rFonts w:cs="Times New Roman"/>
        </w:rPr>
        <w:t xml:space="preserve"> NTPs</w:t>
      </w:r>
      <w:r>
        <w:rPr>
          <w:rFonts w:cs="Times New Roman"/>
        </w:rPr>
        <w:t xml:space="preserve">, 2 µl of 10X reaction buffer, 0.1-0.3 </w:t>
      </w:r>
      <w:r w:rsidRPr="00DC2307">
        <w:rPr>
          <w:rFonts w:cs="Times New Roman"/>
        </w:rPr>
        <w:t>µg DNA template</w:t>
      </w:r>
      <w:r>
        <w:rPr>
          <w:rFonts w:cs="Times New Roman"/>
        </w:rPr>
        <w:t xml:space="preserve"> (unless otherwise stated)</w:t>
      </w:r>
      <w:r w:rsidRPr="00DC2307">
        <w:rPr>
          <w:rFonts w:cs="Times New Roman"/>
        </w:rPr>
        <w:t xml:space="preserve"> a</w:t>
      </w:r>
      <w:r>
        <w:rPr>
          <w:rFonts w:cs="Times New Roman"/>
        </w:rPr>
        <w:t>nd 2 µl</w:t>
      </w:r>
      <w:r w:rsidRPr="00DC2307">
        <w:rPr>
          <w:rFonts w:cs="Times New Roman"/>
        </w:rPr>
        <w:t xml:space="preserve"> </w:t>
      </w:r>
      <w:r>
        <w:t>MEGAscript</w:t>
      </w:r>
      <w:r w:rsidRPr="00DC2307">
        <w:rPr>
          <w:rFonts w:cs="Times New Roman"/>
        </w:rPr>
        <w:t xml:space="preserve"> T7 polymerase were added </w:t>
      </w:r>
      <w:r>
        <w:rPr>
          <w:rFonts w:cs="Times New Roman"/>
        </w:rPr>
        <w:t>and reactions made up to 20 µl</w:t>
      </w:r>
      <w:r w:rsidRPr="00DC2307">
        <w:rPr>
          <w:rFonts w:cs="Times New Roman"/>
        </w:rPr>
        <w:t xml:space="preserve"> </w:t>
      </w:r>
      <w:r>
        <w:rPr>
          <w:rFonts w:cs="Times New Roman"/>
        </w:rPr>
        <w:t>with nuclease-free water.</w:t>
      </w:r>
      <w:r w:rsidRPr="00DC2307">
        <w:rPr>
          <w:rFonts w:cs="Times New Roman"/>
        </w:rPr>
        <w:t xml:space="preserve"> </w:t>
      </w:r>
      <w:r>
        <w:rPr>
          <w:rFonts w:cs="Times New Roman"/>
        </w:rPr>
        <w:t>Reactions were</w:t>
      </w:r>
      <w:r w:rsidRPr="00DC2307">
        <w:rPr>
          <w:rFonts w:cs="Times New Roman"/>
        </w:rPr>
        <w:t xml:space="preserve"> incubated at 37 °C for </w:t>
      </w:r>
      <w:r>
        <w:rPr>
          <w:rFonts w:cs="Times New Roman"/>
        </w:rPr>
        <w:t>2-16</w:t>
      </w:r>
      <w:r w:rsidRPr="00DC2307">
        <w:rPr>
          <w:rFonts w:cs="Times New Roman"/>
        </w:rPr>
        <w:t xml:space="preserve"> hours.</w:t>
      </w:r>
      <w:r>
        <w:rPr>
          <w:rFonts w:cs="Times New Roman"/>
        </w:rPr>
        <w:t xml:space="preserve"> RNA synthesised using MEGAscript SP6 polymerase was synthesised by using the same quantities of the MEGAscript SP6 kit (Ambion) and 50 mM NTPs from the kit.</w:t>
      </w:r>
    </w:p>
    <w:p w:rsidR="00CF0AF7" w:rsidRDefault="00CF0AF7" w:rsidP="00CF0AF7">
      <w:pPr>
        <w:spacing w:line="360" w:lineRule="auto"/>
        <w:ind w:firstLine="284"/>
      </w:pPr>
    </w:p>
    <w:p w:rsidR="00CF0AF7" w:rsidRDefault="00CF0AF7" w:rsidP="00CF0AF7">
      <w:pPr>
        <w:spacing w:line="360" w:lineRule="auto"/>
        <w:ind w:firstLine="284"/>
      </w:pPr>
      <w:r w:rsidRPr="00831EF0">
        <w:t xml:space="preserve">For synthesis of phosphorothioate (PS) dsRNA IVT reactions were performed as described however the NTPs were replaced with Sp α thiophosphate NTP analogues </w:t>
      </w:r>
      <w:r>
        <w:t xml:space="preserve">(Biolog) or an Rp/Sp mix of </w:t>
      </w:r>
      <w:r w:rsidRPr="00831EF0">
        <w:t>α thiophosphate NTP analogues</w:t>
      </w:r>
      <w:r>
        <w:t xml:space="preserve"> (TriLink).</w:t>
      </w:r>
      <w:r w:rsidRPr="00831EF0">
        <w:t xml:space="preserve"> 2 µl of unmodified 75 mM NTP was replaced by 5 µl of 10 mM</w:t>
      </w:r>
      <w:r>
        <w:t xml:space="preserve"> Sp </w:t>
      </w:r>
      <w:r w:rsidRPr="00831EF0">
        <w:t>α thiophosphate NTP</w:t>
      </w:r>
      <w:r>
        <w:t xml:space="preserve">, or 2 </w:t>
      </w:r>
      <w:r w:rsidRPr="00831EF0">
        <w:t>µl</w:t>
      </w:r>
      <w:r>
        <w:t xml:space="preserve"> 100 mM Rp/Sp </w:t>
      </w:r>
      <w:r w:rsidRPr="00831EF0">
        <w:t>α thiophosphate NTP</w:t>
      </w:r>
      <w:r>
        <w:t xml:space="preserve">. For comparisons of dsRNA yields between reactions with Sp </w:t>
      </w:r>
      <w:r w:rsidRPr="00831EF0">
        <w:t>α thiophosphate NTP</w:t>
      </w:r>
      <w:r>
        <w:t xml:space="preserve">s and reactions with Rp/Sp </w:t>
      </w:r>
      <w:r w:rsidRPr="00831EF0">
        <w:t>α thiophosphate NTP</w:t>
      </w:r>
      <w:r>
        <w:t>s, the amounts of NTPs used are given in the table below.</w:t>
      </w:r>
    </w:p>
    <w:p w:rsidR="00CF0AF7" w:rsidRDefault="00CF0AF7" w:rsidP="00CF0AF7">
      <w:pPr>
        <w:spacing w:line="360" w:lineRule="auto"/>
        <w:ind w:firstLine="284"/>
      </w:pPr>
    </w:p>
    <w:tbl>
      <w:tblPr>
        <w:tblStyle w:val="TableGrid"/>
        <w:tblW w:w="0" w:type="auto"/>
        <w:jc w:val="center"/>
        <w:tblLook w:val="04A0"/>
      </w:tblPr>
      <w:tblGrid>
        <w:gridCol w:w="3080"/>
        <w:gridCol w:w="3081"/>
        <w:gridCol w:w="3081"/>
      </w:tblGrid>
      <w:tr w:rsidR="00CF0AF7" w:rsidTr="00CF0AF7">
        <w:trPr>
          <w:jc w:val="center"/>
        </w:trPr>
        <w:tc>
          <w:tcPr>
            <w:tcW w:w="3080"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b/>
                <w:bCs/>
                <w:color w:val="000000"/>
                <w:kern w:val="24"/>
                <w:sz w:val="22"/>
                <w:szCs w:val="22"/>
              </w:rPr>
              <w:t xml:space="preserve">Unmodified NTPs </w:t>
            </w:r>
          </w:p>
        </w:tc>
        <w:tc>
          <w:tcPr>
            <w:tcW w:w="3081"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b/>
                <w:bCs/>
                <w:color w:val="000000"/>
                <w:kern w:val="24"/>
                <w:sz w:val="22"/>
                <w:szCs w:val="22"/>
              </w:rPr>
              <w:t xml:space="preserve">Rp/Sp </w:t>
            </w:r>
            <w:r>
              <w:rPr>
                <w:rFonts w:ascii="Calibri" w:hAnsi="Calibri" w:cs="Arial"/>
                <w:b/>
                <w:bCs/>
                <w:color w:val="000000"/>
                <w:kern w:val="24"/>
                <w:sz w:val="22"/>
                <w:szCs w:val="22"/>
              </w:rPr>
              <w:t>α-thio</w:t>
            </w:r>
            <w:r w:rsidRPr="006210D2">
              <w:rPr>
                <w:rFonts w:ascii="Calibri" w:hAnsi="Calibri" w:cs="Arial"/>
                <w:b/>
                <w:bCs/>
                <w:color w:val="000000"/>
                <w:kern w:val="24"/>
                <w:sz w:val="22"/>
                <w:szCs w:val="22"/>
              </w:rPr>
              <w:t xml:space="preserve"> NTPs </w:t>
            </w:r>
          </w:p>
        </w:tc>
        <w:tc>
          <w:tcPr>
            <w:tcW w:w="3081"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b/>
                <w:bCs/>
                <w:color w:val="000000"/>
                <w:kern w:val="24"/>
                <w:sz w:val="22"/>
                <w:szCs w:val="22"/>
              </w:rPr>
              <w:t xml:space="preserve">Sp </w:t>
            </w:r>
            <w:r>
              <w:rPr>
                <w:rFonts w:ascii="Calibri" w:hAnsi="Calibri" w:cs="Arial"/>
                <w:b/>
                <w:bCs/>
                <w:color w:val="000000"/>
                <w:kern w:val="24"/>
                <w:sz w:val="22"/>
                <w:szCs w:val="22"/>
              </w:rPr>
              <w:t>α-thio</w:t>
            </w:r>
            <w:r w:rsidRPr="006210D2">
              <w:rPr>
                <w:rFonts w:ascii="Calibri" w:hAnsi="Calibri" w:cs="Arial"/>
                <w:b/>
                <w:bCs/>
                <w:color w:val="000000"/>
                <w:kern w:val="24"/>
                <w:sz w:val="22"/>
                <w:szCs w:val="22"/>
              </w:rPr>
              <w:t xml:space="preserve"> NTPs </w:t>
            </w:r>
          </w:p>
        </w:tc>
      </w:tr>
      <w:tr w:rsidR="00CF0AF7" w:rsidTr="00CF0AF7">
        <w:trPr>
          <w:jc w:val="center"/>
        </w:trPr>
        <w:tc>
          <w:tcPr>
            <w:tcW w:w="3080"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 xml:space="preserve">75 mM stock </w:t>
            </w:r>
          </w:p>
        </w:tc>
        <w:tc>
          <w:tcPr>
            <w:tcW w:w="3081"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100 mM stock</w:t>
            </w:r>
          </w:p>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 xml:space="preserve">(50 mM Sp actually available to </w:t>
            </w:r>
            <w:r>
              <w:rPr>
                <w:rFonts w:ascii="Calibri" w:hAnsi="Calibri" w:cs="Arial"/>
                <w:color w:val="000000"/>
                <w:kern w:val="24"/>
                <w:sz w:val="22"/>
                <w:szCs w:val="22"/>
              </w:rPr>
              <w:t>T7 polymerase</w:t>
            </w:r>
            <w:r w:rsidRPr="006210D2">
              <w:rPr>
                <w:rFonts w:ascii="Calibri" w:hAnsi="Calibri" w:cs="Arial"/>
                <w:color w:val="000000"/>
                <w:kern w:val="24"/>
                <w:sz w:val="22"/>
                <w:szCs w:val="22"/>
              </w:rPr>
              <w:t xml:space="preserve">) </w:t>
            </w:r>
          </w:p>
        </w:tc>
        <w:tc>
          <w:tcPr>
            <w:tcW w:w="3081"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10 mM stock</w:t>
            </w:r>
          </w:p>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w:t>
            </w:r>
            <w:r>
              <w:rPr>
                <w:rFonts w:ascii="Calibri" w:hAnsi="Calibri" w:cs="Arial"/>
                <w:color w:val="000000"/>
                <w:kern w:val="24"/>
                <w:sz w:val="22"/>
                <w:szCs w:val="22"/>
              </w:rPr>
              <w:t>A</w:t>
            </w:r>
            <w:r w:rsidRPr="006210D2">
              <w:rPr>
                <w:rFonts w:ascii="Calibri" w:hAnsi="Calibri" w:cs="Arial"/>
                <w:color w:val="000000"/>
                <w:kern w:val="24"/>
                <w:sz w:val="22"/>
                <w:szCs w:val="22"/>
              </w:rPr>
              <w:t>ll available to T7</w:t>
            </w:r>
            <w:r>
              <w:rPr>
                <w:rFonts w:ascii="Calibri" w:hAnsi="Calibri" w:cs="Arial"/>
                <w:color w:val="000000"/>
                <w:kern w:val="24"/>
                <w:sz w:val="22"/>
                <w:szCs w:val="22"/>
              </w:rPr>
              <w:t xml:space="preserve"> polymerase</w:t>
            </w:r>
            <w:r w:rsidRPr="006210D2">
              <w:rPr>
                <w:rFonts w:ascii="Calibri" w:hAnsi="Calibri" w:cs="Arial"/>
                <w:color w:val="000000"/>
                <w:kern w:val="24"/>
                <w:sz w:val="22"/>
                <w:szCs w:val="22"/>
              </w:rPr>
              <w:t xml:space="preserve">) </w:t>
            </w:r>
          </w:p>
        </w:tc>
      </w:tr>
      <w:tr w:rsidR="00CF0AF7" w:rsidTr="00CF0AF7">
        <w:trPr>
          <w:jc w:val="center"/>
        </w:trPr>
        <w:tc>
          <w:tcPr>
            <w:tcW w:w="3080"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 xml:space="preserve">0.66 µl each </w:t>
            </w:r>
          </w:p>
        </w:tc>
        <w:tc>
          <w:tcPr>
            <w:tcW w:w="3081"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 xml:space="preserve">1 µl each </w:t>
            </w:r>
          </w:p>
        </w:tc>
        <w:tc>
          <w:tcPr>
            <w:tcW w:w="3081" w:type="dxa"/>
          </w:tcPr>
          <w:p w:rsidR="00CF0AF7" w:rsidRPr="006210D2" w:rsidRDefault="00CF0AF7" w:rsidP="00CF0AF7">
            <w:pPr>
              <w:pStyle w:val="NormalWeb"/>
              <w:spacing w:before="0" w:beforeAutospacing="0" w:after="0" w:afterAutospacing="0" w:line="276" w:lineRule="auto"/>
              <w:jc w:val="center"/>
              <w:rPr>
                <w:rFonts w:ascii="Arial" w:hAnsi="Arial" w:cs="Arial"/>
                <w:sz w:val="22"/>
                <w:szCs w:val="22"/>
              </w:rPr>
            </w:pPr>
            <w:r w:rsidRPr="006210D2">
              <w:rPr>
                <w:rFonts w:ascii="Calibri" w:hAnsi="Calibri" w:cs="Arial"/>
                <w:color w:val="000000"/>
                <w:kern w:val="24"/>
                <w:sz w:val="22"/>
                <w:szCs w:val="22"/>
              </w:rPr>
              <w:t xml:space="preserve">5 µl each </w:t>
            </w:r>
          </w:p>
        </w:tc>
      </w:tr>
      <w:tr w:rsidR="00CF0AF7" w:rsidTr="00CF0AF7">
        <w:trPr>
          <w:jc w:val="center"/>
        </w:trPr>
        <w:tc>
          <w:tcPr>
            <w:tcW w:w="3080" w:type="dxa"/>
          </w:tcPr>
          <w:p w:rsidR="00CF0AF7" w:rsidRPr="006210D2" w:rsidRDefault="00CF0AF7" w:rsidP="00CF0AF7">
            <w:pPr>
              <w:pStyle w:val="NormalWeb"/>
              <w:spacing w:before="0" w:beforeAutospacing="0" w:after="0" w:afterAutospacing="0" w:line="276" w:lineRule="auto"/>
              <w:jc w:val="center"/>
              <w:rPr>
                <w:rFonts w:ascii="Calibri" w:hAnsi="Calibri" w:cs="Arial"/>
                <w:color w:val="000000"/>
                <w:kern w:val="24"/>
                <w:sz w:val="22"/>
                <w:szCs w:val="22"/>
              </w:rPr>
            </w:pPr>
            <w:r>
              <w:rPr>
                <w:rFonts w:ascii="Calibri" w:hAnsi="Calibri" w:cs="Arial"/>
                <w:color w:val="000000"/>
                <w:kern w:val="24"/>
                <w:sz w:val="22"/>
                <w:szCs w:val="22"/>
              </w:rPr>
              <w:t>2.5 mM final concentration</w:t>
            </w:r>
          </w:p>
        </w:tc>
        <w:tc>
          <w:tcPr>
            <w:tcW w:w="3081" w:type="dxa"/>
          </w:tcPr>
          <w:p w:rsidR="00CF0AF7" w:rsidRPr="006210D2" w:rsidRDefault="00CF0AF7" w:rsidP="00CF0AF7">
            <w:pPr>
              <w:pStyle w:val="NormalWeb"/>
              <w:spacing w:before="0" w:beforeAutospacing="0" w:after="0" w:afterAutospacing="0" w:line="276" w:lineRule="auto"/>
              <w:jc w:val="center"/>
              <w:rPr>
                <w:rFonts w:ascii="Calibri" w:hAnsi="Calibri" w:cs="Arial"/>
                <w:color w:val="000000"/>
                <w:kern w:val="24"/>
                <w:sz w:val="22"/>
                <w:szCs w:val="22"/>
              </w:rPr>
            </w:pPr>
            <w:r>
              <w:rPr>
                <w:rFonts w:ascii="Calibri" w:hAnsi="Calibri" w:cs="Arial"/>
                <w:color w:val="000000"/>
                <w:kern w:val="24"/>
                <w:sz w:val="22"/>
                <w:szCs w:val="22"/>
              </w:rPr>
              <w:t>2.5 mM final concentration</w:t>
            </w:r>
          </w:p>
        </w:tc>
        <w:tc>
          <w:tcPr>
            <w:tcW w:w="3081" w:type="dxa"/>
          </w:tcPr>
          <w:p w:rsidR="00CF0AF7" w:rsidRPr="006210D2" w:rsidRDefault="00CF0AF7" w:rsidP="00CF0AF7">
            <w:pPr>
              <w:pStyle w:val="NormalWeb"/>
              <w:spacing w:before="0" w:beforeAutospacing="0" w:after="0" w:afterAutospacing="0" w:line="276" w:lineRule="auto"/>
              <w:jc w:val="center"/>
              <w:rPr>
                <w:rFonts w:ascii="Calibri" w:hAnsi="Calibri" w:cs="Arial"/>
                <w:color w:val="000000"/>
                <w:kern w:val="24"/>
                <w:sz w:val="22"/>
                <w:szCs w:val="22"/>
              </w:rPr>
            </w:pPr>
            <w:r>
              <w:rPr>
                <w:rFonts w:ascii="Calibri" w:hAnsi="Calibri" w:cs="Arial"/>
                <w:color w:val="000000"/>
                <w:kern w:val="24"/>
                <w:sz w:val="22"/>
                <w:szCs w:val="22"/>
              </w:rPr>
              <w:t>2.5 mM concentration</w:t>
            </w:r>
          </w:p>
        </w:tc>
      </w:tr>
    </w:tbl>
    <w:p w:rsidR="00CF0AF7" w:rsidRDefault="00CF0AF7" w:rsidP="00CF0AF7">
      <w:pPr>
        <w:spacing w:line="360" w:lineRule="auto"/>
        <w:ind w:firstLine="284"/>
      </w:pPr>
    </w:p>
    <w:p w:rsidR="00CF0AF7" w:rsidRPr="000A36AD" w:rsidRDefault="00CF0AF7" w:rsidP="00CF0AF7">
      <w:pPr>
        <w:spacing w:line="360" w:lineRule="auto"/>
        <w:ind w:firstLine="284"/>
      </w:pPr>
      <w:r w:rsidRPr="000A36AD">
        <w:t xml:space="preserve">For synthesis of </w:t>
      </w:r>
      <w:r>
        <w:t>5-h</w:t>
      </w:r>
      <w:r w:rsidRPr="000A36AD">
        <w:t>ydroxymethyl dsRNA IVT reactions were performed as described</w:t>
      </w:r>
      <w:r>
        <w:t>,</w:t>
      </w:r>
      <w:r w:rsidRPr="000A36AD">
        <w:t xml:space="preserve"> however 2 µl of the corresponding 75 mM NTP was replaced by 2 µl of</w:t>
      </w:r>
      <w:r>
        <w:t xml:space="preserve"> 100 mM 5-hydroxymethyl-5’-triphosphate (e.g. 5-hydroxymethyl-CTP) (TriLink).</w:t>
      </w:r>
    </w:p>
    <w:p w:rsidR="00CF0AF7" w:rsidRDefault="00CF0AF7" w:rsidP="00CF0AF7">
      <w:pPr>
        <w:spacing w:line="360" w:lineRule="auto"/>
        <w:ind w:firstLine="284"/>
      </w:pPr>
    </w:p>
    <w:p w:rsidR="00CF0AF7" w:rsidRDefault="00CF0AF7" w:rsidP="00CF0AF7">
      <w:pPr>
        <w:spacing w:line="360" w:lineRule="auto"/>
        <w:ind w:firstLine="284"/>
        <w:rPr>
          <w:rFonts w:cs="Times New Roman"/>
        </w:rPr>
      </w:pPr>
      <w:r>
        <w:t xml:space="preserve">2’-Fluoro ssRNA was produced by IVT using the Durascribe T7 IVT kit (Epicentre). 0.2-1 µg of purified PCR product DNA template (unless otherwise stated) was used per 20 µl reaction, along with </w:t>
      </w:r>
      <w:r>
        <w:rPr>
          <w:rFonts w:cs="Times New Roman"/>
        </w:rPr>
        <w:t>2.0 µl</w:t>
      </w:r>
      <w:r w:rsidRPr="00DC2307">
        <w:rPr>
          <w:rFonts w:cs="Times New Roman"/>
        </w:rPr>
        <w:t xml:space="preserve"> of each the</w:t>
      </w:r>
      <w:r>
        <w:rPr>
          <w:rFonts w:cs="Times New Roman"/>
        </w:rPr>
        <w:t xml:space="preserve"> 50 mM</w:t>
      </w:r>
      <w:r w:rsidRPr="00DC2307">
        <w:rPr>
          <w:rFonts w:cs="Times New Roman"/>
        </w:rPr>
        <w:t xml:space="preserve"> NTPs</w:t>
      </w:r>
      <w:r>
        <w:rPr>
          <w:rFonts w:cs="Times New Roman"/>
        </w:rPr>
        <w:t xml:space="preserve"> or 2’-fluoro-NTPs, 2 µl of 10X reaction buffer, 2 µl of </w:t>
      </w:r>
      <w:r w:rsidRPr="00166257">
        <w:rPr>
          <w:rFonts w:cs="Times New Roman"/>
        </w:rPr>
        <w:t>100 mM</w:t>
      </w:r>
      <w:r>
        <w:rPr>
          <w:rFonts w:cs="Times New Roman"/>
        </w:rPr>
        <w:t xml:space="preserve"> DTT </w:t>
      </w:r>
      <w:r w:rsidRPr="00DC2307">
        <w:rPr>
          <w:rFonts w:cs="Times New Roman"/>
        </w:rPr>
        <w:t>and 2</w:t>
      </w:r>
      <w:r>
        <w:rPr>
          <w:rFonts w:cs="Times New Roman"/>
        </w:rPr>
        <w:t xml:space="preserve"> µl</w:t>
      </w:r>
      <w:r w:rsidRPr="00DC2307">
        <w:rPr>
          <w:rFonts w:cs="Times New Roman"/>
        </w:rPr>
        <w:t xml:space="preserve"> </w:t>
      </w:r>
      <w:r>
        <w:t>Durascribe</w:t>
      </w:r>
      <w:r w:rsidRPr="00DC2307">
        <w:rPr>
          <w:rFonts w:cs="Times New Roman"/>
        </w:rPr>
        <w:t xml:space="preserve"> T7 polymerase </w:t>
      </w:r>
      <w:r>
        <w:rPr>
          <w:rFonts w:cs="Times New Roman"/>
        </w:rPr>
        <w:t>and reactions made up to</w:t>
      </w:r>
      <w:r w:rsidRPr="00DC2307">
        <w:rPr>
          <w:rFonts w:cs="Times New Roman"/>
        </w:rPr>
        <w:t xml:space="preserve"> 20</w:t>
      </w:r>
      <w:r>
        <w:rPr>
          <w:rFonts w:cs="Times New Roman"/>
        </w:rPr>
        <w:t xml:space="preserve"> µl</w:t>
      </w:r>
      <w:r w:rsidRPr="00DC2307">
        <w:rPr>
          <w:rFonts w:cs="Times New Roman"/>
        </w:rPr>
        <w:t xml:space="preserve"> </w:t>
      </w:r>
      <w:r>
        <w:rPr>
          <w:rFonts w:cs="Times New Roman"/>
        </w:rPr>
        <w:t>with nuclease</w:t>
      </w:r>
      <w:r w:rsidRPr="00DC2307">
        <w:rPr>
          <w:rFonts w:cs="Times New Roman"/>
        </w:rPr>
        <w:t>-free water</w:t>
      </w:r>
      <w:r>
        <w:rPr>
          <w:rFonts w:cs="Times New Roman"/>
        </w:rPr>
        <w:t>.</w:t>
      </w:r>
      <w:r w:rsidRPr="00DC2307">
        <w:rPr>
          <w:rFonts w:cs="Times New Roman"/>
        </w:rPr>
        <w:t xml:space="preserve"> </w:t>
      </w:r>
      <w:r>
        <w:rPr>
          <w:rFonts w:cs="Times New Roman"/>
        </w:rPr>
        <w:t>Reactions</w:t>
      </w:r>
      <w:r w:rsidRPr="00DC2307">
        <w:rPr>
          <w:rFonts w:cs="Times New Roman"/>
        </w:rPr>
        <w:t xml:space="preserve"> w</w:t>
      </w:r>
      <w:r>
        <w:rPr>
          <w:rFonts w:cs="Times New Roman"/>
        </w:rPr>
        <w:t>ere</w:t>
      </w:r>
      <w:r w:rsidRPr="00DC2307">
        <w:rPr>
          <w:rFonts w:cs="Times New Roman"/>
        </w:rPr>
        <w:t xml:space="preserve"> incubated at 37 °C for 4</w:t>
      </w:r>
      <w:r>
        <w:rPr>
          <w:rFonts w:cs="Times New Roman"/>
        </w:rPr>
        <w:t>-16</w:t>
      </w:r>
      <w:r w:rsidRPr="00DC2307">
        <w:rPr>
          <w:rFonts w:cs="Times New Roman"/>
        </w:rPr>
        <w:t xml:space="preserve"> hours.</w:t>
      </w:r>
    </w:p>
    <w:p w:rsidR="00CF0AF7" w:rsidRDefault="00CF0AF7" w:rsidP="00CF0AF7">
      <w:pPr>
        <w:spacing w:line="360" w:lineRule="auto"/>
        <w:ind w:firstLine="284"/>
        <w:rPr>
          <w:rFonts w:cs="Times New Roman"/>
        </w:rPr>
      </w:pPr>
    </w:p>
    <w:p w:rsidR="00CF0AF7" w:rsidRDefault="00CF0AF7" w:rsidP="00CF0AF7">
      <w:pPr>
        <w:spacing w:line="360" w:lineRule="auto"/>
        <w:ind w:firstLine="284"/>
      </w:pPr>
      <w:r>
        <w:rPr>
          <w:rFonts w:cs="Times New Roman"/>
        </w:rPr>
        <w:t xml:space="preserve">5-Hydroxymethyl deoxycytidine dsRNA was synthesised as described for 2’-fluoro ssRNA, replacing </w:t>
      </w:r>
      <w:r w:rsidRPr="000A36AD">
        <w:t>2 µl of</w:t>
      </w:r>
      <w:r>
        <w:t xml:space="preserve"> 50 mM NTPs with 1</w:t>
      </w:r>
      <w:r w:rsidRPr="000A36AD">
        <w:t xml:space="preserve"> µl of</w:t>
      </w:r>
      <w:r>
        <w:t xml:space="preserve"> 100 mM </w:t>
      </w:r>
      <w:r>
        <w:rPr>
          <w:rFonts w:cs="Times New Roman"/>
        </w:rPr>
        <w:t>5-Hydroxymethyl-dCTP.</w:t>
      </w:r>
      <w:r>
        <w:t xml:space="preserve"> </w:t>
      </w:r>
    </w:p>
    <w:p w:rsidR="00CF0AF7" w:rsidRDefault="00CF0AF7" w:rsidP="00CF0AF7">
      <w:pPr>
        <w:spacing w:line="360" w:lineRule="auto"/>
      </w:pPr>
    </w:p>
    <w:p w:rsidR="00CF0AF7" w:rsidRDefault="00CF0AF7" w:rsidP="00CF0AF7">
      <w:pPr>
        <w:pStyle w:val="Heading3"/>
        <w:spacing w:line="360" w:lineRule="auto"/>
      </w:pPr>
      <w:bookmarkStart w:id="38" w:name="_Toc35333936"/>
      <w:r>
        <w:t>Glucosylation of 5-hydroxymethyl deoxycytidine/cytidine dsDNA and dsRNA</w:t>
      </w:r>
      <w:bookmarkEnd w:id="38"/>
    </w:p>
    <w:p w:rsidR="00CF0AF7" w:rsidRDefault="00CF0AF7" w:rsidP="00CF0AF7">
      <w:pPr>
        <w:spacing w:line="360" w:lineRule="auto"/>
        <w:ind w:firstLine="284"/>
      </w:pPr>
      <w:r>
        <w:t xml:space="preserve">Glucosylation of 5-hydroxymethyl deoxycytidine dsDNA and attempted glucosylation reactions of dsRNA were carried out using T4 Phage β-glucosyltransferase (T4-BGT) (NEB). 10-200 ng of 5-hydroxymethyl deoxycytidine DNA was combined with 5 </w:t>
      </w:r>
      <w:r w:rsidRPr="00DA6721">
        <w:t>µl</w:t>
      </w:r>
      <w:r>
        <w:t xml:space="preserve"> of 10X reaction buffer</w:t>
      </w:r>
      <w:r w:rsidRPr="00F91A7C">
        <w:t>, 25 µl of 2 mM</w:t>
      </w:r>
      <w:r>
        <w:t xml:space="preserve"> UDP-Glucose (NEB), 1 </w:t>
      </w:r>
      <w:r w:rsidRPr="00DA6721">
        <w:t>µl</w:t>
      </w:r>
      <w:r>
        <w:t xml:space="preserve"> of T4-BGT (10 U) and reactions made up to 50 </w:t>
      </w:r>
      <w:r w:rsidRPr="00DA6721">
        <w:t>µl</w:t>
      </w:r>
      <w:r>
        <w:t xml:space="preserve"> with nuclease-free water.</w:t>
      </w:r>
      <w:r w:rsidRPr="002B7CEA">
        <w:rPr>
          <w:rFonts w:cs="Times New Roman"/>
        </w:rPr>
        <w:t xml:space="preserve"> </w:t>
      </w:r>
      <w:r>
        <w:rPr>
          <w:rFonts w:cs="Times New Roman"/>
        </w:rPr>
        <w:t>Reactions</w:t>
      </w:r>
      <w:r w:rsidRPr="00DC2307">
        <w:rPr>
          <w:rFonts w:cs="Times New Roman"/>
        </w:rPr>
        <w:t xml:space="preserve"> w</w:t>
      </w:r>
      <w:r>
        <w:rPr>
          <w:rFonts w:cs="Times New Roman"/>
        </w:rPr>
        <w:t>ere</w:t>
      </w:r>
      <w:r w:rsidRPr="00DC2307">
        <w:rPr>
          <w:rFonts w:cs="Times New Roman"/>
        </w:rPr>
        <w:t xml:space="preserve"> incubated at 37 °C </w:t>
      </w:r>
      <w:r w:rsidRPr="00F91A7C">
        <w:rPr>
          <w:rFonts w:cs="Times New Roman"/>
        </w:rPr>
        <w:t>for 1 hour.</w:t>
      </w:r>
    </w:p>
    <w:p w:rsidR="00CF0AF7" w:rsidRPr="00E8732E" w:rsidRDefault="00CF0AF7" w:rsidP="00CF0AF7">
      <w:pPr>
        <w:spacing w:line="360" w:lineRule="auto"/>
      </w:pPr>
    </w:p>
    <w:p w:rsidR="00CF0AF7" w:rsidRPr="00585927" w:rsidRDefault="00CF0AF7" w:rsidP="00CF0AF7">
      <w:pPr>
        <w:pStyle w:val="Heading3"/>
        <w:spacing w:line="360" w:lineRule="auto"/>
      </w:pPr>
      <w:bookmarkStart w:id="39" w:name="_Toc8914961"/>
      <w:bookmarkStart w:id="40" w:name="_Toc35333937"/>
      <w:r w:rsidRPr="00585927">
        <w:t>Gel analysis</w:t>
      </w:r>
      <w:bookmarkEnd w:id="39"/>
      <w:r>
        <w:t xml:space="preserve"> of PCR and IVT products</w:t>
      </w:r>
      <w:bookmarkEnd w:id="40"/>
    </w:p>
    <w:p w:rsidR="00CF0AF7" w:rsidRPr="00ED2E5F" w:rsidRDefault="00CF0AF7" w:rsidP="00CF0AF7">
      <w:pPr>
        <w:spacing w:line="360" w:lineRule="auto"/>
        <w:ind w:firstLine="284"/>
      </w:pPr>
      <w:r>
        <w:t xml:space="preserve">DNA and RNA were analysed on 1.2 % (w/v) agarose gel made from LE agarose powder </w:t>
      </w:r>
      <w:r w:rsidRPr="00364C84">
        <w:t>(Cleaver Scientific)</w:t>
      </w:r>
      <w:r>
        <w:t xml:space="preserve"> dissolved in 1 X TAE running buffer diluted in MilliQ water </w:t>
      </w:r>
      <w:r w:rsidRPr="003734F6">
        <w:t xml:space="preserve">from </w:t>
      </w:r>
      <w:r w:rsidRPr="00ED2E5F">
        <w:t>a 50 X stock (see below). Gels were run on an Embi Tec Run One Electrophoresis Cell containing 1X TAE at 100 V. 2-4 µl of</w:t>
      </w:r>
      <w:r>
        <w:t xml:space="preserve"> sample were added to 2 µl of gel loading buffer </w:t>
      </w:r>
      <w:r w:rsidRPr="003734F6">
        <w:t>(</w:t>
      </w:r>
      <w:r>
        <w:t>Ambion)</w:t>
      </w:r>
      <w:r>
        <w:rPr>
          <w:color w:val="FF0000"/>
        </w:rPr>
        <w:t xml:space="preserve"> </w:t>
      </w:r>
      <w:r>
        <w:t xml:space="preserve">and 4-6 µl of nuclease free water (Sigma Aldrich), alongside </w:t>
      </w:r>
      <w:r w:rsidRPr="003A7DE2">
        <w:t>a 100 bp ladder</w:t>
      </w:r>
      <w:r>
        <w:t xml:space="preserve"> (NEB or Thermo)</w:t>
      </w:r>
      <w:r w:rsidRPr="003A7DE2">
        <w:t xml:space="preserve">. </w:t>
      </w:r>
      <w:r>
        <w:t xml:space="preserve">Gels to confirm production of nucleic acid were stained by adding 0.5 µl Midori Green Direct (Nippon Genetics) to each sample lane. Quantitative gels were post-stained using ethidium bromide dissolved in 1X TAE. Midori stained gels were visualised using a </w:t>
      </w:r>
      <w:r w:rsidRPr="00F91A7C">
        <w:t>FAS-Digi visualise with</w:t>
      </w:r>
      <w:r w:rsidR="00ED2E5F">
        <w:t xml:space="preserve"> a Lumix </w:t>
      </w:r>
      <w:r w:rsidR="00ED2E5F" w:rsidRPr="00ED2E5F">
        <w:t>digital camera</w:t>
      </w:r>
      <w:r w:rsidRPr="00ED2E5F">
        <w:t>. Ethidium stained gels were visualised on a BioRAD Gel Doc EZ Imager with a UV transilluminator.</w:t>
      </w:r>
    </w:p>
    <w:p w:rsidR="00CF0AF7" w:rsidRDefault="00CF0AF7" w:rsidP="00CF0AF7">
      <w:pPr>
        <w:spacing w:line="360" w:lineRule="auto"/>
        <w:ind w:firstLine="284"/>
      </w:pPr>
    </w:p>
    <w:p w:rsidR="00CF0AF7" w:rsidRPr="00F91A7C" w:rsidRDefault="00CF0AF7" w:rsidP="00CF0AF7">
      <w:pPr>
        <w:spacing w:line="360" w:lineRule="auto"/>
      </w:pPr>
      <w:r w:rsidRPr="00F91A7C">
        <w:t>50X Tris-Acetate-EDTA (TAE) solution (1L): 242 g Tris base (Fisher Scientific), 57.1 ml glacial acetic acid (Fisher Scientific), 100 ml of 0.5 M EDTA (Fluka).</w:t>
      </w:r>
    </w:p>
    <w:p w:rsidR="00CF0AF7" w:rsidRDefault="00CF0AF7" w:rsidP="00CF0AF7">
      <w:pPr>
        <w:spacing w:line="360" w:lineRule="auto"/>
        <w:ind w:firstLine="284"/>
      </w:pPr>
    </w:p>
    <w:p w:rsidR="00ED2E5F" w:rsidRPr="001A4BAA" w:rsidRDefault="00ED2E5F" w:rsidP="00CF0AF7">
      <w:pPr>
        <w:spacing w:line="360" w:lineRule="auto"/>
        <w:ind w:firstLine="284"/>
      </w:pPr>
    </w:p>
    <w:p w:rsidR="00CF0AF7" w:rsidRDefault="00CF0AF7" w:rsidP="00CF0AF7">
      <w:pPr>
        <w:pStyle w:val="Heading3"/>
        <w:spacing w:line="360" w:lineRule="auto"/>
      </w:pPr>
      <w:bookmarkStart w:id="41" w:name="_Toc8914962"/>
      <w:bookmarkStart w:id="42" w:name="_Toc35333938"/>
      <w:r>
        <w:lastRenderedPageBreak/>
        <w:t>Purification of ss/dsRNA</w:t>
      </w:r>
      <w:bookmarkEnd w:id="41"/>
      <w:bookmarkEnd w:id="42"/>
    </w:p>
    <w:p w:rsidR="00CF0AF7" w:rsidRDefault="00CF0AF7" w:rsidP="00CF0AF7">
      <w:pPr>
        <w:spacing w:line="360" w:lineRule="auto"/>
        <w:ind w:firstLine="284"/>
      </w:pPr>
      <w:r>
        <w:t>Where RNase T1 was used, 1</w:t>
      </w:r>
      <w:r w:rsidRPr="00FF3AEF">
        <w:t xml:space="preserve"> µl</w:t>
      </w:r>
      <w:r>
        <w:t xml:space="preserve"> of 1 U/</w:t>
      </w:r>
      <w:r w:rsidRPr="00FF3AEF">
        <w:t>µl</w:t>
      </w:r>
      <w:r>
        <w:t xml:space="preserve"> RNase T1 (Thermo Fisher) was added. 1</w:t>
      </w:r>
      <w:r w:rsidRPr="00FF3AEF">
        <w:t xml:space="preserve"> µl</w:t>
      </w:r>
      <w:r>
        <w:t xml:space="preserve"> of TURBODNase was added (Ambion MEGAscript kit) per</w:t>
      </w:r>
      <w:r w:rsidRPr="00FF3AEF">
        <w:t xml:space="preserve"> 20 µl </w:t>
      </w:r>
      <w:r>
        <w:t xml:space="preserve">of completed ss/dsRNA </w:t>
      </w:r>
      <w:r w:rsidRPr="00FF3AEF">
        <w:t>IVT reaction mixture</w:t>
      </w:r>
      <w:r>
        <w:t xml:space="preserve">, and reactions incubated at </w:t>
      </w:r>
      <w:r w:rsidRPr="00FF3AEF">
        <w:t xml:space="preserve">37 </w:t>
      </w:r>
      <w:r w:rsidRPr="00FF3AEF">
        <w:rPr>
          <w:rFonts w:ascii="Times New Roman" w:hAnsi="Times New Roman" w:cs="Times New Roman"/>
        </w:rPr>
        <w:t>°</w:t>
      </w:r>
      <w:r w:rsidRPr="00FF3AEF">
        <w:t xml:space="preserve">C </w:t>
      </w:r>
      <w:r>
        <w:t xml:space="preserve">for 20 mins to remove DNA template. </w:t>
      </w:r>
      <w:r w:rsidRPr="00FF3AEF">
        <w:t>The digested mixture was then purified by solid phase extraction</w:t>
      </w:r>
      <w:r>
        <w:t xml:space="preserve"> (SPE)</w:t>
      </w:r>
      <w:r w:rsidRPr="00FF3AEF">
        <w:t xml:space="preserve"> with silica columns, using components from a Qiagen QIAquick PCR Purification Kit. The </w:t>
      </w:r>
      <w:r>
        <w:t>reaction was</w:t>
      </w:r>
      <w:r w:rsidRPr="00FF3AEF">
        <w:t xml:space="preserve"> mixed with</w:t>
      </w:r>
      <w:r>
        <w:t xml:space="preserve"> 500 µl buffer PB,</w:t>
      </w:r>
      <w:r w:rsidRPr="00FF3AEF">
        <w:t xml:space="preserve"> 50 µl isopropanol (Sigma)</w:t>
      </w:r>
      <w:r>
        <w:t xml:space="preserve"> and </w:t>
      </w:r>
      <w:r w:rsidRPr="00FF3AEF">
        <w:t>50 µl</w:t>
      </w:r>
      <w:r>
        <w:t xml:space="preserve"> 5 M NaCl (Sigma)</w:t>
      </w:r>
      <w:r w:rsidRPr="00FF3AEF">
        <w:t xml:space="preserve">, then applied to </w:t>
      </w:r>
      <w:r>
        <w:t>a silica column</w:t>
      </w:r>
      <w:r w:rsidRPr="00FF3AEF">
        <w:t xml:space="preserve"> (Qiagen </w:t>
      </w:r>
      <w:r>
        <w:t>or</w:t>
      </w:r>
      <w:r w:rsidRPr="00FF3AEF">
        <w:t xml:space="preserve"> Epoch Life Sciences) and centrifuged at 13,000 rpm for a minute (note, all further centrifuge steps were done for the same duration at the same speed). The </w:t>
      </w:r>
      <w:r>
        <w:t>flow-through</w:t>
      </w:r>
      <w:r w:rsidRPr="00FF3AEF">
        <w:t xml:space="preserve"> was discarded and </w:t>
      </w:r>
      <w:r>
        <w:t>the column washed with 750 µl of buffer PE,</w:t>
      </w:r>
      <w:r w:rsidRPr="00FF3AEF">
        <w:t xml:space="preserve"> then centrifuged</w:t>
      </w:r>
      <w:r>
        <w:t xml:space="preserve"> a second time to dry</w:t>
      </w:r>
      <w:r w:rsidRPr="00FF3AEF">
        <w:t xml:space="preserve">. Finally, the column was transferred to a fresh microcentrifuge tube, </w:t>
      </w:r>
      <w:r>
        <w:t>and RNA eluted with between 50 and 200</w:t>
      </w:r>
      <w:r w:rsidRPr="00FF3AEF">
        <w:t xml:space="preserve"> µl of </w:t>
      </w:r>
      <w:r>
        <w:t>nuclease-free</w:t>
      </w:r>
      <w:r w:rsidRPr="00FF3AEF">
        <w:t xml:space="preserve"> water</w:t>
      </w:r>
      <w:r>
        <w:t>. Quantification was performed using a Nanodrop 2000 UV visible spectrophotometer (Thermo Fisher Scientific). E</w:t>
      </w:r>
      <w:r w:rsidRPr="001A4BAA">
        <w:t>xtinction coefficient</w:t>
      </w:r>
      <w:r>
        <w:t>s used for different nucleic acids are given in the table below.</w:t>
      </w:r>
      <w:r w:rsidRPr="001A4BAA">
        <w:t xml:space="preserve"> </w:t>
      </w:r>
    </w:p>
    <w:p w:rsidR="00CF0AF7" w:rsidRDefault="00CF0AF7" w:rsidP="00CF0AF7">
      <w:pPr>
        <w:spacing w:line="360" w:lineRule="auto"/>
        <w:ind w:firstLine="284"/>
      </w:pPr>
    </w:p>
    <w:tbl>
      <w:tblPr>
        <w:tblStyle w:val="TableGrid"/>
        <w:tblW w:w="0" w:type="auto"/>
        <w:jc w:val="center"/>
        <w:tblLook w:val="04A0"/>
      </w:tblPr>
      <w:tblGrid>
        <w:gridCol w:w="1809"/>
        <w:gridCol w:w="2127"/>
        <w:gridCol w:w="2268"/>
      </w:tblGrid>
      <w:tr w:rsidR="00CF0AF7" w:rsidRPr="00DC2307" w:rsidTr="00CF0AF7">
        <w:trPr>
          <w:jc w:val="center"/>
        </w:trPr>
        <w:tc>
          <w:tcPr>
            <w:tcW w:w="1809" w:type="dxa"/>
          </w:tcPr>
          <w:p w:rsidR="00CF0AF7" w:rsidRPr="00DC2307" w:rsidRDefault="00CF0AF7" w:rsidP="00CF0AF7">
            <w:pPr>
              <w:spacing w:line="276" w:lineRule="auto"/>
              <w:jc w:val="center"/>
            </w:pPr>
            <w:r w:rsidRPr="00DC2307">
              <w:t>Nucleic Acid Type</w:t>
            </w:r>
          </w:p>
        </w:tc>
        <w:tc>
          <w:tcPr>
            <w:tcW w:w="2127" w:type="dxa"/>
          </w:tcPr>
          <w:p w:rsidR="00CF0AF7" w:rsidRPr="00DC2307" w:rsidRDefault="00CF0AF7" w:rsidP="00CF0AF7">
            <w:pPr>
              <w:spacing w:line="276" w:lineRule="auto"/>
              <w:jc w:val="center"/>
            </w:pPr>
            <w:r w:rsidRPr="00DC2307">
              <w:t>Extinction Coefficient (</w:t>
            </w:r>
            <w:r w:rsidRPr="00DC2307">
              <w:rPr>
                <w:rFonts w:cs="Times New Roman"/>
              </w:rPr>
              <w:t>µ</w:t>
            </w:r>
            <w:r w:rsidRPr="00DC2307">
              <w:t>g/m</w:t>
            </w:r>
            <w:r>
              <w:t>l</w:t>
            </w:r>
            <w:r w:rsidRPr="00DC2307">
              <w:t>)</w:t>
            </w:r>
            <w:r w:rsidRPr="00DC2307">
              <w:rPr>
                <w:vertAlign w:val="superscript"/>
              </w:rPr>
              <w:t>-1</w:t>
            </w:r>
            <w:r w:rsidRPr="00DC2307">
              <w:t xml:space="preserve"> cm</w:t>
            </w:r>
            <w:r w:rsidRPr="00DC2307">
              <w:rPr>
                <w:vertAlign w:val="superscript"/>
              </w:rPr>
              <w:t>-1</w:t>
            </w:r>
          </w:p>
        </w:tc>
        <w:tc>
          <w:tcPr>
            <w:tcW w:w="2268" w:type="dxa"/>
          </w:tcPr>
          <w:p w:rsidR="00CF0AF7" w:rsidRPr="00DC2307" w:rsidRDefault="00CF0AF7" w:rsidP="00CF0AF7">
            <w:pPr>
              <w:spacing w:line="276" w:lineRule="auto"/>
              <w:jc w:val="center"/>
            </w:pPr>
            <w:r w:rsidRPr="00DC2307">
              <w:t>Concentration (</w:t>
            </w:r>
            <w:r w:rsidRPr="00DC2307">
              <w:rPr>
                <w:rFonts w:cs="Times New Roman"/>
              </w:rPr>
              <w:t>µ</w:t>
            </w:r>
            <w:r w:rsidRPr="00DC2307">
              <w:t>g/ml)</w:t>
            </w:r>
          </w:p>
          <w:p w:rsidR="00CF0AF7" w:rsidRPr="00DC2307" w:rsidRDefault="00CF0AF7" w:rsidP="00CF0AF7">
            <w:pPr>
              <w:spacing w:line="276" w:lineRule="auto"/>
              <w:jc w:val="center"/>
            </w:pPr>
            <w:r w:rsidRPr="00DC2307">
              <w:t>If A</w:t>
            </w:r>
            <w:r w:rsidRPr="00DC2307">
              <w:rPr>
                <w:vertAlign w:val="subscript"/>
              </w:rPr>
              <w:t>260</w:t>
            </w:r>
            <w:r w:rsidRPr="00DC2307">
              <w:t xml:space="preserve"> value = 1</w:t>
            </w:r>
          </w:p>
        </w:tc>
      </w:tr>
      <w:tr w:rsidR="00CF0AF7" w:rsidRPr="00DC2307" w:rsidTr="00CF0AF7">
        <w:trPr>
          <w:jc w:val="center"/>
        </w:trPr>
        <w:tc>
          <w:tcPr>
            <w:tcW w:w="1809" w:type="dxa"/>
          </w:tcPr>
          <w:p w:rsidR="00CF0AF7" w:rsidRPr="00DC2307" w:rsidRDefault="00CF0AF7" w:rsidP="00CF0AF7">
            <w:pPr>
              <w:spacing w:line="276" w:lineRule="auto"/>
              <w:jc w:val="center"/>
            </w:pPr>
            <w:r w:rsidRPr="00DC2307">
              <w:t>dsDNA</w:t>
            </w:r>
          </w:p>
        </w:tc>
        <w:tc>
          <w:tcPr>
            <w:tcW w:w="2127" w:type="dxa"/>
          </w:tcPr>
          <w:p w:rsidR="00CF0AF7" w:rsidRPr="00DC2307" w:rsidRDefault="00CF0AF7" w:rsidP="00CF0AF7">
            <w:pPr>
              <w:spacing w:line="276" w:lineRule="auto"/>
              <w:jc w:val="center"/>
            </w:pPr>
            <w:r w:rsidRPr="00DC2307">
              <w:t>0.020</w:t>
            </w:r>
          </w:p>
        </w:tc>
        <w:tc>
          <w:tcPr>
            <w:tcW w:w="2268" w:type="dxa"/>
          </w:tcPr>
          <w:p w:rsidR="00CF0AF7" w:rsidRPr="00DC2307" w:rsidRDefault="00CF0AF7" w:rsidP="00CF0AF7">
            <w:pPr>
              <w:spacing w:line="276" w:lineRule="auto"/>
              <w:jc w:val="center"/>
            </w:pPr>
            <w:r w:rsidRPr="00DC2307">
              <w:t>50</w:t>
            </w:r>
          </w:p>
        </w:tc>
      </w:tr>
      <w:tr w:rsidR="00CF0AF7" w:rsidRPr="00DC2307" w:rsidTr="00CF0AF7">
        <w:trPr>
          <w:jc w:val="center"/>
        </w:trPr>
        <w:tc>
          <w:tcPr>
            <w:tcW w:w="1809" w:type="dxa"/>
          </w:tcPr>
          <w:p w:rsidR="00CF0AF7" w:rsidRPr="00DC2307" w:rsidRDefault="00CF0AF7" w:rsidP="00CF0AF7">
            <w:pPr>
              <w:spacing w:line="276" w:lineRule="auto"/>
              <w:jc w:val="center"/>
            </w:pPr>
            <w:r w:rsidRPr="00DC2307">
              <w:t>ssRNA</w:t>
            </w:r>
          </w:p>
        </w:tc>
        <w:tc>
          <w:tcPr>
            <w:tcW w:w="2127" w:type="dxa"/>
          </w:tcPr>
          <w:p w:rsidR="00CF0AF7" w:rsidRPr="00DC2307" w:rsidRDefault="00CF0AF7" w:rsidP="00CF0AF7">
            <w:pPr>
              <w:spacing w:line="276" w:lineRule="auto"/>
              <w:jc w:val="center"/>
            </w:pPr>
            <w:r w:rsidRPr="00DC2307">
              <w:t>0.025</w:t>
            </w:r>
          </w:p>
        </w:tc>
        <w:tc>
          <w:tcPr>
            <w:tcW w:w="2268" w:type="dxa"/>
          </w:tcPr>
          <w:p w:rsidR="00CF0AF7" w:rsidRPr="00DC2307" w:rsidRDefault="00CF0AF7" w:rsidP="00CF0AF7">
            <w:pPr>
              <w:spacing w:line="276" w:lineRule="auto"/>
              <w:jc w:val="center"/>
            </w:pPr>
            <w:r w:rsidRPr="00DC2307">
              <w:t>40</w:t>
            </w:r>
          </w:p>
        </w:tc>
      </w:tr>
      <w:tr w:rsidR="00CF0AF7" w:rsidRPr="00DC2307" w:rsidTr="00CF0AF7">
        <w:trPr>
          <w:jc w:val="center"/>
        </w:trPr>
        <w:tc>
          <w:tcPr>
            <w:tcW w:w="1809" w:type="dxa"/>
          </w:tcPr>
          <w:p w:rsidR="00CF0AF7" w:rsidRPr="00DC2307" w:rsidRDefault="00CF0AF7" w:rsidP="00CF0AF7">
            <w:pPr>
              <w:spacing w:line="276" w:lineRule="auto"/>
              <w:jc w:val="center"/>
            </w:pPr>
            <w:r>
              <w:t>dsRNA</w:t>
            </w:r>
          </w:p>
        </w:tc>
        <w:tc>
          <w:tcPr>
            <w:tcW w:w="2127" w:type="dxa"/>
          </w:tcPr>
          <w:p w:rsidR="00CF0AF7" w:rsidRPr="00DC2307" w:rsidRDefault="00CF0AF7" w:rsidP="00CF0AF7">
            <w:pPr>
              <w:spacing w:line="276" w:lineRule="auto"/>
              <w:jc w:val="center"/>
            </w:pPr>
            <w:r>
              <w:t>0.021</w:t>
            </w:r>
          </w:p>
        </w:tc>
        <w:tc>
          <w:tcPr>
            <w:tcW w:w="2268" w:type="dxa"/>
          </w:tcPr>
          <w:p w:rsidR="00CF0AF7" w:rsidRPr="00DC2307" w:rsidRDefault="00CF0AF7" w:rsidP="00CF0AF7">
            <w:pPr>
              <w:spacing w:line="276" w:lineRule="auto"/>
              <w:jc w:val="center"/>
            </w:pPr>
            <w:r>
              <w:t xml:space="preserve">  </w:t>
            </w:r>
            <w:r w:rsidRPr="001A4BAA">
              <w:t>46.52</w:t>
            </w:r>
            <w:r>
              <w:t>*</w:t>
            </w:r>
          </w:p>
        </w:tc>
      </w:tr>
    </w:tbl>
    <w:p w:rsidR="00CF0AF7" w:rsidRDefault="00CF0AF7" w:rsidP="00CF0AF7">
      <w:pPr>
        <w:spacing w:line="360" w:lineRule="auto"/>
        <w:ind w:firstLine="284"/>
      </w:pPr>
    </w:p>
    <w:p w:rsidR="00CF0AF7" w:rsidRDefault="00CF0AF7" w:rsidP="00CF0AF7">
      <w:pPr>
        <w:spacing w:line="360" w:lineRule="auto"/>
      </w:pPr>
      <w:r>
        <w:t xml:space="preserve">*Determined in </w:t>
      </w:r>
      <w:r w:rsidR="005C0E76">
        <w:fldChar w:fldCharType="begin" w:fldLock="1"/>
      </w:r>
      <w:r w:rsidR="00C57A7E">
        <w:instrText>ADDIN CSL_CITATION {"citationItems":[{"id":"ITEM-1","itemData":{"DOI":"10.1021/acs.analchem.7b04000","ISSN":"15206882","abstract":"UV absorbance spectrophotometry is widely used for the quantification of nucleic acids. For accurate quantification, it is important to determine the hypochromicity of the oligonucleotide or complex nucleic acid structure. The use of thermal denaturation studies in conjunction with UV spectrophotometry to determine hypochromicity requires prolonged, elevated temperatures, which may cause partial hydrolysis of RNA. In addition, dsRNA is difficult to denature even at elevated temperature, and the extinction coefficients of nucleic acids are also affected by temperature, which makes it difficult to accurately determine the nucleic acid concentration. To overcome these caveats, we have utilized the chemical denaturant dimethyl sulfoxide which, in conjunction with a short thermal denaturation, prevents renaturation of the duplex nucleic acids (dsDNA/RNA). Using this approach, we have measured the absorbance of both the unstructured and structured nucleic acids to accurately measure their hypochromicity and det...","author":[{"dropping-particle":"","family":"Nwokeoji","given":"Alison O.","non-dropping-particle":"","parse-names":false,"suffix":""},{"dropping-particle":"","family":"Kilby","given":"Peter M.","non-dropping-particle":"","parse-names":false,"suffix":""},{"dropping-particle":"","family":"Portwood","given":"David E.","non-dropping-particle":"","parse-names":false,"suffix":""},{"dropping-particle":"","family":"Dickman","given":"Mark J.","non-dropping-particle":"","parse-names":false,"suffix":""}],"container-title":"Analytical Chemistry","id":"ITEM-1","issue":"24","issued":{"date-parts":[["2017"]]},"page":"13567-13574","title":"Accurate Quantification of Nucleic Acids Using Hypochromicity Measurements in Conjunction with UV Spectrophotometry","type":"article-journal","volume":"89"},"uris":["http://www.mendeley.com/documents/?uuid=558c7403-30b3-46ee-ad4a-7fa6bd695e95"]}],"mendeley":{"formattedCitation":"(Nwokeoji, Kilby, &lt;i&gt;et al.&lt;/i&gt;, 2017)","plainTextFormattedCitation":"(Nwokeoji, Kilby, et al., 2017)","previouslyFormattedCitation":"(Nwokeoji &lt;i&gt;et al.&lt;/i&gt;, 2017)"},"properties":{"noteIndex":0},"schema":"https://github.com/citation-style-language/schema/raw/master/csl-citation.json"}</w:instrText>
      </w:r>
      <w:r w:rsidR="005C0E76">
        <w:fldChar w:fldCharType="separate"/>
      </w:r>
      <w:r w:rsidR="00C57A7E" w:rsidRPr="00C57A7E">
        <w:rPr>
          <w:noProof/>
        </w:rPr>
        <w:t xml:space="preserve">(Nwokeoji, Kilby, </w:t>
      </w:r>
      <w:r w:rsidR="00C57A7E" w:rsidRPr="00C57A7E">
        <w:rPr>
          <w:i/>
          <w:noProof/>
        </w:rPr>
        <w:t>et al.</w:t>
      </w:r>
      <w:r w:rsidR="00C57A7E" w:rsidRPr="00C57A7E">
        <w:rPr>
          <w:noProof/>
        </w:rPr>
        <w:t>, 2017)</w:t>
      </w:r>
      <w:r w:rsidR="005C0E76">
        <w:fldChar w:fldCharType="end"/>
      </w:r>
      <w:r>
        <w:t>.</w:t>
      </w:r>
    </w:p>
    <w:p w:rsidR="00CF0AF7" w:rsidRPr="00585927" w:rsidRDefault="00CF0AF7" w:rsidP="00CF0AF7">
      <w:pPr>
        <w:pStyle w:val="Heading3"/>
        <w:spacing w:line="360" w:lineRule="auto"/>
      </w:pPr>
      <w:bookmarkStart w:id="43" w:name="_Toc8914963"/>
      <w:bookmarkStart w:id="44" w:name="_Toc35333939"/>
      <w:r w:rsidRPr="00585927">
        <w:t>Annealing</w:t>
      </w:r>
      <w:r>
        <w:t xml:space="preserve"> of ssRNAs to dsRNA</w:t>
      </w:r>
      <w:bookmarkEnd w:id="43"/>
      <w:bookmarkEnd w:id="44"/>
    </w:p>
    <w:p w:rsidR="00CF0AF7" w:rsidRDefault="00CF0AF7" w:rsidP="00CF0AF7">
      <w:pPr>
        <w:spacing w:line="360" w:lineRule="auto"/>
        <w:ind w:firstLine="426"/>
      </w:pPr>
      <w:r>
        <w:t xml:space="preserve">In cases where dsRNA was produced by annealing separately transcribed ssRNAs, equal quantities of ssRNAs (1-300 µg) purified by SPE were combined, along with 10X PBS and nuclease-free water to give a 1X PBS dsRNA solution. The mixture was heated to 85 </w:t>
      </w:r>
      <w:r>
        <w:rPr>
          <w:rFonts w:ascii="Times New Roman" w:hAnsi="Times New Roman" w:cs="Times New Roman"/>
        </w:rPr>
        <w:t>°</w:t>
      </w:r>
      <w:r>
        <w:t xml:space="preserve">C for 2-4 mins and then allowed to cool to room temperature naturally. </w:t>
      </w:r>
    </w:p>
    <w:p w:rsidR="00CF0AF7" w:rsidRDefault="00CF0AF7" w:rsidP="00CF0AF7">
      <w:pPr>
        <w:spacing w:line="360" w:lineRule="auto"/>
        <w:ind w:firstLine="426"/>
      </w:pPr>
    </w:p>
    <w:p w:rsidR="00CF0AF7" w:rsidRPr="007A0708" w:rsidRDefault="00CF0AF7" w:rsidP="00CF0AF7">
      <w:pPr>
        <w:pStyle w:val="Heading3"/>
        <w:spacing w:line="360" w:lineRule="auto"/>
      </w:pPr>
      <w:bookmarkStart w:id="45" w:name="_Toc8914964"/>
      <w:bookmarkStart w:id="46" w:name="_Toc35333940"/>
      <w:r>
        <w:t>Ion pair reverse phase high performance liquid chromatography (</w:t>
      </w:r>
      <w:r w:rsidRPr="007A0708">
        <w:t>IP</w:t>
      </w:r>
      <w:r>
        <w:t xml:space="preserve"> </w:t>
      </w:r>
      <w:r w:rsidRPr="007A0708">
        <w:t>RP HPLC</w:t>
      </w:r>
      <w:r>
        <w:t>) analysis of RNA</w:t>
      </w:r>
      <w:bookmarkEnd w:id="45"/>
      <w:bookmarkEnd w:id="46"/>
    </w:p>
    <w:p w:rsidR="00CF0AF7" w:rsidRDefault="00ED2E5F" w:rsidP="00CF0AF7">
      <w:pPr>
        <w:spacing w:line="360" w:lineRule="auto"/>
        <w:ind w:firstLine="284"/>
      </w:pPr>
      <w:r>
        <w:t xml:space="preserve">Samples were analysed by IP </w:t>
      </w:r>
      <w:r w:rsidR="00CF0AF7">
        <w:t>RP</w:t>
      </w:r>
      <w:r>
        <w:t xml:space="preserve"> </w:t>
      </w:r>
      <w:r w:rsidR="00CF0AF7">
        <w:t xml:space="preserve">HPLC on a passivated Agilent 1100 series HPLC using a Proswift RP-1S Monolith column (50 mm x 4.6 mm I.D. ThermoFisher). Chromatograms were generated using UV detection at a wavelength of 260 nm. The chromatographic analysis was performed using the following conditions: </w:t>
      </w:r>
    </w:p>
    <w:p w:rsidR="00CF0AF7" w:rsidRDefault="00CF0AF7" w:rsidP="00CF0AF7">
      <w:pPr>
        <w:spacing w:line="360" w:lineRule="auto"/>
        <w:ind w:firstLine="284"/>
      </w:pPr>
    </w:p>
    <w:p w:rsidR="00CF0AF7" w:rsidRDefault="00CF0AF7" w:rsidP="00CF0AF7">
      <w:pPr>
        <w:spacing w:line="360" w:lineRule="auto"/>
      </w:pPr>
      <w:r>
        <w:lastRenderedPageBreak/>
        <w:t>Buffer A: 0.1 M t</w:t>
      </w:r>
      <w:r w:rsidRPr="00475AE3">
        <w:t>riethylammonium acetate</w:t>
      </w:r>
      <w:r>
        <w:t xml:space="preserve"> (TEAA) pH 7.0 (Fluka), 0.1 % acetonitrile (ACN) (ThermoFisher)</w:t>
      </w:r>
    </w:p>
    <w:p w:rsidR="00CF0AF7" w:rsidRDefault="00CF0AF7" w:rsidP="00CF0AF7">
      <w:pPr>
        <w:spacing w:line="360" w:lineRule="auto"/>
      </w:pPr>
      <w:r>
        <w:t>Buffer B: 0.1 M TEAA p</w:t>
      </w:r>
      <w:r w:rsidR="00ED2E5F">
        <w:t>H</w:t>
      </w:r>
      <w:r>
        <w:t xml:space="preserve"> 7.0, 25 % ACN</w:t>
      </w:r>
    </w:p>
    <w:p w:rsidR="00CF0AF7" w:rsidRDefault="00CF0AF7" w:rsidP="00CF0AF7">
      <w:pPr>
        <w:spacing w:line="360" w:lineRule="auto"/>
        <w:ind w:firstLine="284"/>
      </w:pPr>
    </w:p>
    <w:p w:rsidR="00CF0AF7" w:rsidRDefault="00CF0AF7" w:rsidP="00CF0AF7">
      <w:pPr>
        <w:spacing w:line="360" w:lineRule="auto"/>
        <w:ind w:firstLine="284"/>
        <w:rPr>
          <w:color w:val="FF0000"/>
        </w:rPr>
      </w:pPr>
      <w:r>
        <w:t xml:space="preserve">RNA/DNA was analysed using the following gradient (gradient 1). Gradient starting at 20% buffer B to 30% in </w:t>
      </w:r>
      <w:r w:rsidRPr="007E5DCE">
        <w:t>1 minute</w:t>
      </w:r>
      <w:r>
        <w:t xml:space="preserve">, followed by a linear extension to 70% buffer B </w:t>
      </w:r>
      <w:r w:rsidRPr="007E5DCE">
        <w:t>over 11.5 minutes</w:t>
      </w:r>
      <w:r>
        <w:t xml:space="preserve">, then extended to 100% buffer B </w:t>
      </w:r>
      <w:r w:rsidRPr="00625D95">
        <w:t>over 1 minute, held at 100% buffer B</w:t>
      </w:r>
      <w:r>
        <w:t xml:space="preserve"> for 2 minutes, reduced to 20% in 0.1 minutes and held at 20% for 4.5 minutes at a flow rate of 0.75 ml/min at 50 or 75 °C, with temperature controlled by an external column oven (Transgenomic). Quantification of RNA was done using an UltiMate 3000 HPLC (Thermo Fisher) using </w:t>
      </w:r>
      <w:r w:rsidRPr="00625D95">
        <w:t>a 20 µl</w:t>
      </w:r>
      <w:r>
        <w:t xml:space="preserve"> loop. </w:t>
      </w:r>
    </w:p>
    <w:p w:rsidR="00CF0AF7" w:rsidRDefault="00CF0AF7" w:rsidP="00CF0AF7">
      <w:pPr>
        <w:spacing w:line="360" w:lineRule="auto"/>
      </w:pPr>
    </w:p>
    <w:p w:rsidR="00CF0AF7" w:rsidRDefault="00CF0AF7" w:rsidP="00CF0AF7">
      <w:pPr>
        <w:pStyle w:val="Heading2"/>
        <w:spacing w:line="360" w:lineRule="auto"/>
      </w:pPr>
      <w:bookmarkStart w:id="47" w:name="_Toc8914965"/>
      <w:bookmarkStart w:id="48" w:name="_Toc35333941"/>
      <w:r>
        <w:t>Interaction of dsRNA with processing and degrading insect nucleases</w:t>
      </w:r>
      <w:bookmarkEnd w:id="47"/>
      <w:bookmarkEnd w:id="48"/>
    </w:p>
    <w:p w:rsidR="00CF0AF7" w:rsidRDefault="00CF0AF7" w:rsidP="00CF0AF7">
      <w:pPr>
        <w:pStyle w:val="Heading3"/>
        <w:spacing w:line="360" w:lineRule="auto"/>
      </w:pPr>
      <w:bookmarkStart w:id="49" w:name="_Toc8914966"/>
      <w:bookmarkStart w:id="50" w:name="_Toc35333942"/>
      <w:r>
        <w:t>Stink bug salival nuclease degradation assay</w:t>
      </w:r>
      <w:bookmarkEnd w:id="49"/>
      <w:bookmarkEnd w:id="50"/>
    </w:p>
    <w:p w:rsidR="00CF0AF7" w:rsidRDefault="00CF0AF7" w:rsidP="00CF0AF7">
      <w:pPr>
        <w:spacing w:line="360" w:lineRule="auto"/>
        <w:ind w:firstLine="284"/>
      </w:pPr>
      <w:r>
        <w:t xml:space="preserve">To collect saliva, feeding sachets were produced by vacuum pumping parafilm over a 96 well plate. The resulting indentations over each well were loaded </w:t>
      </w:r>
      <w:r w:rsidRPr="003A7DE2">
        <w:t>with 25</w:t>
      </w:r>
      <w:r>
        <w:t xml:space="preserve"> µ</w:t>
      </w:r>
      <w:r w:rsidRPr="003A7DE2">
        <w:t>l</w:t>
      </w:r>
      <w:r>
        <w:t xml:space="preserve"> Sf-900 insect cell culture media (Gibco). Plates were sealed and placed over 96 well mesh bottom plates containing one N2 southern green stink bug (SGSB, </w:t>
      </w:r>
      <w:r w:rsidRPr="00E57135">
        <w:rPr>
          <w:i/>
        </w:rPr>
        <w:t>Nezara viridula</w:t>
      </w:r>
      <w:r>
        <w:t>) nymph per well. After three days the remaining saliva-containing Sf9 media was extracted by syringe. The collected media was pooled and stored at -20°C until required.</w:t>
      </w:r>
    </w:p>
    <w:p w:rsidR="00CF0AF7" w:rsidRDefault="00CF0AF7" w:rsidP="00CF0AF7">
      <w:pPr>
        <w:spacing w:line="360" w:lineRule="auto"/>
        <w:ind w:firstLine="284"/>
      </w:pPr>
      <w:r>
        <w:t xml:space="preserve">Pure saliva-containing Sf9 media was successively diluted 1:3 in MilliQ water across rows of a 96 well plate, down to 1:729, plus a water only control row for each dsRNA tested. Two replicates were set up for each dsRNA, with one whole set of replicates in each of two separate plates. </w:t>
      </w:r>
      <w:r w:rsidRPr="00D56DA8">
        <w:t>20 µl of 130 ng/µl (2.6 µg) of aqueous dsRNA solution</w:t>
      </w:r>
      <w:r>
        <w:t xml:space="preserve"> per dsRNA was</w:t>
      </w:r>
      <w:r w:rsidRPr="00D56DA8">
        <w:t xml:space="preserve"> loaded into the wells and the plates sealed. </w:t>
      </w:r>
      <w:r>
        <w:t>P</w:t>
      </w:r>
      <w:r w:rsidRPr="00D56DA8">
        <w:t>lates</w:t>
      </w:r>
      <w:r>
        <w:t xml:space="preserve"> were incubated at room temperature on a shaker plate. 20 µl samples were collected for each combination of dsRNA and saliva-media dilution at 2, 4 and 6 hours and after overnight incubation (approximately 16 hours). Collected samples were dispensed into fresh 96 well PCR plates containing gel loading dye, and stored at -20 °C until thawed for gel electrophoresis analysis. Samples were analysed on 1% (w/v) agarose gels stained with GelRed (Biotium) and visualised on </w:t>
      </w:r>
      <w:r w:rsidRPr="003734F6">
        <w:t xml:space="preserve">a </w:t>
      </w:r>
      <w:r w:rsidRPr="001A4BAA">
        <w:t>BioRAD Gel Doc EZ Imager with a UV transilluminator</w:t>
      </w:r>
      <w:r>
        <w:t>. Results were given as ‘relative dsRNA stability index’.</w:t>
      </w:r>
    </w:p>
    <w:p w:rsidR="00CF0AF7" w:rsidRDefault="00CF0AF7" w:rsidP="00CF0AF7">
      <w:pPr>
        <w:spacing w:line="360" w:lineRule="auto"/>
        <w:ind w:firstLine="284"/>
      </w:pPr>
    </w:p>
    <w:p w:rsidR="00CF0AF7" w:rsidRPr="009718F2" w:rsidRDefault="00CF0AF7" w:rsidP="00CF0AF7">
      <w:pPr>
        <w:ind w:firstLine="284"/>
      </w:pPr>
      <m:oMathPara>
        <m:oMath>
          <m:r>
            <m:rPr>
              <m:sty m:val="p"/>
            </m:rPr>
            <w:rPr>
              <w:rFonts w:ascii="Cambria Math" w:hAnsi="Cambria Math"/>
            </w:rPr>
            <m:t xml:space="preserve">Relative dsRNA stability index= </m:t>
          </m:r>
          <m:f>
            <m:fPr>
              <m:ctrlPr>
                <w:rPr>
                  <w:rFonts w:ascii="Cambria Math" w:hAnsi="Cambria Math"/>
                </w:rPr>
              </m:ctrlPr>
            </m:fPr>
            <m:num>
              <m:r>
                <m:rPr>
                  <m:sty m:val="p"/>
                </m:rPr>
                <w:rPr>
                  <w:rFonts w:ascii="Cambria Math" w:hAnsi="Cambria Math"/>
                </w:rPr>
                <m:t>Band intensity of dsRNA incubated with saliva media</m:t>
              </m:r>
            </m:num>
            <m:den>
              <m:r>
                <m:rPr>
                  <m:sty m:val="p"/>
                </m:rPr>
                <w:rPr>
                  <w:rFonts w:ascii="Cambria Math" w:hAnsi="Cambria Math"/>
                </w:rPr>
                <m:t>Band intensity of dsRNA incubated with water</m:t>
              </m:r>
            </m:den>
          </m:f>
        </m:oMath>
      </m:oMathPara>
    </w:p>
    <w:p w:rsidR="00CF0AF7" w:rsidRDefault="00CF0AF7" w:rsidP="00CF0AF7">
      <w:pPr>
        <w:ind w:firstLine="284"/>
      </w:pPr>
      <m:oMathPara>
        <m:oMathParaPr>
          <m:jc m:val="left"/>
        </m:oMathParaPr>
        <m:oMath>
          <m:r>
            <m:rPr>
              <m:sty m:val="p"/>
            </m:rPr>
            <w:rPr>
              <w:rFonts w:ascii="Cambria Math" w:hAnsi="Cambria Math"/>
            </w:rPr>
            <m:t xml:space="preserve">E.g.  Relative dsRNA stability index= </m:t>
          </m:r>
          <m:f>
            <m:fPr>
              <m:ctrlPr>
                <w:rPr>
                  <w:rFonts w:ascii="Cambria Math" w:hAnsi="Cambria Math"/>
                </w:rPr>
              </m:ctrlPr>
            </m:fPr>
            <m:num>
              <m:r>
                <m:rPr>
                  <m:sty m:val="p"/>
                </m:rPr>
                <w:rPr>
                  <w:rFonts w:ascii="Cambria Math" w:hAnsi="Cambria Math"/>
                </w:rPr>
                <m:t>9,500</m:t>
              </m:r>
            </m:num>
            <m:den>
              <m:r>
                <m:rPr>
                  <m:sty m:val="p"/>
                </m:rPr>
                <w:rPr>
                  <w:rFonts w:ascii="Cambria Math" w:hAnsi="Cambria Math"/>
                </w:rPr>
                <m:t>10,000</m:t>
              </m:r>
            </m:den>
          </m:f>
          <m:r>
            <m:rPr>
              <m:sty m:val="p"/>
            </m:rPr>
            <w:rPr>
              <w:rFonts w:ascii="Cambria Math" w:hAnsi="Cambria Math"/>
            </w:rPr>
            <m:t>=0.95</m:t>
          </m:r>
        </m:oMath>
      </m:oMathPara>
    </w:p>
    <w:p w:rsidR="00CF0AF7" w:rsidRDefault="00CF0AF7" w:rsidP="00CF0AF7">
      <w:pPr>
        <w:ind w:firstLine="284"/>
      </w:pPr>
    </w:p>
    <w:p w:rsidR="00CF0AF7" w:rsidRDefault="00CF0AF7" w:rsidP="00CF0AF7">
      <w:pPr>
        <w:pStyle w:val="Heading3"/>
        <w:spacing w:line="360" w:lineRule="auto"/>
      </w:pPr>
      <w:bookmarkStart w:id="51" w:name="_Toc8914972"/>
      <w:bookmarkStart w:id="52" w:name="_Toc35333943"/>
      <w:r>
        <w:lastRenderedPageBreak/>
        <w:t>Gel band quantification analysis</w:t>
      </w:r>
      <w:bookmarkEnd w:id="51"/>
      <w:bookmarkEnd w:id="52"/>
    </w:p>
    <w:p w:rsidR="00CF0AF7" w:rsidRDefault="00CF0AF7" w:rsidP="00CF0AF7">
      <w:pPr>
        <w:spacing w:line="360" w:lineRule="auto"/>
        <w:ind w:firstLine="426"/>
      </w:pPr>
      <w:r>
        <w:t xml:space="preserve">Quantification of gel bands was perfomed with Fiji (ImageJ) image analysis software using the in-built gel band quantification tool. </w:t>
      </w:r>
    </w:p>
    <w:p w:rsidR="00CF0AF7" w:rsidRPr="004C1DB9" w:rsidRDefault="00CF0AF7" w:rsidP="00CF0AF7">
      <w:pPr>
        <w:pStyle w:val="Heading3"/>
        <w:spacing w:line="360" w:lineRule="auto"/>
      </w:pPr>
      <w:bookmarkStart w:id="53" w:name="_Toc8914971"/>
      <w:bookmarkStart w:id="54" w:name="_Toc35333944"/>
      <w:r>
        <w:t>Dicer processing assay</w:t>
      </w:r>
      <w:bookmarkEnd w:id="53"/>
      <w:r>
        <w:t>s</w:t>
      </w:r>
      <w:bookmarkEnd w:id="54"/>
    </w:p>
    <w:p w:rsidR="00CF0AF7" w:rsidRPr="00121410" w:rsidRDefault="00CF0AF7" w:rsidP="00CF0AF7">
      <w:pPr>
        <w:pStyle w:val="Heading4"/>
        <w:spacing w:before="200" w:line="360" w:lineRule="auto"/>
        <w:ind w:left="864" w:hanging="864"/>
      </w:pPr>
      <w:bookmarkStart w:id="55" w:name="_Toc35333945"/>
      <w:r w:rsidRPr="00121410">
        <w:t>RNase</w:t>
      </w:r>
      <w:r>
        <w:t xml:space="preserve"> </w:t>
      </w:r>
      <w:r w:rsidRPr="00121410">
        <w:t>III assay</w:t>
      </w:r>
      <w:bookmarkEnd w:id="55"/>
    </w:p>
    <w:p w:rsidR="00CF0AF7" w:rsidRDefault="00CF0AF7" w:rsidP="00CF0AF7">
      <w:pPr>
        <w:spacing w:line="360" w:lineRule="auto"/>
        <w:ind w:firstLine="284"/>
      </w:pPr>
      <w:r>
        <w:t>1 U (0.5 µl) (unless otherwise stated) RNaseIII (NEB Short Cut RNase III), was combined with 1 µl of  10X reaction buffer, 1 µl of 10X MnCl</w:t>
      </w:r>
      <w:r w:rsidRPr="002B5FEC">
        <w:rPr>
          <w:vertAlign w:val="subscript"/>
        </w:rPr>
        <w:t>2</w:t>
      </w:r>
      <w:r>
        <w:t xml:space="preserve">, 1 µg of dsRNA and reactions made up to 10 µl with nuclease free water. Reactions were incubated at 37 °C for 20 mins (unless otherwise stated). </w:t>
      </w:r>
    </w:p>
    <w:p w:rsidR="00CF0AF7" w:rsidRPr="00121410" w:rsidRDefault="00CF0AF7" w:rsidP="00CF0AF7">
      <w:pPr>
        <w:pStyle w:val="Heading4"/>
        <w:spacing w:before="200" w:line="360" w:lineRule="auto"/>
        <w:ind w:left="864" w:hanging="864"/>
      </w:pPr>
      <w:bookmarkStart w:id="56" w:name="_Toc35333946"/>
      <w:r w:rsidRPr="00121410">
        <w:rPr>
          <w:i/>
        </w:rPr>
        <w:t>Giardia</w:t>
      </w:r>
      <w:r w:rsidRPr="00121410">
        <w:t xml:space="preserve"> Dicer assay</w:t>
      </w:r>
      <w:bookmarkEnd w:id="56"/>
    </w:p>
    <w:p w:rsidR="00CF0AF7" w:rsidRDefault="00CF0AF7" w:rsidP="00CF0AF7">
      <w:pPr>
        <w:spacing w:line="360" w:lineRule="auto"/>
        <w:ind w:firstLine="284"/>
      </w:pPr>
      <w:r>
        <w:t xml:space="preserve">1 U (1 µl) </w:t>
      </w:r>
      <w:r w:rsidRPr="003674FA">
        <w:rPr>
          <w:i/>
        </w:rPr>
        <w:t>Giardia intestinallis</w:t>
      </w:r>
      <w:r>
        <w:t xml:space="preserve"> PowerCut Dicer (ThermoFisher), was combined with 1 µl 5X reaction buffer, 1 µg of dsRNA and reactions made up to 5 µl with nuclease free water. Reactions were incubated at 37 °C for 16 hours (unless otherwise stated).</w:t>
      </w:r>
    </w:p>
    <w:p w:rsidR="00CF0AF7" w:rsidRDefault="00CF0AF7" w:rsidP="00CF0AF7">
      <w:pPr>
        <w:pStyle w:val="Heading2"/>
        <w:spacing w:line="360" w:lineRule="auto"/>
      </w:pPr>
      <w:bookmarkStart w:id="57" w:name="_Toc8914973"/>
      <w:bookmarkStart w:id="58" w:name="_Toc35333947"/>
      <w:r w:rsidRPr="00D66ED4">
        <w:rPr>
          <w:i/>
        </w:rPr>
        <w:t>In vitro</w:t>
      </w:r>
      <w:r>
        <w:t xml:space="preserve"> analysis of RNAi using modified dsRNA in insect cells</w:t>
      </w:r>
      <w:bookmarkEnd w:id="57"/>
      <w:bookmarkEnd w:id="58"/>
    </w:p>
    <w:p w:rsidR="00CF0AF7" w:rsidRPr="00960C14" w:rsidRDefault="00CF0AF7" w:rsidP="00CF0AF7">
      <w:pPr>
        <w:pStyle w:val="Heading3"/>
        <w:spacing w:line="360" w:lineRule="auto"/>
      </w:pPr>
      <w:bookmarkStart w:id="59" w:name="_Toc8914974"/>
      <w:bookmarkStart w:id="60" w:name="_Toc35333948"/>
      <w:r w:rsidRPr="00960C14">
        <w:t>General cell culture</w:t>
      </w:r>
      <w:bookmarkEnd w:id="60"/>
      <w:r w:rsidRPr="00960C14">
        <w:t xml:space="preserve"> </w:t>
      </w:r>
      <w:bookmarkEnd w:id="59"/>
    </w:p>
    <w:p w:rsidR="00CF0AF7" w:rsidRDefault="00CF0AF7" w:rsidP="00CF0AF7">
      <w:pPr>
        <w:spacing w:line="360" w:lineRule="auto"/>
        <w:ind w:firstLine="284"/>
      </w:pPr>
      <w:r w:rsidRPr="007C0CAC">
        <w:rPr>
          <w:i/>
        </w:rPr>
        <w:t>Drosophila</w:t>
      </w:r>
      <w:r>
        <w:t xml:space="preserve"> </w:t>
      </w:r>
      <w:r w:rsidRPr="00DA6721">
        <w:t xml:space="preserve">S2R+ cells were cultured in Schneider’s </w:t>
      </w:r>
      <w:r w:rsidRPr="007C0CAC">
        <w:rPr>
          <w:i/>
        </w:rPr>
        <w:t>Drosophila</w:t>
      </w:r>
      <w:r w:rsidRPr="00DA6721">
        <w:t xml:space="preserve"> Medium (1X) (Gibco) substituted with 10% FBS (Sigma) and 1% Pen-Strep (Lonza). </w:t>
      </w:r>
      <w:r w:rsidRPr="007C0CAC">
        <w:rPr>
          <w:i/>
        </w:rPr>
        <w:t>Drosophila</w:t>
      </w:r>
      <w:r w:rsidRPr="00DA6721">
        <w:t xml:space="preserve"> Kc167 cells were cultured in </w:t>
      </w:r>
      <w:r>
        <w:t>Hyclone CCM3</w:t>
      </w:r>
      <w:r w:rsidRPr="00DA6721">
        <w:t xml:space="preserve"> Insect Media (</w:t>
      </w:r>
      <w:r>
        <w:t>GE Life Sciences) containing</w:t>
      </w:r>
      <w:r w:rsidRPr="00DA6721">
        <w:t xml:space="preserve"> </w:t>
      </w:r>
      <w:r>
        <w:t>1% Pen-Strep (Lonza).</w:t>
      </w:r>
      <w:r w:rsidRPr="00DA6721">
        <w:t xml:space="preserve"> </w:t>
      </w:r>
      <w:r>
        <w:t xml:space="preserve">Kc167 cells were thawed in media further supplemented with </w:t>
      </w:r>
      <w:r w:rsidRPr="00F20FE3">
        <w:rPr>
          <w:color w:val="FF0000"/>
        </w:rPr>
        <w:t xml:space="preserve"> </w:t>
      </w:r>
      <w:r w:rsidRPr="00E571C5">
        <w:t>10% FBS (Sigma Life Sciences),</w:t>
      </w:r>
      <w:r>
        <w:t xml:space="preserve"> then once established, serum-free CCM3 media with Pen-Strep was used for subsequent amplification of the culture, and in assays. </w:t>
      </w:r>
      <w:r w:rsidRPr="00DA6721">
        <w:t>Cells were cultured in T75 flasks</w:t>
      </w:r>
      <w:r>
        <w:t xml:space="preserve"> </w:t>
      </w:r>
      <w:r w:rsidRPr="00884DAF">
        <w:t>(Thermo Scientific)</w:t>
      </w:r>
      <w:r w:rsidRPr="007C0CAC">
        <w:rPr>
          <w:color w:val="FF0000"/>
        </w:rPr>
        <w:t xml:space="preserve"> </w:t>
      </w:r>
      <w:r w:rsidRPr="00844019">
        <w:t>and were</w:t>
      </w:r>
      <w:r>
        <w:t xml:space="preserve"> passaged as required based on confluency.</w:t>
      </w:r>
    </w:p>
    <w:p w:rsidR="00CF0AF7" w:rsidRPr="00960C14" w:rsidRDefault="00CF0AF7" w:rsidP="00CF0AF7">
      <w:pPr>
        <w:spacing w:line="360" w:lineRule="auto"/>
        <w:rPr>
          <w:b/>
        </w:rPr>
      </w:pPr>
    </w:p>
    <w:p w:rsidR="00CF0AF7" w:rsidRPr="00960C14" w:rsidRDefault="00CF0AF7" w:rsidP="00CF0AF7">
      <w:pPr>
        <w:pStyle w:val="Heading3"/>
        <w:spacing w:line="360" w:lineRule="auto"/>
      </w:pPr>
      <w:bookmarkStart w:id="61" w:name="_Toc8914975"/>
      <w:bookmarkStart w:id="62" w:name="_Toc35333949"/>
      <w:r w:rsidRPr="00960C14">
        <w:t>Reporter plasmid prep</w:t>
      </w:r>
      <w:r>
        <w:t>aration</w:t>
      </w:r>
      <w:bookmarkEnd w:id="61"/>
      <w:bookmarkEnd w:id="62"/>
    </w:p>
    <w:p w:rsidR="00CF0AF7" w:rsidRDefault="00CF0AF7" w:rsidP="00CF0AF7">
      <w:pPr>
        <w:spacing w:line="360" w:lineRule="auto"/>
        <w:ind w:firstLine="284"/>
      </w:pPr>
      <w:r>
        <w:t xml:space="preserve">Plasmids stocks were prepared from existing stocks in Invitrogen Subcloning Efficiency DH5α </w:t>
      </w:r>
      <w:r w:rsidRPr="00DA6721">
        <w:t xml:space="preserve">competent </w:t>
      </w:r>
      <w:r w:rsidRPr="00DA6721">
        <w:rPr>
          <w:i/>
        </w:rPr>
        <w:t>E. coli</w:t>
      </w:r>
      <w:r w:rsidRPr="00DA6721">
        <w:t xml:space="preserve"> grown on selective LB agar (MP Biomedicals LLC) plates with 100 µg/µL ampicillin (Alfa Aesar</w:t>
      </w:r>
      <w:r>
        <w:t xml:space="preserve">). 10-50 ng of DNA was mixed with 100 µl of DH5α cell stock, and incubated on ice for 30 mins, followed by heat shock at 42 </w:t>
      </w:r>
      <w:r>
        <w:rPr>
          <w:rFonts w:ascii="Times New Roman" w:hAnsi="Times New Roman" w:cs="Times New Roman"/>
        </w:rPr>
        <w:t>°</w:t>
      </w:r>
      <w:r>
        <w:t xml:space="preserve">C for 20 seconds, and a final incubation on ice for 2 minutes. 900 µl of pre-warmed LB media (Sigma Life Sciences) was added to the reaction mixture, and incubated at 37 </w:t>
      </w:r>
      <w:r>
        <w:rPr>
          <w:rFonts w:ascii="Times New Roman" w:hAnsi="Times New Roman" w:cs="Times New Roman"/>
        </w:rPr>
        <w:t>°</w:t>
      </w:r>
      <w:r>
        <w:t xml:space="preserve">C for 1 hour on a shaker plate. 200 µl of transformed </w:t>
      </w:r>
      <w:r w:rsidRPr="003F0963">
        <w:rPr>
          <w:i/>
        </w:rPr>
        <w:t>E. coli</w:t>
      </w:r>
      <w:r>
        <w:t xml:space="preserve"> solution was spread on a selective agar plate and incubated overnight at 37 </w:t>
      </w:r>
      <w:r>
        <w:rPr>
          <w:rFonts w:ascii="Times New Roman" w:hAnsi="Times New Roman" w:cs="Times New Roman"/>
        </w:rPr>
        <w:t>°</w:t>
      </w:r>
      <w:r>
        <w:t xml:space="preserve">C. Single colonies were selected for a second round of selection on plates at the same conditions. Single colonies were used to inoculate 200 ml of LB </w:t>
      </w:r>
      <w:r>
        <w:lastRenderedPageBreak/>
        <w:t xml:space="preserve">media with 1 mg/ml ampicillin and incubated overnight at 37 </w:t>
      </w:r>
      <w:r>
        <w:rPr>
          <w:rFonts w:ascii="Times New Roman" w:hAnsi="Times New Roman" w:cs="Times New Roman"/>
        </w:rPr>
        <w:t>°</w:t>
      </w:r>
      <w:r>
        <w:t xml:space="preserve">C on a shaker plate. Cultures were subsequently spun down at 3,000 rpm for 5 minutes, the supernatants decanted and the pellets frozen at -20 </w:t>
      </w:r>
      <w:r>
        <w:rPr>
          <w:rFonts w:ascii="Times New Roman" w:hAnsi="Times New Roman" w:cs="Times New Roman"/>
        </w:rPr>
        <w:t>°</w:t>
      </w:r>
      <w:r>
        <w:t>C.</w:t>
      </w:r>
    </w:p>
    <w:p w:rsidR="00CF0AF7" w:rsidRDefault="00CF0AF7" w:rsidP="00CF0AF7">
      <w:pPr>
        <w:spacing w:line="360" w:lineRule="auto"/>
        <w:ind w:firstLine="284"/>
      </w:pPr>
      <w:r>
        <w:t xml:space="preserve">The plasmids were extracted from the frozen pellets using a Qiagen Plasmid Midi Prep Kit, following the kit protocol, with the variation of all centrifuge steps being conducted at 7,000 rpm for 15 minutes. The plasmids were ultimately re-suspended in 300 µl of nuclease free water (Sigma Aldrich) and frozen at -20 </w:t>
      </w:r>
      <w:r>
        <w:rPr>
          <w:rFonts w:ascii="Times New Roman" w:hAnsi="Times New Roman" w:cs="Times New Roman"/>
        </w:rPr>
        <w:t>°</w:t>
      </w:r>
      <w:r>
        <w:t>C until use.</w:t>
      </w:r>
    </w:p>
    <w:p w:rsidR="00CF0AF7" w:rsidRPr="00960C14" w:rsidRDefault="00CF0AF7" w:rsidP="00CF0AF7">
      <w:pPr>
        <w:pStyle w:val="Heading3"/>
        <w:spacing w:line="360" w:lineRule="auto"/>
      </w:pPr>
      <w:bookmarkStart w:id="63" w:name="_Toc8914976"/>
      <w:bookmarkStart w:id="64" w:name="_Toc35333950"/>
      <w:r w:rsidRPr="00960C14">
        <w:t>Luciferase assays</w:t>
      </w:r>
      <w:bookmarkEnd w:id="64"/>
      <w:r w:rsidRPr="00960C14">
        <w:t xml:space="preserve"> </w:t>
      </w:r>
      <w:bookmarkEnd w:id="63"/>
    </w:p>
    <w:p w:rsidR="00CF0AF7" w:rsidRPr="00625D95" w:rsidRDefault="00CF0AF7" w:rsidP="00CF0AF7">
      <w:pPr>
        <w:spacing w:after="200" w:line="360" w:lineRule="auto"/>
        <w:jc w:val="left"/>
        <w:rPr>
          <w:b/>
          <w:u w:val="single"/>
        </w:rPr>
      </w:pPr>
      <w:r w:rsidRPr="00625D95">
        <w:rPr>
          <w:b/>
          <w:u w:val="single"/>
        </w:rPr>
        <w:t>O</w:t>
      </w:r>
      <w:r>
        <w:rPr>
          <w:b/>
          <w:u w:val="single"/>
        </w:rPr>
        <w:t>riginal Version</w:t>
      </w:r>
    </w:p>
    <w:p w:rsidR="00CF0AF7" w:rsidRDefault="00CF0AF7" w:rsidP="00CF0AF7">
      <w:pPr>
        <w:spacing w:line="360" w:lineRule="auto"/>
        <w:ind w:firstLine="284"/>
      </w:pPr>
      <w:r w:rsidRPr="00123C9B">
        <w:rPr>
          <w:i/>
        </w:rPr>
        <w:t>Drosophila</w:t>
      </w:r>
      <w:r>
        <w:t xml:space="preserve"> Kc167 cells from a stock were seeded at around 60-70 % confluence in a T75 flask the day prior to transfection. A Qiagen Effectene Transfection Reagent kit was used as per the kit protocol, scaled to treat a T75 flask as equivalent to a 75 mm dish, with each well receiving: 225 µl of buffer from the kit, 12 µl of enhancer, 45</w:t>
      </w:r>
      <w:r w:rsidRPr="004271BC">
        <w:t xml:space="preserve"> </w:t>
      </w:r>
      <w:r>
        <w:t xml:space="preserve">µl of Effectene and a total of 1.5 µg of plasmid DNA. The 1.5 µg of plasmid DNA consisted of 375 ng of the Renilla luciferase plasmid, 750 ng of the 6x2xDraf plasmid, 225 ng of the Upd plasmid, and 150 ng pAc5.1. </w:t>
      </w:r>
    </w:p>
    <w:p w:rsidR="00CF0AF7" w:rsidRDefault="00CF0AF7" w:rsidP="00CF0AF7">
      <w:pPr>
        <w:spacing w:line="360" w:lineRule="auto"/>
        <w:ind w:firstLine="284"/>
      </w:pPr>
      <w:r>
        <w:t xml:space="preserve">The buffer, enhancer and pDNA were combined, vortexed and incubated at room temperature for 5 minutes. Effectene was added, and the mixture vortexed and incubated at room temperature for 8 minutes, then topped up to a total volume of 1.5 ml with fresh cell culture media. The media in the T75 flask was replaced with 7 ml of fresh media and the 1.5 ml of reaction solution, swirled gently to ensure mixing and then incubated at 25 </w:t>
      </w:r>
      <w:r>
        <w:rPr>
          <w:rFonts w:ascii="Times New Roman" w:hAnsi="Times New Roman" w:cs="Times New Roman"/>
        </w:rPr>
        <w:t>°</w:t>
      </w:r>
      <w:r>
        <w:t>C overnight.</w:t>
      </w:r>
    </w:p>
    <w:p w:rsidR="00CF0AF7" w:rsidRDefault="00CF0AF7" w:rsidP="00CF0AF7">
      <w:pPr>
        <w:spacing w:line="360" w:lineRule="auto"/>
        <w:ind w:firstLine="284"/>
      </w:pPr>
      <w:r>
        <w:t xml:space="preserve">dsRNA probes were dispensed into an empty 96 well plate, which was then transformed into </w:t>
      </w:r>
      <w:r w:rsidRPr="007110B8">
        <w:t>two</w:t>
      </w:r>
      <w:r>
        <w:t xml:space="preserve"> 384 well plate replicates using a </w:t>
      </w:r>
      <w:r w:rsidRPr="007110B8">
        <w:t>Hamilton pipetting robot</w:t>
      </w:r>
      <w:r>
        <w:t xml:space="preserve">, with each 96 well plate well being </w:t>
      </w:r>
      <w:r w:rsidRPr="007110B8">
        <w:t>copied four-fold in each plate, with identical wells ar</w:t>
      </w:r>
      <w:r>
        <w:t>ranged in square groups of four, to give</w:t>
      </w:r>
      <w:r w:rsidRPr="007110B8">
        <w:t xml:space="preserve"> 8 technical</w:t>
      </w:r>
      <w:r>
        <w:t xml:space="preserve"> replicates for each concentration of each dsRNA. Each well contained the appropriate treatment of dsRNA diluted in 5 </w:t>
      </w:r>
      <w:r w:rsidRPr="007110B8">
        <w:t>µl</w:t>
      </w:r>
      <w:r>
        <w:t xml:space="preserve"> of nuclease-free water. </w:t>
      </w:r>
    </w:p>
    <w:p w:rsidR="00CF0AF7" w:rsidRDefault="00CF0AF7" w:rsidP="00CF0AF7">
      <w:pPr>
        <w:spacing w:line="360" w:lineRule="auto"/>
        <w:ind w:firstLine="284"/>
      </w:pPr>
      <w:r>
        <w:t>The day after transfection, the total quantity of cells required for a final seeding density of around 15,000 cells per well of a 384-well plate</w:t>
      </w:r>
      <w:r w:rsidRPr="007110B8">
        <w:t xml:space="preserve"> plus 30 % excess was removed and mixed with </w:t>
      </w:r>
      <w:r>
        <w:t>the appropriate volume of</w:t>
      </w:r>
      <w:r w:rsidRPr="007110B8">
        <w:t xml:space="preserve"> fresh serum-</w:t>
      </w:r>
      <w:r>
        <w:t xml:space="preserve">free M3 media (Caisson). 15 µl of cell suspension was seeded per well and plates incubated at 25 </w:t>
      </w:r>
      <w:r>
        <w:rPr>
          <w:rFonts w:ascii="Times New Roman" w:hAnsi="Times New Roman" w:cs="Times New Roman"/>
        </w:rPr>
        <w:t>°</w:t>
      </w:r>
      <w:r>
        <w:t xml:space="preserve">C for 1 hour. An additional 15 µl of full serum-containing media was added per well, and the plates were sealed and incubated at 25 </w:t>
      </w:r>
      <w:r>
        <w:rPr>
          <w:rFonts w:ascii="Times New Roman" w:hAnsi="Times New Roman" w:cs="Times New Roman"/>
        </w:rPr>
        <w:t>°</w:t>
      </w:r>
      <w:r>
        <w:t xml:space="preserve">C for 3 days. </w:t>
      </w:r>
    </w:p>
    <w:p w:rsidR="00CF0AF7" w:rsidRDefault="00CF0AF7" w:rsidP="00CF0AF7">
      <w:pPr>
        <w:spacing w:line="360" w:lineRule="auto"/>
        <w:ind w:firstLine="284"/>
      </w:pPr>
      <w:r>
        <w:t>See below for the contents of each of the buffers used in the following step. The media was aspirated from all the wells</w:t>
      </w:r>
      <w:r w:rsidRPr="007110B8">
        <w:t xml:space="preserve">, 10 µl of lysis buffer added to each well, and the plate left for 10 minutes for the cells to lyse. 15 µl of Firefly </w:t>
      </w:r>
      <w:r>
        <w:t xml:space="preserve">Luciferase (FL) Reagent was added to each well and the plate </w:t>
      </w:r>
      <w:r>
        <w:lastRenderedPageBreak/>
        <w:t xml:space="preserve">fluorescence was read using </w:t>
      </w:r>
      <w:r w:rsidRPr="00FF3AEF">
        <w:t>a Varioskan Flash plate</w:t>
      </w:r>
      <w:r>
        <w:t xml:space="preserve"> reader (Thermo Scientific). </w:t>
      </w:r>
      <w:r w:rsidRPr="007110B8">
        <w:t>15</w:t>
      </w:r>
      <w:r>
        <w:t xml:space="preserve"> µl of Renilla Luciferase Reagent was then added, and the plate re-read with the filter applied.</w:t>
      </w:r>
    </w:p>
    <w:p w:rsidR="00CF0AF7" w:rsidRDefault="00CF0AF7" w:rsidP="00CF0AF7">
      <w:pPr>
        <w:spacing w:line="360" w:lineRule="auto"/>
        <w:ind w:firstLine="284"/>
      </w:pPr>
    </w:p>
    <w:p w:rsidR="00CF0AF7" w:rsidRPr="00FF3AEF" w:rsidRDefault="00CF0AF7" w:rsidP="00CF0AF7">
      <w:pPr>
        <w:spacing w:line="360" w:lineRule="auto"/>
      </w:pPr>
      <w:r>
        <w:t xml:space="preserve">BL buffer: 20 ml of 1 </w:t>
      </w:r>
      <w:r w:rsidRPr="00FF3AEF">
        <w:t>M HEPES (Sigma Life Sciences), 0.4 ml of 0.5 M EDTA (Fluka Analytical) 0.132 ml of 1 M phenyl acetic acid (Sigma), 0.28 ml of 100 mM oxalic acid. Made up to 400 ml with distilled water.</w:t>
      </w:r>
    </w:p>
    <w:p w:rsidR="00CF0AF7" w:rsidRPr="00FF3AEF" w:rsidRDefault="00CF0AF7" w:rsidP="00CF0AF7">
      <w:pPr>
        <w:spacing w:line="360" w:lineRule="auto"/>
      </w:pPr>
    </w:p>
    <w:p w:rsidR="00CF0AF7" w:rsidRPr="00FF3AEF" w:rsidRDefault="00CF0AF7" w:rsidP="00CF0AF7">
      <w:pPr>
        <w:spacing w:line="360" w:lineRule="auto"/>
      </w:pPr>
      <w:r w:rsidRPr="00FF3AEF">
        <w:t>B2 buffer: 4.15 ml of 1 mM DTT (Sigma), 3.3 ml of 100 mM ATP (Sigma Life Sciences), 100 µl of 100 mM AMP (Sigma Life Sciences). Made up to 10 ml with distilled water.</w:t>
      </w:r>
    </w:p>
    <w:p w:rsidR="00CF0AF7" w:rsidRPr="00FF3AEF" w:rsidRDefault="00CF0AF7" w:rsidP="00CF0AF7">
      <w:pPr>
        <w:spacing w:line="360" w:lineRule="auto"/>
      </w:pPr>
    </w:p>
    <w:p w:rsidR="00CF0AF7" w:rsidRPr="00FF3AEF" w:rsidRDefault="00CF0AF7" w:rsidP="00CF0AF7">
      <w:pPr>
        <w:spacing w:line="360" w:lineRule="auto"/>
      </w:pPr>
      <w:r w:rsidRPr="00FF3AEF">
        <w:t>Lysis buffer: 19.3 ml of BL buffer, 0.7 ml of 10% Triton X-100 (Sigma Life Sciences)</w:t>
      </w:r>
    </w:p>
    <w:p w:rsidR="00CF0AF7" w:rsidRPr="00FF3AEF" w:rsidRDefault="00CF0AF7" w:rsidP="00CF0AF7">
      <w:pPr>
        <w:spacing w:line="360" w:lineRule="auto"/>
      </w:pPr>
    </w:p>
    <w:p w:rsidR="00CF0AF7" w:rsidRPr="00FF3AEF" w:rsidRDefault="00CF0AF7" w:rsidP="00CF0AF7">
      <w:pPr>
        <w:spacing w:line="360" w:lineRule="auto"/>
      </w:pPr>
      <w:r w:rsidRPr="00FF3AEF">
        <w:t>Firefly Luciferase (FL) Reagent: 35.48 ml of BL buffer, 3.02 ml of B2 buffer, 980 µl of distilled water, 520 µl of D-Luc mix (Apollo Scientific).</w:t>
      </w:r>
    </w:p>
    <w:p w:rsidR="00CF0AF7" w:rsidRPr="00FF3AEF" w:rsidRDefault="00CF0AF7" w:rsidP="00CF0AF7">
      <w:pPr>
        <w:spacing w:line="360" w:lineRule="auto"/>
      </w:pPr>
    </w:p>
    <w:p w:rsidR="00CF0AF7" w:rsidRPr="00FF3AEF" w:rsidRDefault="00CF0AF7" w:rsidP="00CF0AF7">
      <w:pPr>
        <w:spacing w:line="360" w:lineRule="auto"/>
      </w:pPr>
      <w:r w:rsidRPr="00FF3AEF">
        <w:t>Renilla Luciferase (RL) Reagent: 35.40 ml of BL buffer, 3.02 ml B2 buffer, 980 µl of distilled water, 620 µl of D-Coe mix (Apollo Scientific).</w:t>
      </w:r>
    </w:p>
    <w:p w:rsidR="00CF0AF7" w:rsidRDefault="00CF0AF7" w:rsidP="00CF0AF7">
      <w:pPr>
        <w:spacing w:after="200" w:line="360" w:lineRule="auto"/>
        <w:jc w:val="left"/>
      </w:pPr>
    </w:p>
    <w:p w:rsidR="00CF0AF7" w:rsidRPr="00625D95" w:rsidRDefault="00CF0AF7" w:rsidP="00CF0AF7">
      <w:pPr>
        <w:spacing w:after="200" w:line="360" w:lineRule="auto"/>
        <w:jc w:val="left"/>
        <w:rPr>
          <w:b/>
          <w:u w:val="single"/>
        </w:rPr>
      </w:pPr>
      <w:r>
        <w:rPr>
          <w:b/>
          <w:u w:val="single"/>
        </w:rPr>
        <w:t>New Version</w:t>
      </w:r>
    </w:p>
    <w:p w:rsidR="00CF0AF7" w:rsidRDefault="00CF0AF7" w:rsidP="00CF0AF7">
      <w:pPr>
        <w:spacing w:line="360" w:lineRule="auto"/>
        <w:ind w:firstLine="284"/>
      </w:pPr>
      <w:r w:rsidRPr="00C614C9">
        <w:rPr>
          <w:i/>
        </w:rPr>
        <w:t>Drosophila</w:t>
      </w:r>
      <w:r>
        <w:t xml:space="preserve"> Kc167 cell cultures were amplified and transfected with the dual luciferase assay reporter plasmids as described above, in Hyclone CCM3 media</w:t>
      </w:r>
      <w:r w:rsidR="009D093D">
        <w:t xml:space="preserve"> without Pen-Strep</w:t>
      </w:r>
      <w:r>
        <w:t>.</w:t>
      </w:r>
    </w:p>
    <w:p w:rsidR="00CF0AF7" w:rsidRDefault="00CF0AF7" w:rsidP="00CF0AF7">
      <w:pPr>
        <w:spacing w:line="360" w:lineRule="auto"/>
        <w:ind w:firstLine="284"/>
      </w:pPr>
      <w:r>
        <w:t>dsRNAs were dispensed into 96 well plates, with</w:t>
      </w:r>
      <w:r w:rsidRPr="007110B8">
        <w:t xml:space="preserve"> </w:t>
      </w:r>
      <w:r>
        <w:t>6 wells providing</w:t>
      </w:r>
      <w:r w:rsidRPr="007110B8">
        <w:t xml:space="preserve"> technical</w:t>
      </w:r>
      <w:r>
        <w:t xml:space="preserve"> replicates for each combination of dsRNA and concentration. Each well contained the appropriate treatment of dsRNA diluted in 20 </w:t>
      </w:r>
      <w:r w:rsidRPr="007110B8">
        <w:t>µl</w:t>
      </w:r>
      <w:r>
        <w:t xml:space="preserve"> of nuclease-free water. Edge wells of plates were filled with water and left unused in order to guard against plate edge effects. </w:t>
      </w:r>
    </w:p>
    <w:p w:rsidR="00CF0AF7" w:rsidRDefault="00CF0AF7" w:rsidP="00CF0AF7">
      <w:pPr>
        <w:spacing w:line="360" w:lineRule="auto"/>
        <w:ind w:firstLine="284"/>
      </w:pPr>
      <w:r>
        <w:t>The day after transfection the transfection media was aspirated, and the total quantity of cells required for a final seeding density of 40,000 cells per well of a 96-well plate,</w:t>
      </w:r>
      <w:r w:rsidRPr="007110B8">
        <w:t xml:space="preserve"> was removed and </w:t>
      </w:r>
      <w:r>
        <w:t>resuspended</w:t>
      </w:r>
      <w:r w:rsidRPr="007110B8">
        <w:t xml:space="preserve"> with enough fresh serum-</w:t>
      </w:r>
      <w:r>
        <w:t xml:space="preserve">free CCM3 media to provide a final well volume of 100 µl. Cells were dispensed into the dsRNA-containing plates, sealed and centrifuged for 1 min at 2,000 rpm to encourage adherence of cells to the well bottoms. The plates were then incubated at 25 </w:t>
      </w:r>
      <w:r>
        <w:rPr>
          <w:rFonts w:ascii="Times New Roman" w:hAnsi="Times New Roman" w:cs="Times New Roman"/>
        </w:rPr>
        <w:t>°</w:t>
      </w:r>
      <w:r>
        <w:t xml:space="preserve">C for 4 days to allow RNAi knockdown of the target to occur. </w:t>
      </w:r>
    </w:p>
    <w:p w:rsidR="00CF0AF7" w:rsidRDefault="00CF0AF7" w:rsidP="00CF0AF7">
      <w:pPr>
        <w:spacing w:line="360" w:lineRule="auto"/>
        <w:ind w:firstLine="284"/>
      </w:pPr>
      <w:r>
        <w:t xml:space="preserve">The dual luciferase assay was performed using the Dual-Luciferase Reporter Assay System kit (Promega). A 1X solution of passive lysis buffer (PLB) was prepared from 5X concentrate. The </w:t>
      </w:r>
      <w:r>
        <w:lastRenderedPageBreak/>
        <w:t>Luciferase Assay Reagent II or LARII (FL reagent), and the Stop&amp;Glo Reagent (RL reagent) were mixed with the buffers provided in the kit and then the solutions diluted 1:2 in MilliQ water. Plates were centrifuged for 2 mins at 2,000 rpm to ensure adherence of loose cells, then media was aspirated from all the wells</w:t>
      </w:r>
      <w:r w:rsidRPr="007110B8">
        <w:t>,</w:t>
      </w:r>
      <w:r>
        <w:t xml:space="preserve"> leaving</w:t>
      </w:r>
      <w:r w:rsidRPr="007110B8">
        <w:t xml:space="preserve"> 10 µl of </w:t>
      </w:r>
      <w:r>
        <w:t xml:space="preserve">residual media per well. 20 µl 1X PLB was added to each well and plates incubated at room temperature for 15 minutes. 100 </w:t>
      </w:r>
      <w:r w:rsidRPr="007110B8">
        <w:t>µl</w:t>
      </w:r>
      <w:r>
        <w:t xml:space="preserve"> of LARII dilution was added to each well and the fluorescence of each well (FL values) was read using </w:t>
      </w:r>
      <w:r w:rsidRPr="00FF3AEF">
        <w:t>a Varioskan Flash plate</w:t>
      </w:r>
      <w:r>
        <w:t xml:space="preserve"> reader (Thermo Scientific) with a pre-reading 10 sec shake step. </w:t>
      </w:r>
      <w:r w:rsidRPr="007110B8">
        <w:t>1</w:t>
      </w:r>
      <w:r>
        <w:t>00 µl of Stop&amp;Glo dilution was then added to each well, and the plate re-read with the filter applied (RL values).</w:t>
      </w:r>
    </w:p>
    <w:p w:rsidR="00CF0AF7" w:rsidRDefault="005B1D7C" w:rsidP="005B1D7C">
      <w:pPr>
        <w:pStyle w:val="Heading3"/>
      </w:pPr>
      <w:bookmarkStart w:id="65" w:name="_Toc35333951"/>
      <w:r>
        <w:t>Statistical analysis</w:t>
      </w:r>
      <w:bookmarkEnd w:id="65"/>
    </w:p>
    <w:p w:rsidR="005B1D7C" w:rsidRPr="0083006A" w:rsidRDefault="005B1D7C" w:rsidP="009D093D">
      <w:pPr>
        <w:spacing w:line="360" w:lineRule="auto"/>
        <w:ind w:firstLine="284"/>
      </w:pPr>
      <w:r>
        <w:t xml:space="preserve">Unpaired T-test analysis of luciferase assay data was performed using GraphPad Prism software. </w:t>
      </w:r>
      <w:r w:rsidR="009D093D">
        <w:t>Dose curves were generated by non-linear regression analysis using a dose-response inhibition variable slope curve, also using Graphpad Prism software.</w:t>
      </w:r>
    </w:p>
    <w:p w:rsidR="005B1D7C" w:rsidRPr="005B1D7C" w:rsidRDefault="005B1D7C" w:rsidP="005B1D7C"/>
    <w:p w:rsidR="00CF0AF7" w:rsidRDefault="00CF0AF7" w:rsidP="00CF0AF7">
      <w:pPr>
        <w:pStyle w:val="Heading2"/>
        <w:spacing w:line="360" w:lineRule="auto"/>
      </w:pPr>
      <w:bookmarkStart w:id="66" w:name="_Toc8914977"/>
      <w:bookmarkStart w:id="67" w:name="_Toc35333952"/>
      <w:r w:rsidRPr="00D66ED4">
        <w:rPr>
          <w:i/>
        </w:rPr>
        <w:t>In vivo</w:t>
      </w:r>
      <w:r>
        <w:t xml:space="preserve"> analysis of RNAi using modified dsRNA in live insects</w:t>
      </w:r>
      <w:bookmarkEnd w:id="66"/>
      <w:bookmarkEnd w:id="67"/>
    </w:p>
    <w:p w:rsidR="00CF0AF7" w:rsidRDefault="00CF0AF7" w:rsidP="00CF0AF7">
      <w:pPr>
        <w:pStyle w:val="Heading3"/>
        <w:spacing w:line="360" w:lineRule="auto"/>
      </w:pPr>
      <w:bookmarkStart w:id="68" w:name="_Toc8914978"/>
      <w:bookmarkStart w:id="69" w:name="_Toc35333953"/>
      <w:r w:rsidRPr="00960C14">
        <w:t>Insect rearing,</w:t>
      </w:r>
      <w:bookmarkEnd w:id="68"/>
      <w:bookmarkEnd w:id="69"/>
      <w:r w:rsidRPr="00960C14">
        <w:t xml:space="preserve"> </w:t>
      </w:r>
    </w:p>
    <w:p w:rsidR="00CF0AF7" w:rsidRPr="0033629C" w:rsidRDefault="00CF0AF7" w:rsidP="00CF0AF7">
      <w:pPr>
        <w:spacing w:line="360" w:lineRule="auto"/>
        <w:ind w:firstLine="284"/>
      </w:pPr>
      <w:r w:rsidRPr="0033629C">
        <w:t>Western corn rootworm (</w:t>
      </w:r>
      <w:r w:rsidRPr="0033629C">
        <w:rPr>
          <w:i/>
        </w:rPr>
        <w:t>Diabrotica virgifera virgifera</w:t>
      </w:r>
      <w:r w:rsidRPr="0033629C">
        <w:t xml:space="preserve">) were reared in trays containing corn plants at 26 °C with </w:t>
      </w:r>
      <w:r>
        <w:t>65</w:t>
      </w:r>
      <w:r w:rsidRPr="0033629C">
        <w:t xml:space="preserve">% </w:t>
      </w:r>
      <w:r>
        <w:t xml:space="preserve">relative </w:t>
      </w:r>
      <w:r w:rsidRPr="0033629C">
        <w:t>humidity on a light:dark regimen of 16 hrs:8 hrs.</w:t>
      </w:r>
      <w:r>
        <w:t xml:space="preserve"> </w:t>
      </w:r>
      <w:r w:rsidRPr="0033629C">
        <w:t>Southern green stink bug (</w:t>
      </w:r>
      <w:r w:rsidRPr="0033629C">
        <w:rPr>
          <w:i/>
        </w:rPr>
        <w:t>Nezara viridula</w:t>
      </w:r>
      <w:r w:rsidRPr="0033629C">
        <w:t xml:space="preserve">) were reared on runner beans at 26 °C with 50% relative humidity on a light:dark regimen of 16 hrs:8 hrs. </w:t>
      </w:r>
    </w:p>
    <w:p w:rsidR="00CF0AF7" w:rsidRDefault="00CF0AF7" w:rsidP="00CF0AF7">
      <w:pPr>
        <w:spacing w:line="360" w:lineRule="auto"/>
        <w:ind w:firstLine="284"/>
      </w:pPr>
    </w:p>
    <w:p w:rsidR="00CF0AF7" w:rsidRPr="00960C14" w:rsidRDefault="00CF0AF7" w:rsidP="00CF0AF7">
      <w:pPr>
        <w:pStyle w:val="Heading3"/>
        <w:spacing w:line="360" w:lineRule="auto"/>
      </w:pPr>
      <w:bookmarkStart w:id="70" w:name="_Toc8914979"/>
      <w:bookmarkStart w:id="71" w:name="_Toc35333954"/>
      <w:r w:rsidRPr="00960C14">
        <w:t>Stink bug injection</w:t>
      </w:r>
      <w:r>
        <w:t xml:space="preserve"> assays</w:t>
      </w:r>
      <w:bookmarkEnd w:id="70"/>
      <w:bookmarkEnd w:id="71"/>
    </w:p>
    <w:p w:rsidR="00CF0AF7" w:rsidRDefault="00CF0AF7" w:rsidP="00CF0AF7">
      <w:pPr>
        <w:spacing w:line="360" w:lineRule="auto"/>
        <w:ind w:firstLine="284"/>
      </w:pPr>
      <w:r>
        <w:t>N2 nymph stage insects were fixed on microscope slides with their undersides exposed using double sided tape, injected in the abdomen, and then liberated again using cooking oil. Insects were transferred to a sealed dish containing a single runner bean, with one dish per condition. The injection day was designated day 0; on day 1 all deceased insects were removed and the initial scoring done. It was assumed all mortality in the first day was the result of damage incurred during injection and not from RNAi. Mortality was scored over subsequent days and recorded.</w:t>
      </w:r>
    </w:p>
    <w:p w:rsidR="00CF0AF7" w:rsidRDefault="00CF0AF7" w:rsidP="00CF0AF7">
      <w:pPr>
        <w:spacing w:line="360" w:lineRule="auto"/>
        <w:ind w:firstLine="284"/>
        <w:rPr>
          <w:color w:val="FF0000"/>
        </w:rPr>
      </w:pPr>
      <w:r>
        <w:t xml:space="preserve">The first injection assay </w:t>
      </w:r>
      <w:r w:rsidRPr="00ED2E5F">
        <w:t>(section</w:t>
      </w:r>
      <w:r w:rsidR="00ED2E5F" w:rsidRPr="00ED2E5F">
        <w:t xml:space="preserve"> 6.3.2</w:t>
      </w:r>
      <w:r w:rsidRPr="00ED2E5F">
        <w:t>) used</w:t>
      </w:r>
      <w:r>
        <w:t xml:space="preserve"> </w:t>
      </w:r>
      <w:r w:rsidRPr="00ED2E5F">
        <w:t>an Eppendorf EDOS 5222</w:t>
      </w:r>
      <w:r w:rsidRPr="007E27F3">
        <w:rPr>
          <w:color w:val="FF0000"/>
        </w:rPr>
        <w:t xml:space="preserve"> </w:t>
      </w:r>
      <w:r w:rsidR="00ED2E5F">
        <w:t>injector</w:t>
      </w:r>
      <w:r>
        <w:t xml:space="preserve"> and solutions of dsRNA at concentrations of 700 ng/ul. With this system the injection volume was variable depending on insect size. The second injection </w:t>
      </w:r>
      <w:r w:rsidRPr="00ED2E5F">
        <w:t>assay (</w:t>
      </w:r>
      <w:r w:rsidR="00ED2E5F" w:rsidRPr="00ED2E5F">
        <w:t>section 6.3.3.6)</w:t>
      </w:r>
      <w:r>
        <w:t xml:space="preserve"> used a Drummond Nanoject III Programmable Nanoliter Injector to deliver a fixed dose of 10 nl of a 1 µg/µl dsRNA solution per insect.</w:t>
      </w:r>
    </w:p>
    <w:p w:rsidR="00CF0AF7" w:rsidRDefault="00CF0AF7" w:rsidP="00CF0AF7">
      <w:pPr>
        <w:spacing w:line="360" w:lineRule="auto"/>
      </w:pPr>
    </w:p>
    <w:p w:rsidR="00CF0AF7" w:rsidRPr="00960C14" w:rsidRDefault="00CF0AF7" w:rsidP="00CF0AF7">
      <w:pPr>
        <w:pStyle w:val="Heading3"/>
        <w:spacing w:line="360" w:lineRule="auto"/>
      </w:pPr>
      <w:bookmarkStart w:id="72" w:name="_Toc8914980"/>
      <w:bookmarkStart w:id="73" w:name="_Toc35333955"/>
      <w:r w:rsidRPr="00960C14">
        <w:lastRenderedPageBreak/>
        <w:t>WCR diet</w:t>
      </w:r>
      <w:r>
        <w:t xml:space="preserve"> plate feeding assay</w:t>
      </w:r>
      <w:bookmarkEnd w:id="72"/>
      <w:bookmarkEnd w:id="73"/>
    </w:p>
    <w:p w:rsidR="00CF0AF7" w:rsidRDefault="00CF0AF7" w:rsidP="00CF0AF7">
      <w:pPr>
        <w:spacing w:line="360" w:lineRule="auto"/>
        <w:ind w:firstLine="284"/>
      </w:pPr>
      <w:r>
        <w:t xml:space="preserve">WCR larvae were fed on artificial diet for the duration of the assay, prepared as detailed below, with 500 µl of diet set in the bottom of each well of a 48 well plate. Aqueous dsRNA solutions prepared using MilliQ water and purified and annealed dsRNAs in 1X PBS, were applied to the diet surface and plates </w:t>
      </w:r>
      <w:r w:rsidRPr="002818B1">
        <w:t>dr</w:t>
      </w:r>
      <w:r>
        <w:t>ied</w:t>
      </w:r>
      <w:r w:rsidRPr="002818B1">
        <w:t xml:space="preserve"> in a lamina flow hood</w:t>
      </w:r>
      <w:r>
        <w:t xml:space="preserve">. Approximately two larvae were seeded per well, and the plate sealed, with air holes in the film to allow air exchange with the wells. Initial mortality was scored at the end of day zero. Mortality was scored each subsequent day for </w:t>
      </w:r>
      <w:r w:rsidRPr="00713A33">
        <w:t>seven d</w:t>
      </w:r>
      <w:r>
        <w:t>ays.</w:t>
      </w:r>
    </w:p>
    <w:p w:rsidR="00CF0AF7" w:rsidRDefault="00CF0AF7" w:rsidP="00CF0AF7">
      <w:pPr>
        <w:spacing w:line="360" w:lineRule="auto"/>
      </w:pPr>
    </w:p>
    <w:p w:rsidR="00CF0AF7" w:rsidRDefault="00CF0AF7" w:rsidP="00CF0AF7">
      <w:pPr>
        <w:spacing w:line="360" w:lineRule="auto"/>
      </w:pPr>
      <w:r>
        <w:t xml:space="preserve">WCR Artificial Diet For 1.2 L: 19.3 g of agar was dissolved in 1.2 L of autoclaved MilliQ water. 36.6 g of wheat germ, 43 g of casein and 12.3 g of Wesson salt mix sieved into agar. Corn leaf powder ground for 10 minutes in a tissuelyser (Qiagen) on maximum frequency and 8.4 g sieved into diet mix. 43 g of sucrose, 18.3 g of alpha cellulose, 2 g of vanderzant modification vitamin mixture, 1.33 g of nipagin (methylparaben preservative) and 0.83 g of sorbic acid added to diet mix. The following were weighed using an analytical balance and added to the diet: 83 mg of cholesterol, 170 mg Aureomycin (chlortetracycline), 170 mg rifampicin, 170 mg chloramfenicol, and 67 mg nystatin. Finally 330 </w:t>
      </w:r>
      <w:r w:rsidRPr="00FF3AEF">
        <w:t>µl</w:t>
      </w:r>
      <w:r>
        <w:t xml:space="preserve"> linseed oil, and 6.6 ml of 10% (w/v) KOH were added.</w:t>
      </w:r>
    </w:p>
    <w:p w:rsidR="00CF0AF7" w:rsidRDefault="00CF0AF7" w:rsidP="00CF0AF7">
      <w:pPr>
        <w:spacing w:line="360" w:lineRule="auto"/>
      </w:pPr>
    </w:p>
    <w:p w:rsidR="00CF0AF7" w:rsidRDefault="00CF0AF7" w:rsidP="00CF0AF7">
      <w:pPr>
        <w:pStyle w:val="Heading3"/>
        <w:spacing w:line="360" w:lineRule="auto"/>
      </w:pPr>
      <w:bookmarkStart w:id="74" w:name="_Toc8914981"/>
      <w:bookmarkStart w:id="75" w:name="_Toc35333956"/>
      <w:r w:rsidRPr="00960C14">
        <w:t>WCR soil</w:t>
      </w:r>
      <w:r>
        <w:t xml:space="preserve"> feeding assay</w:t>
      </w:r>
      <w:bookmarkEnd w:id="74"/>
      <w:bookmarkEnd w:id="75"/>
    </w:p>
    <w:p w:rsidR="00CF0AF7" w:rsidRPr="000203D1" w:rsidRDefault="00CF0AF7" w:rsidP="00CF0AF7">
      <w:pPr>
        <w:spacing w:line="360" w:lineRule="auto"/>
        <w:ind w:firstLine="284"/>
        <w:rPr>
          <w:color w:val="000000" w:themeColor="text1"/>
        </w:rPr>
      </w:pPr>
      <w:r w:rsidRPr="000203D1">
        <w:rPr>
          <w:color w:val="000000" w:themeColor="text1"/>
        </w:rPr>
        <w:t>For each combination of dsRNA chemistry and concentration, two wells of a 48 well plate were dedicated</w:t>
      </w:r>
      <w:r>
        <w:rPr>
          <w:color w:val="000000" w:themeColor="text1"/>
        </w:rPr>
        <w:t xml:space="preserve">. Plates were set up in duplicate </w:t>
      </w:r>
      <w:r w:rsidRPr="000203D1">
        <w:rPr>
          <w:color w:val="000000" w:themeColor="text1"/>
        </w:rPr>
        <w:t>for each combination of dsRNA chemistry and concentration</w:t>
      </w:r>
      <w:r>
        <w:rPr>
          <w:color w:val="000000" w:themeColor="text1"/>
        </w:rPr>
        <w:t xml:space="preserve">, to give </w:t>
      </w:r>
      <w:r w:rsidRPr="000203D1">
        <w:rPr>
          <w:color w:val="000000" w:themeColor="text1"/>
        </w:rPr>
        <w:t>t</w:t>
      </w:r>
      <w:r>
        <w:rPr>
          <w:color w:val="000000" w:themeColor="text1"/>
        </w:rPr>
        <w:t xml:space="preserve">wo </w:t>
      </w:r>
      <w:r w:rsidRPr="000203D1">
        <w:rPr>
          <w:color w:val="000000" w:themeColor="text1"/>
        </w:rPr>
        <w:t>time points, with one set of plates having corn rootworm larvae applied on day 0 (week 0), another set of plates had l</w:t>
      </w:r>
      <w:r>
        <w:rPr>
          <w:color w:val="000000" w:themeColor="text1"/>
        </w:rPr>
        <w:t>arvae applied on day 7 (week 1).</w:t>
      </w:r>
      <w:r w:rsidRPr="000203D1">
        <w:rPr>
          <w:color w:val="000000" w:themeColor="text1"/>
        </w:rPr>
        <w:t xml:space="preserve"> Each </w:t>
      </w:r>
      <w:r>
        <w:rPr>
          <w:color w:val="000000" w:themeColor="text1"/>
        </w:rPr>
        <w:t xml:space="preserve">plate had two </w:t>
      </w:r>
      <w:r w:rsidRPr="000203D1">
        <w:rPr>
          <w:color w:val="000000" w:themeColor="text1"/>
        </w:rPr>
        <w:t>well</w:t>
      </w:r>
      <w:r>
        <w:rPr>
          <w:color w:val="000000" w:themeColor="text1"/>
        </w:rPr>
        <w:t xml:space="preserve">s each containing a base layer of 300 </w:t>
      </w:r>
      <w:r w:rsidRPr="009172E4">
        <w:t>µl</w:t>
      </w:r>
      <w:r>
        <w:t xml:space="preserve"> of agar, with 370 mg of Stein soil (</w:t>
      </w:r>
      <w:r w:rsidRPr="000203D1">
        <w:rPr>
          <w:color w:val="000000" w:themeColor="text1"/>
        </w:rPr>
        <w:t>live defined soil comprising a t</w:t>
      </w:r>
      <w:r>
        <w:rPr>
          <w:color w:val="000000" w:themeColor="text1"/>
        </w:rPr>
        <w:t>hird each clay, silt, and sand</w:t>
      </w:r>
      <w:r>
        <w:t xml:space="preserve">) on top to which was applied 50 </w:t>
      </w:r>
      <w:r w:rsidRPr="009172E4">
        <w:t>µl</w:t>
      </w:r>
      <w:r>
        <w:t xml:space="preserve"> of dsRNA solution containing the appropriate dose of dsRNA (</w:t>
      </w:r>
      <w:r w:rsidRPr="000203D1">
        <w:rPr>
          <w:color w:val="000000" w:themeColor="text1"/>
        </w:rPr>
        <w:t>15, 5, 1.7 and 0.6 µg per well</w:t>
      </w:r>
      <w:r>
        <w:t>). Control p</w:t>
      </w:r>
      <w:r>
        <w:rPr>
          <w:color w:val="000000" w:themeColor="text1"/>
        </w:rPr>
        <w:t xml:space="preserve">lates with a </w:t>
      </w:r>
      <w:r w:rsidRPr="000203D1">
        <w:rPr>
          <w:color w:val="000000" w:themeColor="text1"/>
        </w:rPr>
        <w:t>15 µg treatment of negative control unmodified GFP dsRNA, and a water only dsRNA-free negative control</w:t>
      </w:r>
      <w:r>
        <w:rPr>
          <w:color w:val="000000" w:themeColor="text1"/>
        </w:rPr>
        <w:t xml:space="preserve"> were also set up</w:t>
      </w:r>
      <w:r w:rsidRPr="000203D1">
        <w:rPr>
          <w:color w:val="000000" w:themeColor="text1"/>
        </w:rPr>
        <w:t>.</w:t>
      </w:r>
    </w:p>
    <w:p w:rsidR="00CF0AF7" w:rsidRDefault="00CF0AF7" w:rsidP="00CF0AF7">
      <w:pPr>
        <w:spacing w:line="360" w:lineRule="auto"/>
        <w:ind w:firstLine="284"/>
      </w:pPr>
      <w:r>
        <w:t xml:space="preserve"> 130 L1 larvae were applied to each of the two wells</w:t>
      </w:r>
      <w:r>
        <w:rPr>
          <w:color w:val="000000" w:themeColor="text1"/>
        </w:rPr>
        <w:t xml:space="preserve"> for a total of 260 insects per combination of dsRNA, concentration, and time point. The week 1 </w:t>
      </w:r>
      <w:r w:rsidRPr="000203D1">
        <w:rPr>
          <w:color w:val="000000" w:themeColor="text1"/>
        </w:rPr>
        <w:t>plates were incubated</w:t>
      </w:r>
      <w:r>
        <w:rPr>
          <w:color w:val="000000" w:themeColor="text1"/>
        </w:rPr>
        <w:t xml:space="preserve"> in WCR rearing conditions</w:t>
      </w:r>
      <w:r w:rsidRPr="000203D1">
        <w:rPr>
          <w:color w:val="000000" w:themeColor="text1"/>
        </w:rPr>
        <w:t xml:space="preserve"> from day 0 onwards along with the day 0 plates. After the application of insects to each plate at each of the time points, insects were left in the soil </w:t>
      </w:r>
      <w:r>
        <w:rPr>
          <w:color w:val="000000" w:themeColor="text1"/>
        </w:rPr>
        <w:t>for 24</w:t>
      </w:r>
      <w:r w:rsidRPr="000203D1">
        <w:rPr>
          <w:color w:val="000000" w:themeColor="text1"/>
        </w:rPr>
        <w:t xml:space="preserve"> hours, then extracted from the soil and live larvae transferred into 48 well diet plates as used for the corn rootworm diet plate feeding assay </w:t>
      </w:r>
      <w:r w:rsidRPr="00ED2E5F">
        <w:t xml:space="preserve">(section </w:t>
      </w:r>
      <w:r w:rsidR="00ED2E5F" w:rsidRPr="00ED2E5F">
        <w:t>2.5.3</w:t>
      </w:r>
      <w:r w:rsidRPr="00ED2E5F">
        <w:t>),</w:t>
      </w:r>
      <w:r>
        <w:rPr>
          <w:color w:val="000000" w:themeColor="text1"/>
        </w:rPr>
        <w:t xml:space="preserve"> with 2 to 4</w:t>
      </w:r>
      <w:r w:rsidRPr="000203D1">
        <w:rPr>
          <w:color w:val="000000" w:themeColor="text1"/>
        </w:rPr>
        <w:t xml:space="preserve"> larvae dispensed into each well. After each day where i</w:t>
      </w:r>
      <w:r>
        <w:rPr>
          <w:color w:val="000000" w:themeColor="text1"/>
        </w:rPr>
        <w:t>nsects were transferred (days 1 and 8</w:t>
      </w:r>
      <w:r w:rsidRPr="000203D1">
        <w:rPr>
          <w:color w:val="000000" w:themeColor="text1"/>
        </w:rPr>
        <w:t xml:space="preserve">) mortality was scored over subsequent days </w:t>
      </w:r>
      <w:r>
        <w:rPr>
          <w:color w:val="000000" w:themeColor="text1"/>
        </w:rPr>
        <w:t>for seven days</w:t>
      </w:r>
      <w:r w:rsidRPr="000203D1">
        <w:rPr>
          <w:color w:val="000000" w:themeColor="text1"/>
        </w:rPr>
        <w:t xml:space="preserve">. Survival data </w:t>
      </w:r>
      <w:r w:rsidRPr="000203D1">
        <w:rPr>
          <w:color w:val="000000" w:themeColor="text1"/>
        </w:rPr>
        <w:lastRenderedPageBreak/>
        <w:t>for each time point was normalised to the number of surviving larvae upon transfer f</w:t>
      </w:r>
      <w:r>
        <w:rPr>
          <w:color w:val="000000" w:themeColor="text1"/>
        </w:rPr>
        <w:t>rom soil to diet plates (days 1 and</w:t>
      </w:r>
      <w:r w:rsidRPr="000203D1">
        <w:rPr>
          <w:color w:val="000000" w:themeColor="text1"/>
        </w:rPr>
        <w:t xml:space="preserve"> 8)</w:t>
      </w:r>
      <w:r>
        <w:rPr>
          <w:color w:val="000000" w:themeColor="text1"/>
        </w:rPr>
        <w:t>.</w:t>
      </w:r>
    </w:p>
    <w:p w:rsidR="00CF0AF7" w:rsidRPr="00960C14" w:rsidRDefault="00CF0AF7" w:rsidP="00CF0AF7">
      <w:pPr>
        <w:pStyle w:val="Heading3"/>
        <w:spacing w:line="360" w:lineRule="auto"/>
      </w:pPr>
      <w:bookmarkStart w:id="76" w:name="_Toc8914982"/>
      <w:bookmarkStart w:id="77" w:name="_Toc35333957"/>
      <w:r w:rsidRPr="00960C14">
        <w:t>Stink bug feeding</w:t>
      </w:r>
      <w:r>
        <w:t xml:space="preserve"> assays</w:t>
      </w:r>
      <w:bookmarkEnd w:id="76"/>
      <w:bookmarkEnd w:id="77"/>
    </w:p>
    <w:p w:rsidR="00CF0AF7" w:rsidRPr="00ED2E5F" w:rsidRDefault="00CF0AF7" w:rsidP="00CF0AF7">
      <w:pPr>
        <w:spacing w:line="360" w:lineRule="auto"/>
        <w:ind w:firstLine="284"/>
      </w:pPr>
      <w:r>
        <w:t xml:space="preserve">For the first feeding </w:t>
      </w:r>
      <w:r w:rsidRPr="00ED2E5F">
        <w:t>assay (figure</w:t>
      </w:r>
      <w:r w:rsidR="00ED2E5F" w:rsidRPr="00ED2E5F">
        <w:t xml:space="preserve"> 6.9 a</w:t>
      </w:r>
      <w:r w:rsidRPr="00ED2E5F">
        <w:t xml:space="preserve">) dsRNA solutions were produced at a concentration of 0.5 µg/µl in 15 % w/v sucrose solution with 4% food dye. These solutions were dispensed into a feeding sachet with 20 µl per well, and 16 N2 SGSB fed on each condition in a 96 well mesh bottom plate as described above for saliva nuclease collection. After 3 days the insects were transferred to dishes containing runner beans, and initial mortality scored. Mortality was then scored from days </w:t>
      </w:r>
      <w:r w:rsidR="00ED2E5F" w:rsidRPr="00ED2E5F">
        <w:t>3</w:t>
      </w:r>
      <w:r w:rsidRPr="00ED2E5F">
        <w:t xml:space="preserve"> to </w:t>
      </w:r>
      <w:r w:rsidR="00ED2E5F" w:rsidRPr="00ED2E5F">
        <w:t>13</w:t>
      </w:r>
      <w:r w:rsidRPr="00ED2E5F">
        <w:t xml:space="preserve"> and </w:t>
      </w:r>
      <w:r w:rsidR="00ED2E5F" w:rsidRPr="00ED2E5F">
        <w:t>survival statistics calculated</w:t>
      </w:r>
      <w:r w:rsidRPr="00ED2E5F">
        <w:t xml:space="preserve">. </w:t>
      </w:r>
    </w:p>
    <w:p w:rsidR="00CF0AF7" w:rsidRDefault="00CF0AF7" w:rsidP="00CF0AF7">
      <w:pPr>
        <w:spacing w:line="360" w:lineRule="auto"/>
        <w:ind w:firstLine="284"/>
      </w:pPr>
      <w:r w:rsidRPr="00ED2E5F">
        <w:t>For the second feeding assay assay (figure</w:t>
      </w:r>
      <w:r w:rsidR="00ED2E5F" w:rsidRPr="00ED2E5F">
        <w:t xml:space="preserve"> 6.9 b</w:t>
      </w:r>
      <w:r w:rsidRPr="00ED2E5F">
        <w:t xml:space="preserve">) dsRNA solutions were produced at a concentration of 1 µg/µl in 15 % w/v sucrose solution with 4% food dye. These solutions were dispensed into a feeding sachet with 25 µl per well, and N2 SGSB fed on each condition in a 96 well mesh bottom plate as described above. After 4 days the insects were transferred to dishes containing runner beans, and initial mortality scored. Mortality was then scored from days </w:t>
      </w:r>
      <w:r w:rsidR="00ED2E5F" w:rsidRPr="00ED2E5F">
        <w:t>4</w:t>
      </w:r>
      <w:r w:rsidRPr="00ED2E5F">
        <w:t xml:space="preserve"> to </w:t>
      </w:r>
      <w:r w:rsidR="00ED2E5F" w:rsidRPr="00ED2E5F">
        <w:t>13</w:t>
      </w:r>
      <w:r>
        <w:t xml:space="preserve"> and survival statistics calculated</w:t>
      </w:r>
      <w:r w:rsidR="009D093D">
        <w:t>.</w:t>
      </w:r>
    </w:p>
    <w:p w:rsidR="00CF0AF7" w:rsidRDefault="00CF0AF7" w:rsidP="00CF0AF7">
      <w:pPr>
        <w:spacing w:line="360" w:lineRule="auto"/>
      </w:pPr>
    </w:p>
    <w:p w:rsidR="00045427" w:rsidRDefault="008F6241">
      <w:pPr>
        <w:spacing w:after="200"/>
        <w:jc w:val="left"/>
      </w:pPr>
      <w:r>
        <w:br w:type="page"/>
      </w:r>
      <w:r w:rsidR="00045427">
        <w:lastRenderedPageBreak/>
        <w:br w:type="page"/>
      </w:r>
    </w:p>
    <w:p w:rsidR="008F6241" w:rsidRDefault="008F6241" w:rsidP="008F6241">
      <w:pPr>
        <w:spacing w:after="200"/>
        <w:jc w:val="center"/>
        <w:rPr>
          <w:sz w:val="72"/>
          <w:szCs w:val="72"/>
        </w:rPr>
      </w:pPr>
      <w:r>
        <w:rPr>
          <w:sz w:val="72"/>
          <w:szCs w:val="72"/>
        </w:rPr>
        <w:lastRenderedPageBreak/>
        <w:t>Chapter 3</w:t>
      </w:r>
    </w:p>
    <w:p w:rsidR="008F6241" w:rsidRDefault="008F6241" w:rsidP="008F6241">
      <w:pPr>
        <w:spacing w:after="200"/>
        <w:jc w:val="center"/>
        <w:rPr>
          <w:sz w:val="72"/>
          <w:szCs w:val="72"/>
        </w:rPr>
      </w:pPr>
    </w:p>
    <w:p w:rsidR="008F6241" w:rsidRDefault="008F6241" w:rsidP="008F6241">
      <w:pPr>
        <w:spacing w:after="200"/>
        <w:jc w:val="center"/>
        <w:rPr>
          <w:sz w:val="52"/>
          <w:szCs w:val="52"/>
        </w:rPr>
      </w:pPr>
      <w:r w:rsidRPr="008F6241">
        <w:rPr>
          <w:sz w:val="52"/>
          <w:szCs w:val="52"/>
        </w:rPr>
        <w:t>Synthesis of unmodified and chemically modified long dsRNA for RNAi studies</w:t>
      </w:r>
      <w:r>
        <w:rPr>
          <w:sz w:val="52"/>
          <w:szCs w:val="52"/>
        </w:rPr>
        <w:br w:type="page"/>
      </w:r>
    </w:p>
    <w:p w:rsidR="008953EC" w:rsidRDefault="008953EC" w:rsidP="008953EC">
      <w:pPr>
        <w:pStyle w:val="Heading1"/>
      </w:pPr>
      <w:bookmarkStart w:id="78" w:name="_Toc35333958"/>
      <w:r>
        <w:lastRenderedPageBreak/>
        <w:t>S</w:t>
      </w:r>
      <w:r w:rsidRPr="00B663DD">
        <w:t xml:space="preserve">ynthesis of unmodified and chemically modified long dsRNA </w:t>
      </w:r>
      <w:r>
        <w:t>for RNAi studies</w:t>
      </w:r>
      <w:bookmarkEnd w:id="78"/>
    </w:p>
    <w:p w:rsidR="008953EC" w:rsidRPr="00865B64" w:rsidRDefault="008953EC" w:rsidP="008953EC"/>
    <w:p w:rsidR="008953EC" w:rsidRDefault="008953EC" w:rsidP="008953EC">
      <w:pPr>
        <w:pStyle w:val="Heading2"/>
        <w:spacing w:line="360" w:lineRule="auto"/>
      </w:pPr>
      <w:bookmarkStart w:id="79" w:name="_Toc18832668"/>
      <w:bookmarkStart w:id="80" w:name="_Toc507150617"/>
      <w:bookmarkStart w:id="81" w:name="_Toc35333959"/>
      <w:r>
        <w:t>Abstract</w:t>
      </w:r>
      <w:bookmarkEnd w:id="79"/>
      <w:bookmarkEnd w:id="81"/>
    </w:p>
    <w:p w:rsidR="008953EC" w:rsidRDefault="008953EC" w:rsidP="008953EC">
      <w:pPr>
        <w:spacing w:line="360" w:lineRule="auto"/>
        <w:ind w:firstLine="284"/>
      </w:pPr>
      <w:r>
        <w:t xml:space="preserve">In order to produce long chemically modified dsRNAs for subsequent use in RNAi assays in insect cell cultures and live insects, or for </w:t>
      </w:r>
      <w:r w:rsidRPr="00A324D5">
        <w:rPr>
          <w:i/>
        </w:rPr>
        <w:t>in vitro</w:t>
      </w:r>
      <w:r>
        <w:t xml:space="preserve"> assays, efficient methods are required to synthesise the chemically modified long dsRNA. In this chapter I have focussed on optimising </w:t>
      </w:r>
      <w:r w:rsidRPr="00F41690">
        <w:rPr>
          <w:i/>
        </w:rPr>
        <w:t>in vitro</w:t>
      </w:r>
      <w:r>
        <w:t xml:space="preserve"> transcription methods using phage RNA polymerases (T7 or SP6 RNA polymerases) in conjunction with a range of chemically modified nucleoside triphosphates to generate chemically modified dsRNAs.</w:t>
      </w:r>
    </w:p>
    <w:p w:rsidR="008953EC" w:rsidRDefault="008953EC" w:rsidP="008953EC">
      <w:pPr>
        <w:spacing w:line="360" w:lineRule="auto"/>
        <w:ind w:firstLine="284"/>
      </w:pPr>
    </w:p>
    <w:p w:rsidR="008953EC" w:rsidRDefault="008953EC" w:rsidP="008953EC">
      <w:pPr>
        <w:spacing w:line="360" w:lineRule="auto"/>
        <w:ind w:firstLine="284"/>
      </w:pPr>
      <w:r>
        <w:t xml:space="preserve"> In this chapter a range of chemically modified dsRNAs were successfully synthesised</w:t>
      </w:r>
      <w:r w:rsidRPr="00865B64">
        <w:t xml:space="preserve"> </w:t>
      </w:r>
      <w:r>
        <w:t xml:space="preserve">including dsRNA containing phosphorothioate, 2’-fluoro and 5-hydroxymethyl modifications. Optimisation of the </w:t>
      </w:r>
      <w:r w:rsidRPr="00F41690">
        <w:rPr>
          <w:i/>
        </w:rPr>
        <w:t>in vitro</w:t>
      </w:r>
      <w:r>
        <w:t xml:space="preserve"> transcription reactions for each type of chemically modified dsRNA was performed by varying a number of parameters including; the RNA polymerase used, DNA template concentration, and chemically modified NTP analogues. In addition, two alternative strategies were employed to generate the chemically modified dsRNA. One strategy involved synthesising the corresponding ssRNAs in separate </w:t>
      </w:r>
      <w:r w:rsidRPr="00F41690">
        <w:rPr>
          <w:i/>
        </w:rPr>
        <w:t>in vitro</w:t>
      </w:r>
      <w:r>
        <w:t xml:space="preserve"> transcription reactions followed by annealing to form dsRNA. Alternatively synthesis of the corresponding dsRNA was performed in a single </w:t>
      </w:r>
      <w:r w:rsidRPr="00F41690">
        <w:rPr>
          <w:i/>
        </w:rPr>
        <w:t>in vitro</w:t>
      </w:r>
      <w:r>
        <w:t xml:space="preserve"> transcription reaction. Optimisation of the </w:t>
      </w:r>
      <w:r w:rsidRPr="00F41690">
        <w:rPr>
          <w:i/>
        </w:rPr>
        <w:t>in vitro</w:t>
      </w:r>
      <w:r>
        <w:t xml:space="preserve"> transcription reactions enabled the required quantities of the chemically modified dsRNA for a wide range of different dsRNAs to be generated for the downstream RNAi studies.</w:t>
      </w:r>
    </w:p>
    <w:p w:rsidR="008953EC" w:rsidRDefault="008953EC" w:rsidP="008953EC">
      <w:pPr>
        <w:spacing w:line="360" w:lineRule="auto"/>
        <w:ind w:firstLine="284"/>
      </w:pPr>
      <w:r>
        <w:t>For downstream quantitative RNAi studies, it is important that the chemically modified dsRNA has been correctly annealed, purified, and accurately quantified. Therefore</w:t>
      </w:r>
      <w:r w:rsidR="009D093D">
        <w:t>,</w:t>
      </w:r>
      <w:r>
        <w:t xml:space="preserve"> following synthesis of chemically modified dsRNA</w:t>
      </w:r>
      <w:r w:rsidR="009D093D">
        <w:t>,</w:t>
      </w:r>
      <w:r>
        <w:t xml:space="preserve"> a range of analytical approaches were used including gel electrophoresis and ion pair reverse phase chromatography</w:t>
      </w:r>
      <w:r w:rsidR="009D093D">
        <w:t>, in order</w:t>
      </w:r>
      <w:r>
        <w:t xml:space="preserve"> to analyse and validate the synthesis of the chemically modified dsRNA. Phosphorothioate, 2’-fluoro and 5-hydroxymethyl dsRNAs with various levels of chemical modification were successfully synthesised, purified, and quantified for downstream RNAi studies in insect cells and live insects.</w:t>
      </w:r>
    </w:p>
    <w:p w:rsidR="008953EC" w:rsidRDefault="008953EC" w:rsidP="008953EC">
      <w:pPr>
        <w:spacing w:line="360" w:lineRule="auto"/>
        <w:ind w:firstLine="284"/>
      </w:pPr>
    </w:p>
    <w:p w:rsidR="008953EC" w:rsidRDefault="008953EC" w:rsidP="008953EC">
      <w:pPr>
        <w:ind w:firstLine="284"/>
      </w:pPr>
    </w:p>
    <w:p w:rsidR="008953EC" w:rsidRDefault="008953EC" w:rsidP="008953EC"/>
    <w:p w:rsidR="008953EC" w:rsidRDefault="008953EC" w:rsidP="008953EC"/>
    <w:p w:rsidR="008953EC" w:rsidRDefault="008953EC" w:rsidP="008953EC"/>
    <w:p w:rsidR="008953EC" w:rsidRDefault="008953EC" w:rsidP="008953EC"/>
    <w:p w:rsidR="008953EC" w:rsidRDefault="008953EC" w:rsidP="008953EC"/>
    <w:p w:rsidR="008953EC" w:rsidRDefault="008953EC" w:rsidP="008953EC"/>
    <w:p w:rsidR="008953EC" w:rsidRDefault="008953EC" w:rsidP="008953EC">
      <w:pPr>
        <w:pStyle w:val="Heading2"/>
        <w:spacing w:line="360" w:lineRule="auto"/>
      </w:pPr>
      <w:bookmarkStart w:id="82" w:name="_Toc18832669"/>
      <w:bookmarkStart w:id="83" w:name="_Toc35333960"/>
      <w:r>
        <w:lastRenderedPageBreak/>
        <w:t>Introduction</w:t>
      </w:r>
      <w:bookmarkEnd w:id="82"/>
      <w:bookmarkEnd w:id="83"/>
    </w:p>
    <w:p w:rsidR="008953EC" w:rsidRDefault="008953EC" w:rsidP="008953EC">
      <w:pPr>
        <w:spacing w:line="360" w:lineRule="auto"/>
        <w:ind w:firstLine="284"/>
      </w:pPr>
      <w:r>
        <w:t xml:space="preserve">In order to produce long chemically modified dsRNAs for downstream RNAi studies, efficient synthesis methods are required. The efficiency and yield of the dsRNA production methods is particularly crucial when preparing </w:t>
      </w:r>
      <w:r w:rsidR="009D093D">
        <w:t xml:space="preserve">the </w:t>
      </w:r>
      <w:r>
        <w:t xml:space="preserve">large quantities of dsRNA required for live insect feeding experiments, where many hundreds of micrograms are required. </w:t>
      </w:r>
    </w:p>
    <w:p w:rsidR="008953EC" w:rsidRDefault="008953EC" w:rsidP="008953EC">
      <w:pPr>
        <w:spacing w:line="360" w:lineRule="auto"/>
        <w:ind w:firstLine="284"/>
      </w:pPr>
      <w:r w:rsidRPr="004118E8">
        <w:t xml:space="preserve">Unmodified or chemically modified siRNAs are usually produced by solid </w:t>
      </w:r>
      <w:r>
        <w:t>phase</w:t>
      </w:r>
      <w:r w:rsidRPr="004118E8">
        <w:t xml:space="preserve"> synthesis</w:t>
      </w:r>
      <w:r>
        <w:t xml:space="preserve">, and this method is effective for 21 nucleotide siRNAs </w:t>
      </w:r>
      <w:r w:rsidR="005C0E76">
        <w:fldChar w:fldCharType="begin" w:fldLock="1"/>
      </w:r>
      <w:r w:rsidR="00C57A7E">
        <w:instrText>ADDIN CSL_CITATION {"citationItems":[{"id":"ITEM-1","itemData":{"DOI":"10.1038/ncomms7317","ISSN":"2041-1723","abstract":"Therapeutic oligonucleotides can be made more stable by substituting their achiral phosphodiester groups for chiral phosphorothioate linkages. Here, the authors present a synthesis of phosphorothioated RNAs, where the activator controls strand stereochemistry, and also the activity of assembled siRNA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Communications","id":"ITEM-1","issue":"1","issued":{"date-parts":[["2015","12","6"]]},"page":"6317","publisher":"Nature Publishing Group","title":"Stereochemical bias introduced during RNA synthesis modulates the activity of phosphorothioate siRNAs","type":"article-journal","volume":"6"},"uris":["http://www.mendeley.com/documents/?uuid=94ae2c08-2a07-3a78-8de6-1074a96ed422"]}],"mendeley":{"formattedCitation":"(Jahns &lt;i&gt;et al.&lt;/i&gt;, 2015b)","plainTextFormattedCitation":"(Jahns et al., 2015b)","previouslyFormattedCitation":"(Jahns &lt;i&gt;et al.&lt;/i&gt;, 2015)"},"properties":{"noteIndex":0},"schema":"https://github.com/citation-style-language/schema/raw/master/csl-citation.json"}</w:instrText>
      </w:r>
      <w:r w:rsidR="005C0E76">
        <w:fldChar w:fldCharType="separate"/>
      </w:r>
      <w:r w:rsidR="00C57A7E" w:rsidRPr="00C57A7E">
        <w:rPr>
          <w:noProof/>
        </w:rPr>
        <w:t xml:space="preserve">(Jahns </w:t>
      </w:r>
      <w:r w:rsidR="00C57A7E" w:rsidRPr="00C57A7E">
        <w:rPr>
          <w:i/>
          <w:noProof/>
        </w:rPr>
        <w:t>et al.</w:t>
      </w:r>
      <w:r w:rsidR="00C57A7E" w:rsidRPr="00C57A7E">
        <w:rPr>
          <w:noProof/>
        </w:rPr>
        <w:t>, 2015b)</w:t>
      </w:r>
      <w:r w:rsidR="005C0E76">
        <w:fldChar w:fldCharType="end"/>
      </w:r>
      <w:r>
        <w:t xml:space="preserve">. However, this approach is costly </w:t>
      </w:r>
      <w:r w:rsidRPr="004118E8">
        <w:t>and inefficient for</w:t>
      </w:r>
      <w:r>
        <w:t xml:space="preserve"> long RNAs. Enzymatic synthesis methods involving phage RNA polymerases such as T7 or SP6 RNA polymerases, are widely used to successfully synthesise long </w:t>
      </w:r>
      <w:r w:rsidRPr="00B63C63">
        <w:t xml:space="preserve">RNAs both </w:t>
      </w:r>
      <w:r w:rsidRPr="0089772F">
        <w:rPr>
          <w:i/>
        </w:rPr>
        <w:t>in vitro</w:t>
      </w:r>
      <w:r w:rsidRPr="00B63C63">
        <w:t xml:space="preserve"> and </w:t>
      </w:r>
      <w:r w:rsidRPr="0089772F">
        <w:rPr>
          <w:i/>
        </w:rPr>
        <w:t>in vivo</w:t>
      </w:r>
      <w:r w:rsidRPr="00B63C63">
        <w:t xml:space="preserve"> </w:t>
      </w:r>
      <w:r w:rsidR="005C0E76" w:rsidRPr="00B63C63">
        <w:fldChar w:fldCharType="begin" w:fldLock="1"/>
      </w:r>
      <w:r>
        <w:instrText>ADDIN CSL_CITATION {"citationItems":[{"id":"ITEM-1","itemData":{"DOI":"10.1016/J.CHROMA.2016.12.062","ISSN":"0021-9673","abstract":"RNA interference has provided valuable insight into a wide range of biological systems and is a powerful tool for the analysis of gene function. The exploitation of this pathway to block the expression of specific gene targets holds considerable promise for the development of novel RNAi-based insect management strategies. In addition, there are a wide number of future potential applications of RNAi to control agricultural insect pests as well as its use for prevention of diseases in beneficial insects. The potential to synthesise large quantities of dsRNA by in-vitro transcription or in bacterial systems for RNA interference applications has generated significant demand for the development and application of high throughput analytical tools for the rapid extraction, purification and analysis of dsRNA. Here we have developed analytical methods that enable the rapid purification of dsRNA from associated impurities from bacterial cells in conjunction with downstream analyses. We have optimised TRIzol extractions in conjunction with a single step protocol to remove contaminating DNA and ssRNA, using RNase T1/DNase I digestion under high-salt conditions in combination with solid phase extraction to purify the dsRNA. In addition, we have utilised and developed IP RP HPLC for the rapid, high resolution analysis of the dsRNA. Furthermore, we have optimised base-specific cleavage of dsRNA by RNase A and developed a novel method utilising RNase T1 for RNase mass mapping approaches to further characterise the dsRNA using liquid chromatography interfaced with mass spectrometry.","author":[{"dropping-particle":"","family":"Nwokeoji","given":"Alison O.","non-dropping-particle":"","parse-names":false,"suffix":""},{"dropping-particle":"","family":"Kung","given":"An-Wen","non-dropping-particle":"","parse-names":false,"suffix":""},{"dropping-particle":"","family":"Kilby","given":"Peter M.","non-dropping-particle":"","parse-names":false,"suffix":""},{"dropping-particle":"","family":"Portwood","given":"David E.","non-dropping-particle":"","parse-names":false,"suffix":""},{"dropping-particle":"","family":"Dickman","given":"Mark J.","non-dropping-particle":"","parse-names":false,"suffix":""}],"container-title":"Journal of Chromatography A","id":"ITEM-1","issued":{"date-parts":[["2017","2","10"]]},"page":"14-25","publisher":"Elsevier","title":"Purification and characterisation of dsRNA using ion pair reverse phase chromatography and mass spectrometry","type":"article-journal","volume":"1484"},"uris":["http://www.mendeley.com/documents/?uuid=0b38aa1e-8206-3f4e-8223-acbcee3eba0f"]},{"id":"ITEM-2","itemData":{"DOI":"10.1093/nar/19.3.547","ISSN":"0305-1048","PMID":"2011526","abstract":"Phosphorothioate-containing RNAs were generated by transcription of coliphage T7 DNA using the Sp diastereomers of ribonucleoside 5'-O-(1-thiotriphosphates) and T7 RNA polymerase. RNAs in which a single nucleotide was substituted by the corresponding nucleoside phosphorothioate functioned as mRNA in the cell-free translation systems prepared from Escherichia coli and from an extreme thermophilic bacterium, Thermus thermophilus. This substitution increased the efficiency of protein synthesis by stabilizing the mRNAs in these systems. As the proportion of substituted nucleotides was increased, their mRNA activity was decreased accordingly. As judged from the analysis by SDS-polyacrylamide gel-electrophoresis, the proteins synthesized using phosphorothioate-containing mRNAs as template were identical to those obtained with unsubstituted mRNAs. However, larger proteins which were barely detectable when unsubstituted mRNA was used were well represented when phosphorothioate-RNA was used instead. The advantages in using the phosphorothioate-mRNAs in the in vitro translation systems are discussed.","author":[{"dropping-particle":"","family":"Ueda","given":"T","non-dropping-particle":"","parse-names":false,"suffix":""},{"dropping-particle":"","family":"Tohda","given":"H","non-dropping-particle":"","parse-names":false,"suffix":""},{"dropping-particle":"","family":"Chikazumi","given":"N","non-dropping-particle":"","parse-names":false,"suffix":""},{"dropping-particle":"","family":"Eckstein","given":"F","non-dropping-particle":"","parse-names":false,"suffix":""},{"dropping-particle":"","family":"Watanabe","given":"K","non-dropping-particle":"","parse-names":false,"suffix":""}],"container-title":"Nucleic acids research","id":"ITEM-2","issue":"3","issued":{"date-parts":[["1991","2","11"]]},"page":"547-52","publisher":"Oxford University Press","title":"Phosphorothioate-containing RNAs show mRNA activity in the prokaryotic translation systems in vitro.","type":"article-journal","volume":"19"},"uris":["http://www.mendeley.com/documents/?uuid=6cad9b9b-7a29-322d-be43-0195192c1308"]}],"mendeley":{"formattedCitation":"(Ueda &lt;i&gt;et al.&lt;/i&gt;, 1991; Nwokeoji, Kung, &lt;i&gt;et al.&lt;/i&gt;, 2017)","plainTextFormattedCitation":"(Ueda et al., 1991; Nwokeoji, Kung, et al., 2017)","previouslyFormattedCitation":"(Ueda &lt;i&gt;et al.&lt;/i&gt;, 1991; Nwokeoji, Kung, &lt;i&gt;et al.&lt;/i&gt;, 2017)"},"properties":{"noteIndex":0},"schema":"https://github.com/citation-style-language/schema/raw/master/csl-citation.json"}</w:instrText>
      </w:r>
      <w:r w:rsidR="005C0E76" w:rsidRPr="00B63C63">
        <w:fldChar w:fldCharType="separate"/>
      </w:r>
      <w:r w:rsidRPr="00B63C63">
        <w:rPr>
          <w:noProof/>
        </w:rPr>
        <w:t xml:space="preserve">(Ueda </w:t>
      </w:r>
      <w:r w:rsidRPr="00B63C63">
        <w:rPr>
          <w:i/>
          <w:noProof/>
        </w:rPr>
        <w:t>et al.</w:t>
      </w:r>
      <w:r w:rsidRPr="00B63C63">
        <w:rPr>
          <w:noProof/>
        </w:rPr>
        <w:t xml:space="preserve">, 1991; Nwokeoji, Kung, </w:t>
      </w:r>
      <w:r w:rsidRPr="00B63C63">
        <w:rPr>
          <w:i/>
          <w:noProof/>
        </w:rPr>
        <w:t>et al.</w:t>
      </w:r>
      <w:r w:rsidRPr="00B63C63">
        <w:rPr>
          <w:noProof/>
        </w:rPr>
        <w:t>, 2017)</w:t>
      </w:r>
      <w:r w:rsidR="005C0E76" w:rsidRPr="00B63C63">
        <w:fldChar w:fldCharType="end"/>
      </w:r>
      <w:r w:rsidRPr="00B63C63">
        <w:t xml:space="preserve"> including</w:t>
      </w:r>
      <w:r>
        <w:t xml:space="preserve"> chemically modified</w:t>
      </w:r>
      <w:r w:rsidRPr="00B63C63">
        <w:t xml:space="preserve"> long RNAs </w:t>
      </w:r>
      <w:r w:rsidR="005C0E76">
        <w:fldChar w:fldCharType="begin" w:fldLock="1"/>
      </w:r>
      <w:r>
        <w:instrText>ADDIN CSL_CITATION {"citationItems":[{"id":"ITEM-1","itemData":{"ISBN":"0305-1048","ISSN":"0305-1048","PMID":"7541130","abstract":"For the first time mosaic nucleic acids composed of 50% RNA and 50% DNA can be obtained as transcripts with T7 RNA polymerase. Two NTPs could be replaced simultaneously in a transcription reaction. This means more than 40 deoxynucleotides were inserted in one transcript. Previously, a maximum of two deoxynucleotides could be incorporated and 2'-O-methyl-NTPs were not substrates at all. We obtained reasonable transcript yields with a maximal level of 99% 2'-O-methyl-NTPs, and the products contained up to 58% 2'-O-methylnucleotides at more than 20 positions. Sequence-specific nucleotide incorporation was monitored by sequence ladders (partial alkali or iodine cleavage). No base misincorporations were detected with 100% dGTP, dCTP and dTTP, and with partial incorporation of dATP alpha S, 2'-O-methyl-GTP alpha S and 2'-O-methyl-CTP alpha S, whereas they were found with dATP, 2'-O-methyl-ATP alpha S and 2'-O-methyl-UTP alpha S. Quantitative data allow predetermined modification levels of partially modified transcripts. Highly modified transcripts can be used for structural and functional studies, in modification interference approaches and for in vitro evolution procedures. Modification interference studies revealed a small number of important phosphate and ribose moieties in RNase P substrates. The conversion of T7 RNA polymerase to a DNA polymerase extends the observation that there is no absolute distinction between RNA and DNA polymerases. Accordingly, an adapted concept of a primordial RNA world is presented.","author":[{"dropping-particle":"","family":"Conrad","given":"F","non-dropping-particle":"","parse-names":false,"suffix":""},{"dropping-particle":"","family":"Hanne","given":"a","non-dropping-particle":"","parse-names":false,"suffix":""},{"dropping-particle":"","family":"Gaur","given":"R K","non-dropping-particle":"","parse-names":false,"suffix":""},{"dropping-particle":"","family":"Krupp","given":"G","non-dropping-particle":"","parse-names":false,"suffix":""}],"container-title":"Nucleic acids research","id":"ITEM-1","issue":"11","issued":{"date-parts":[["1995"]]},"page":"1845-53","title":"Enzymatic synthesis of 2'-modified nucleic acids: identification of important phosphate and ribose moieties in RNase P substrates.","type":"article-journal","volume":"23"},"uris":["http://www.mendeley.com/documents/?uuid=e974ed1e-0032-47fb-aeae-f019ee56bb19"]},{"id":"ITEM-2","itemData":{"DOI":"10.1093/nar/19.3.547","ISSN":"0305-1048","PMID":"2011526","abstract":"Phosphorothioate-containing RNAs were generated by transcription of coliphage T7 DNA using the Sp diastereomers of ribonucleoside 5'-O-(1-thiotriphosphates) and T7 RNA polymerase. RNAs in which a single nucleotide was substituted by the corresponding nucleoside phosphorothioate functioned as mRNA in the cell-free translation systems prepared from Escherichia coli and from an extreme thermophilic bacterium, Thermus thermophilus. This substitution increased the efficiency of protein synthesis by stabilizing the mRNAs in these systems. As the proportion of substituted nucleotides was increased, their mRNA activity was decreased accordingly. As judged from the analysis by SDS-polyacrylamide gel-electrophoresis, the proteins synthesized using phosphorothioate-containing mRNAs as template were identical to those obtained with unsubstituted mRNAs. However, larger proteins which were barely detectable when unsubstituted mRNA was used were well represented when phosphorothioate-RNA was used instead. The advantages in using the phosphorothioate-mRNAs in the in vitro translation systems are discussed.","author":[{"dropping-particle":"","family":"Ueda","given":"T","non-dropping-particle":"","parse-names":false,"suffix":""},{"dropping-particle":"","family":"Tohda","given":"H","non-dropping-particle":"","parse-names":false,"suffix":""},{"dropping-particle":"","family":"Chikazumi","given":"N","non-dropping-particle":"","parse-names":false,"suffix":""},{"dropping-particle":"","family":"Eckstein","given":"F","non-dropping-particle":"","parse-names":false,"suffix":""},{"dropping-particle":"","family":"Watanabe","given":"K","non-dropping-particle":"","parse-names":false,"suffix":""}],"container-title":"Nucleic acids research","id":"ITEM-2","issue":"3","issued":{"date-parts":[["1991","2","11"]]},"page":"547-52","publisher":"Oxford University Press","title":"Phosphorothioate-containing RNAs show mRNA activity in the prokaryotic translation systems in vitro.","type":"article-journal","volume":"19"},"uris":["http://www.mendeley.com/documents/?uuid=6cad9b9b-7a29-322d-be43-0195192c1308"]},{"id":"ITEM-3","itemData":{"DOI":"10.1002/0471142700.nc0906s56","ISSN":"1934-9289","PMID":"25606981","abstract":"Incorporation of modified nucleotides into in vitro RNA or DNA selections offers many potential advantages, such as the increased stability of selected nucleic acids against nuclease degradation, improved affinities, expanded chemical functionality, and increased library diversity. This unit provides useful information and protocols for in vitro selection using modified nucleotides. It includes a discussion of when to use modified nucleotides; protocols for evaluating and optimizing transcription reactions, as well as confirming the incorporation of the modified nucleotides; protocols for evaluating modified nucleotide transcripts as template in reverse transcription reactions; protocols for the evaluation of the fidelity of modified nucleotides in the replication and the regeneration of the pool; and a protocol to compare modified nucleotide pools and selection conditions.","author":[{"dropping-particle":"","family":"Stovall","given":"Gwendolyn M","non-dropping-particle":"","parse-names":false,"suffix":""},{"dropping-particle":"","family":"Bedenbaugh","given":"Robert S","non-dropping-particle":"","parse-names":false,"suffix":""},{"dropping-particle":"","family":"Singh","given":"Shruti","non-dropping-particle":"","parse-names":false,"suffix":""},{"dropping-particle":"","family":"Meyer","given":"Adam J","non-dropping-particle":"","parse-names":false,"suffix":""},{"dropping-particle":"","family":"Hatala","given":"Paul J","non-dropping-particle":"","parse-names":false,"suffix":""},{"dropping-particle":"","family":"Ellington","given":"Andrew D","non-dropping-particle":"","parse-names":false,"suffix":""},{"dropping-particle":"","family":"Hall","given":"Bradley","non-dropping-particle":"","parse-names":false,"suffix":""}],"container-title":"Current protocols in nucleic acid chemistry","id":"ITEM-3","issued":{"date-parts":[["2014","3","26"]]},"page":"9.6.1-33","publisher":"NIH Public Access","title":"In vitro selection using modified or unnatural nucleotides.","type":"article-journal","volume":"56"},"uris":["http://www.mendeley.com/documents/?uuid=08e0e53d-3451-3af6-9266-3feb1a15779e"]},{"id":"ITEM-4","itemData":{"author":[{"dropping-particle":"","family":"Meis","given":"Judith E.","non-dropping-particle":"","parse-names":false,"suffix":""},{"dropping-particle":"","family":"Chen","given":"FengLing","non-dropping-particle":"","parse-names":false,"suffix":""}],"container-title":"Epicentre Forum","id":"ITEM-4","issue":"1","issued":{"date-parts":[["2002"]]},"page":"10-11","title":"In Vitro Synthesis of 2’-Fluoro-Modified RNA Transcripts That Are Completely Resistant to RNase A Digestion Using the DuraScribe™ T7 Transcription Kit","type":"article-journal","volume":"9"},"uris":["http://www.mendeley.com/documents/?uuid=60883151-7297-3810-81e3-7f366b9b0a1b"]}],"mendeley":{"formattedCitation":"(Ueda &lt;i&gt;et al.&lt;/i&gt;, 1991; Conrad &lt;i&gt;et al.&lt;/i&gt;, 1995; Meis and Chen, 2002; Stovall &lt;i&gt;et al.&lt;/i&gt;, 2014)","plainTextFormattedCitation":"(Ueda et al., 1991; Conrad et al., 1995; Meis and Chen, 2002; Stovall et al., 2014)","previouslyFormattedCitation":"(Ueda &lt;i&gt;et al.&lt;/i&gt;, 1991; Conrad &lt;i&gt;et al.&lt;/i&gt;, 1995; Meis and Chen, 2002; Stovall &lt;i&gt;et al.&lt;/i&gt;, 2014)"},"properties":{"noteIndex":0},"schema":"https://github.com/citation-style-language/schema/raw/master/csl-citation.json"}</w:instrText>
      </w:r>
      <w:r w:rsidR="005C0E76">
        <w:fldChar w:fldCharType="separate"/>
      </w:r>
      <w:r w:rsidRPr="004118E8">
        <w:rPr>
          <w:noProof/>
        </w:rPr>
        <w:t xml:space="preserve">(Ueda </w:t>
      </w:r>
      <w:r w:rsidRPr="004118E8">
        <w:rPr>
          <w:i/>
          <w:noProof/>
        </w:rPr>
        <w:t>et al.</w:t>
      </w:r>
      <w:r w:rsidRPr="004118E8">
        <w:rPr>
          <w:noProof/>
        </w:rPr>
        <w:t xml:space="preserve">, 1991; Conrad </w:t>
      </w:r>
      <w:r w:rsidRPr="004118E8">
        <w:rPr>
          <w:i/>
          <w:noProof/>
        </w:rPr>
        <w:t>et al.</w:t>
      </w:r>
      <w:r w:rsidRPr="004118E8">
        <w:rPr>
          <w:noProof/>
        </w:rPr>
        <w:t xml:space="preserve">, 1995; Meis and Chen, 2002; Stovall </w:t>
      </w:r>
      <w:r w:rsidRPr="004118E8">
        <w:rPr>
          <w:i/>
          <w:noProof/>
        </w:rPr>
        <w:t>et al.</w:t>
      </w:r>
      <w:r w:rsidRPr="004118E8">
        <w:rPr>
          <w:noProof/>
        </w:rPr>
        <w:t>, 2014)</w:t>
      </w:r>
      <w:r w:rsidR="005C0E76">
        <w:fldChar w:fldCharType="end"/>
      </w:r>
      <w:r>
        <w:t xml:space="preserve">. Therefore, this method was chosen for the production of unmodified and chemically modified long RNAs. </w:t>
      </w:r>
    </w:p>
    <w:p w:rsidR="008953EC" w:rsidRDefault="008953EC" w:rsidP="008953EC">
      <w:pPr>
        <w:spacing w:line="360" w:lineRule="auto"/>
        <w:ind w:firstLine="284"/>
      </w:pPr>
    </w:p>
    <w:p w:rsidR="008953EC" w:rsidRDefault="008953EC" w:rsidP="008953EC">
      <w:pPr>
        <w:spacing w:line="360" w:lineRule="auto"/>
        <w:ind w:firstLine="284"/>
      </w:pPr>
      <w:r>
        <w:t>However, whilst the method has previously been demonstrated to be successful, there were challenges to be overcome in order to synthesise the chemically modified RNA</w:t>
      </w:r>
      <w:r w:rsidR="009D093D">
        <w:t>s</w:t>
      </w:r>
      <w:r>
        <w:t>. RNA polymerases demonstrate reduced incorporation efficiency of chemically modified</w:t>
      </w:r>
      <w:r w:rsidR="009D093D">
        <w:t>/non-natural</w:t>
      </w:r>
      <w:r>
        <w:t xml:space="preserve"> nucleotide triphosphates (NTPs) compared to their unmodified NTP counterparts </w:t>
      </w:r>
      <w:r w:rsidR="005C0E76">
        <w:fldChar w:fldCharType="begin" w:fldLock="1"/>
      </w:r>
      <w:r>
        <w:instrText>ADDIN CSL_CITATION {"citationItems":[{"id":"ITEM-1","itemData":{"DOI":"10.1038/nbt1001","ISSN":"1087-0156","abstract":"Modified RNA and DNA molecules have novel properties that their natural counterparts do not possess, such as better resistance to degradation in cells and improved pharmacokinetic behavior1,2. In particular, modifications at the 2′-OH of ribose are important for enhancing the stability of RNA3,4. Unfortunately, it is difficult to enzymatically synthesize modified nucleic acids of any substantial length because natural polymerases incorporate modified nucleotides inefficiently. Previously, we reported an activity-based method for selecting functional T7 RNA polymerase variants based on the ability of a T7 RNA polymerase to reproduce itself5. Here, we have modified the original procedure to identify polymerases that can efficiently incorporate multiple modified nucleotides at the 2′ position of the ribose. Most important, our method allows the selection of polymerases that have good processivities and can be combined to simultaneously incorporate several different modified nucleotides in a transcript.","author":[{"dropping-particle":"","family":"Chelliserrykattil","given":"Jijumon","non-dropping-particle":"","parse-names":false,"suffix":""},{"dropping-particle":"","family":"Ellington","given":"Andrew D","non-dropping-particle":"","parse-names":false,"suffix":""}],"container-title":"Nature Biotechnology","id":"ITEM-1","issue":"9","issued":{"date-parts":[["2004","9","8"]]},"page":"1155-1160","publisher":"Nature Publishing Group","title":"Evolution of a T7 RNA polymerase variant that transcribes 2′-O-methyl RNA","type":"article-journal","volume":"22"},"uris":["http://www.mendeley.com/documents/?uuid=64cd86cc-b998-3a43-b35b-174f554bd246"]}],"mendeley":{"formattedCitation":"(Chelliserrykattil and Ellington, 2004)","plainTextFormattedCitation":"(Chelliserrykattil and Ellington, 2004)","previouslyFormattedCitation":"(Chelliserrykattil and Ellington, 2004)"},"properties":{"noteIndex":0},"schema":"https://github.com/citation-style-language/schema/raw/master/csl-citation.json"}</w:instrText>
      </w:r>
      <w:r w:rsidR="005C0E76">
        <w:fldChar w:fldCharType="separate"/>
      </w:r>
      <w:r w:rsidRPr="00E16886">
        <w:rPr>
          <w:noProof/>
        </w:rPr>
        <w:t>(Chelliserrykattil and Ellington, 2004)</w:t>
      </w:r>
      <w:r w:rsidR="005C0E76">
        <w:fldChar w:fldCharType="end"/>
      </w:r>
      <w:r>
        <w:t xml:space="preserve">. In addition, in order to analyse the effects of the chemical modifications on RNAi efficacy using quantitative RNAi studies, it is important that all dsRNAs generated are purified and accurately quantified. Therefore, for quantification of nucleic acids using Nanodrop UV spectrophotometry, it is important that the dsRNA produced via </w:t>
      </w:r>
      <w:r w:rsidRPr="00A324D5">
        <w:rPr>
          <w:i/>
        </w:rPr>
        <w:t>in</w:t>
      </w:r>
      <w:r>
        <w:t xml:space="preserve"> </w:t>
      </w:r>
      <w:r w:rsidRPr="00BA4BD6">
        <w:rPr>
          <w:i/>
        </w:rPr>
        <w:t xml:space="preserve">vitro </w:t>
      </w:r>
      <w:r w:rsidRPr="00A324D5">
        <w:t xml:space="preserve">transcription </w:t>
      </w:r>
      <w:r>
        <w:t>is purified prior to UV spectrophotometry</w:t>
      </w:r>
      <w:r w:rsidR="004870F7">
        <w:t>, in order</w:t>
      </w:r>
      <w:r>
        <w:t xml:space="preserve"> to remove unincorporated NTPs and ssRNA/DNA contaminants that will affect accurate quantification. In addition, following synthesis of the chemically modified dsRNA, it is important to further characterise the dsRNA to validate the presence of the chemical modifications</w:t>
      </w:r>
      <w:r w:rsidR="004870F7">
        <w:t xml:space="preserve"> in the final RNA product,</w:t>
      </w:r>
      <w:r>
        <w:t xml:space="preserve"> and assess the purity of the dsRNA following any downstream purifications. Ion pair reverse phase high performance liquid chromatography (IP RP HPLC) was selected as an analytical technique as this method has previously been validated for analysis of RNA </w:t>
      </w:r>
      <w:r w:rsidR="005C0E76">
        <w:fldChar w:fldCharType="begin" w:fldLock="1"/>
      </w:r>
      <w:r>
        <w:instrText>ADDIN CSL_CITATION {"citationItems":[{"id":"ITEM-1","itemData":{"ISSN":"1362-4962","PMID":"11139637","abstract":"Ion-pair reversed-phase high performance liquid chromatography (IP RP HPLC) is presented as a new, superior method for the analysis of RNA. IP RP HPLC provides a fast and reliable alternative to classical methods of RNA analysis, including separation of different RNA species, quantification and purification. RNA is stable under the analysis conditions used; degradation of RNA during the analyses was not observed. The versatility of IP RP HPLC for RNA analysis is demonstrated. Components of an RNA ladder, ranging in size from 155 to 1770 nt, were resolved. RNA transcripts of up to 5219 nt were analyzed, their integrity determined and they were quantified and purified. Purification of mRNA from total RNA is described, separating mouse rRNA from poly(A)(+) mRNA. IP RP HPLC is also suitable for the separation and purification of DIG-labeled from unlabeled RNA. RNA purified by IP RP HPLC exhibits improved stability.","author":[{"dropping-particle":"","family":"Azarani","given":"A","non-dropping-particle":"","parse-names":false,"suffix":""},{"dropping-particle":"","family":"Hecker","given":"K H","non-dropping-particle":"","parse-names":false,"suffix":""}],"container-title":"Nucleic acids research","id":"ITEM-1","issue":"2","issued":{"date-parts":[["2001","1","15"]]},"page":"E7","publisher":"Oxford University Press","title":"RNA analysis by ion-pair reversed-phase high performance liquid chromatography.","type":"article-journal","volume":"29"},"uris":["http://www.mendeley.com/documents/?uuid=56ffbd4c-77ea-3738-8289-9cfdb795eb9c"]},{"id":"ITEM-2","itemData":{"DOI":"10.1016/J.CHROMA.2016.12.062","ISSN":"0021-9673","abstract":"RNA interference has provided valuable insight into a wide range of biological systems and is a powerful tool for the analysis of gene function. The exploitation of this pathway to block the expression of specific gene targets holds considerable promise for the development of novel RNAi-based insect management strategies. In addition, there are a wide number of future potential applications of RNAi to control agricultural insect pests as well as its use for prevention of diseases in beneficial insects. The potential to synthesise large quantities of dsRNA by in-vitro transcription or in bacterial systems for RNA interference applications has generated significant demand for the development and application of high throughput analytical tools for the rapid extraction, purification and analysis of dsRNA. Here we have developed analytical methods that enable the rapid purification of dsRNA from associated impurities from bacterial cells in conjunction with downstream analyses. We have optimised TRIzol extractions in conjunction with a single step protocol to remove contaminating DNA and ssRNA, using RNase T1/DNase I digestion under high-salt conditions in combination with solid phase extraction to purify the dsRNA. In addition, we have utilised and developed IP RP HPLC for the rapid, high resolution analysis of the dsRNA. Furthermore, we have optimised base-specific cleavage of dsRNA by RNase A and developed a novel method utilising RNase T1 for RNase mass mapping approaches to further characterise the dsRNA using liquid chromatography interfaced with mass spectrometry.","author":[{"dropping-particle":"","family":"Nwokeoji","given":"Alison O.","non-dropping-particle":"","parse-names":false,"suffix":""},{"dropping-particle":"","family":"Kung","given":"An-Wen","non-dropping-particle":"","parse-names":false,"suffix":""},{"dropping-particle":"","family":"Kilby","given":"Peter M.","non-dropping-particle":"","parse-names":false,"suffix":""},{"dropping-particle":"","family":"Portwood","given":"David E.","non-dropping-particle":"","parse-names":false,"suffix":""},{"dropping-particle":"","family":"Dickman","given":"Mark J.","non-dropping-particle":"","parse-names":false,"suffix":""}],"container-title":"Journal of Chromatography A","id":"ITEM-2","issued":{"date-parts":[["2017","2","10"]]},"page":"14-25","publisher":"Elsevier","title":"Purification and characterisation of dsRNA using ion pair reverse phase chromatography and mass spectrometry","type":"article-journal","volume":"1484"},"uris":["http://www.mendeley.com/documents/?uuid=0b38aa1e-8206-3f4e-8223-acbcee3eba0f"]}],"mendeley":{"formattedCitation":"(Azarani and Hecker, 2001; Nwokeoji, Kung, &lt;i&gt;et al.&lt;/i&gt;, 2017)","plainTextFormattedCitation":"(Azarani and Hecker, 2001; Nwokeoji, Kung, et al., 2017)","previouslyFormattedCitation":"(Azarani and Hecker, 2001; Nwokeoji, Kung, &lt;i&gt;et al.&lt;/i&gt;, 2017)"},"properties":{"noteIndex":0},"schema":"https://github.com/citation-style-language/schema/raw/master/csl-citation.json"}</w:instrText>
      </w:r>
      <w:r w:rsidR="005C0E76">
        <w:fldChar w:fldCharType="separate"/>
      </w:r>
      <w:r w:rsidRPr="00A75A95">
        <w:rPr>
          <w:noProof/>
        </w:rPr>
        <w:t xml:space="preserve">(Azarani and Hecker, 2001; Nwokeoji, Kung, </w:t>
      </w:r>
      <w:r w:rsidRPr="00A75A95">
        <w:rPr>
          <w:i/>
          <w:noProof/>
        </w:rPr>
        <w:t>et al.</w:t>
      </w:r>
      <w:r w:rsidRPr="00A75A95">
        <w:rPr>
          <w:noProof/>
        </w:rPr>
        <w:t>, 2017)</w:t>
      </w:r>
      <w:r w:rsidR="005C0E76">
        <w:fldChar w:fldCharType="end"/>
      </w:r>
      <w:r>
        <w:t xml:space="preserve">. </w:t>
      </w:r>
    </w:p>
    <w:p w:rsidR="008953EC" w:rsidRPr="00073731" w:rsidRDefault="008953EC" w:rsidP="008953EC">
      <w:pPr>
        <w:spacing w:line="360" w:lineRule="auto"/>
        <w:ind w:firstLine="284"/>
        <w:rPr>
          <w:color w:val="7030A0"/>
        </w:rPr>
      </w:pPr>
    </w:p>
    <w:p w:rsidR="008953EC" w:rsidRDefault="008953EC" w:rsidP="008953EC">
      <w:pPr>
        <w:spacing w:line="360" w:lineRule="auto"/>
        <w:ind w:firstLine="284"/>
      </w:pPr>
      <w:r w:rsidRPr="00832F68">
        <w:t>In this Chapter, a range of dsRNAs were selected to be synthesised for use</w:t>
      </w:r>
      <w:r>
        <w:t xml:space="preserve"> in</w:t>
      </w:r>
      <w:r w:rsidRPr="00832F68">
        <w:t xml:space="preserve"> </w:t>
      </w:r>
      <w:r>
        <w:t xml:space="preserve">RNAi assays in both insect cell cultures and live insects (see Chapters 5 and 6). This chapter describes the process of </w:t>
      </w:r>
      <w:r w:rsidRPr="00360EC1">
        <w:t>selecting suitable dsRNAs for use in the RNAi assays, and</w:t>
      </w:r>
      <w:r>
        <w:t xml:space="preserve"> </w:t>
      </w:r>
      <w:r w:rsidRPr="00832F68">
        <w:t xml:space="preserve">the generation of DNA templates that were used in subsequent </w:t>
      </w:r>
      <w:r w:rsidRPr="00BA4BD6">
        <w:rPr>
          <w:i/>
        </w:rPr>
        <w:t>in vitro</w:t>
      </w:r>
      <w:r w:rsidRPr="00832F68">
        <w:t xml:space="preserve"> transcription reactions to produce the dsRNA.  In addition</w:t>
      </w:r>
      <w:r>
        <w:t xml:space="preserve">, optimisation of the synthesis of a range of chemically modified ssRNAs and dsRNAs by IVT was performed. This </w:t>
      </w:r>
      <w:r w:rsidRPr="00ED2E5F">
        <w:lastRenderedPageBreak/>
        <w:t xml:space="preserve">chapter focuses on synthesis of dsRNA containing a range of RNA chemical modifications (see section </w:t>
      </w:r>
      <w:r w:rsidR="00ED2E5F" w:rsidRPr="00ED2E5F">
        <w:t>1.5</w:t>
      </w:r>
      <w:r w:rsidRPr="00ED2E5F">
        <w:t>). These included phosphorothioate (PS) modifications of the phosphodiester backbone, 2’-fluoro (2’F) modifications of the ribose sugar, and 5-hydroxymethyl/glucosylated hydroxymethyl nucleobase modifications (see figure 3.1). Finally</w:t>
      </w:r>
      <w:r>
        <w:t>,</w:t>
      </w:r>
      <w:r w:rsidRPr="00832F68">
        <w:t xml:space="preserve"> all dsRNAs generated were purified </w:t>
      </w:r>
      <w:r>
        <w:t>and analysed using both gel electrophoresis and ion pair reverse phase HPLC prior to quantification using Nanodrop UV spectrophotometry.</w:t>
      </w:r>
    </w:p>
    <w:p w:rsidR="002C588B" w:rsidRDefault="002C588B" w:rsidP="002C588B">
      <w:pPr>
        <w:keepNext/>
        <w:spacing w:line="360" w:lineRule="auto"/>
        <w:ind w:firstLine="284"/>
        <w:jc w:val="center"/>
      </w:pPr>
      <w:r>
        <w:rPr>
          <w:noProof/>
          <w:lang w:eastAsia="en-GB"/>
        </w:rPr>
        <w:drawing>
          <wp:inline distT="0" distB="0" distL="0" distR="0">
            <wp:extent cx="4540768" cy="6210300"/>
            <wp:effectExtent l="0" t="0" r="0" b="0"/>
            <wp:docPr id="16" name="Picture 1" descr="C:\Users\John D Howard\Desktop\University\PhD\Thesis &amp; Papers - Data, Diagrams, Drafts\The Actual Thesis (OMFG WTF HOW)\Diagrams converted to pictures\Main Figure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D Howard\Desktop\University\PhD\Thesis &amp; Papers - Data, Diagrams, Drafts\The Actual Thesis (OMFG WTF HOW)\Diagrams converted to pictures\Main Figures\3.1.png"/>
                    <pic:cNvPicPr>
                      <a:picLocks noChangeAspect="1" noChangeArrowheads="1"/>
                    </pic:cNvPicPr>
                  </pic:nvPicPr>
                  <pic:blipFill>
                    <a:blip r:embed="rId18" cstate="print"/>
                    <a:srcRect/>
                    <a:stretch>
                      <a:fillRect/>
                    </a:stretch>
                  </pic:blipFill>
                  <pic:spPr bwMode="auto">
                    <a:xfrm>
                      <a:off x="0" y="0"/>
                      <a:ext cx="4551455" cy="6224916"/>
                    </a:xfrm>
                    <a:prstGeom prst="rect">
                      <a:avLst/>
                    </a:prstGeom>
                    <a:noFill/>
                    <a:ln w="9525">
                      <a:noFill/>
                      <a:miter lim="800000"/>
                      <a:headEnd/>
                      <a:tailEnd/>
                    </a:ln>
                  </pic:spPr>
                </pic:pic>
              </a:graphicData>
            </a:graphic>
          </wp:inline>
        </w:drawing>
      </w:r>
    </w:p>
    <w:p w:rsidR="00717CC7" w:rsidRDefault="002C588B" w:rsidP="00717CC7">
      <w:pPr>
        <w:pStyle w:val="Caption"/>
        <w:spacing w:after="0"/>
        <w:rPr>
          <w:color w:val="auto"/>
        </w:rPr>
      </w:pPr>
      <w:bookmarkStart w:id="84" w:name="_Toc20411630"/>
      <w:r w:rsidRPr="002C588B">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w:t>
      </w:r>
      <w:r w:rsidR="005C0E76">
        <w:rPr>
          <w:color w:val="auto"/>
        </w:rPr>
        <w:fldChar w:fldCharType="end"/>
      </w:r>
      <w:r w:rsidRPr="002C588B">
        <w:rPr>
          <w:color w:val="auto"/>
        </w:rPr>
        <w:t xml:space="preserve"> Structure of chemically modified nucleotides and nucleotide triphosphates</w:t>
      </w:r>
      <w:r w:rsidR="00717CC7">
        <w:rPr>
          <w:color w:val="auto"/>
        </w:rPr>
        <w:t>.</w:t>
      </w:r>
      <w:bookmarkEnd w:id="84"/>
      <w:r w:rsidRPr="002C588B">
        <w:rPr>
          <w:color w:val="auto"/>
        </w:rPr>
        <w:t xml:space="preserve"> </w:t>
      </w:r>
    </w:p>
    <w:p w:rsidR="002C588B" w:rsidRPr="002C588B" w:rsidRDefault="002C588B" w:rsidP="00717CC7">
      <w:pPr>
        <w:pStyle w:val="Caption"/>
        <w:spacing w:after="0"/>
        <w:rPr>
          <w:b w:val="0"/>
          <w:color w:val="auto"/>
        </w:rPr>
      </w:pPr>
      <w:r w:rsidRPr="002C588B">
        <w:rPr>
          <w:b w:val="0"/>
          <w:color w:val="auto"/>
        </w:rPr>
        <w:t>(a) Unmodified ribose-phosphate backbone unit and ribose-phosphate chemical modifications. (b) Rp and Sp diasterioisomers of Adenosine-5‘-O- (</w:t>
      </w:r>
      <w:r w:rsidRPr="002C588B">
        <w:rPr>
          <w:b w:val="0"/>
          <w:color w:val="auto"/>
          <w:lang w:val="el-GR"/>
        </w:rPr>
        <w:t>α-</w:t>
      </w:r>
      <w:r w:rsidRPr="002C588B">
        <w:rPr>
          <w:b w:val="0"/>
          <w:color w:val="auto"/>
        </w:rPr>
        <w:t xml:space="preserve">thiotriphosphate). The Sp diasterioisomer is the substrate utilised by RNA polymerases. Phosphorus atoms marked * are chiral centres. (c) 2’-deoxycytidine and  chemically modified 5-Hydroxymethyl 2’-deoxycytidine. (d) Cytidine and chemically modified 5-Hydroxymethyl cytidine (e) Reaction converting 5-Hydroxymethyl cytosine to Glucosyl-5-hydroxymethyl cytosine by T4 </w:t>
      </w:r>
      <w:r w:rsidRPr="002C588B">
        <w:rPr>
          <w:b w:val="0"/>
          <w:color w:val="auto"/>
          <w:lang w:val="el-GR"/>
        </w:rPr>
        <w:t>β</w:t>
      </w:r>
      <w:r w:rsidRPr="002C588B">
        <w:rPr>
          <w:b w:val="0"/>
          <w:color w:val="auto"/>
        </w:rPr>
        <w:t>-glucosyltransferase (T4-BGT) enzyme and uridine diphosphate glucose (UDPG) substrate.</w:t>
      </w:r>
    </w:p>
    <w:p w:rsidR="008953EC" w:rsidRDefault="008953EC" w:rsidP="008953EC">
      <w:pPr>
        <w:pStyle w:val="Heading2"/>
        <w:spacing w:line="360" w:lineRule="auto"/>
        <w:ind w:left="578" w:hanging="578"/>
      </w:pPr>
      <w:bookmarkStart w:id="85" w:name="_Toc18832670"/>
      <w:bookmarkStart w:id="86" w:name="_Toc507150618"/>
      <w:bookmarkStart w:id="87" w:name="_Toc35333961"/>
      <w:bookmarkEnd w:id="80"/>
      <w:r>
        <w:lastRenderedPageBreak/>
        <w:t>Results and Discussion</w:t>
      </w:r>
      <w:bookmarkEnd w:id="85"/>
      <w:bookmarkEnd w:id="87"/>
    </w:p>
    <w:p w:rsidR="008953EC" w:rsidRPr="00C74EF7" w:rsidRDefault="008953EC" w:rsidP="008953EC">
      <w:pPr>
        <w:pStyle w:val="Heading3"/>
        <w:spacing w:after="120"/>
        <w:ind w:left="1429"/>
      </w:pPr>
      <w:bookmarkStart w:id="88" w:name="_Toc18832671"/>
      <w:bookmarkStart w:id="89" w:name="_Toc35333962"/>
      <w:r w:rsidRPr="00C74EF7">
        <w:t xml:space="preserve">Selection of </w:t>
      </w:r>
      <w:bookmarkEnd w:id="86"/>
      <w:r>
        <w:t>dsRNA sequences</w:t>
      </w:r>
      <w:bookmarkEnd w:id="88"/>
      <w:bookmarkEnd w:id="89"/>
    </w:p>
    <w:p w:rsidR="008953EC" w:rsidRPr="00246028" w:rsidRDefault="008953EC" w:rsidP="008953EC">
      <w:pPr>
        <w:spacing w:line="360" w:lineRule="auto"/>
        <w:rPr>
          <w:color w:val="FF0000"/>
        </w:rPr>
      </w:pPr>
      <w:r>
        <w:t xml:space="preserve">A </w:t>
      </w:r>
      <w:r w:rsidRPr="00ED2E5F">
        <w:t>range of dsRNAs were selected for use in downstream RNAi assays in insect cell cultures (see chapter</w:t>
      </w:r>
      <w:r w:rsidR="00ED2E5F" w:rsidRPr="00ED2E5F">
        <w:t xml:space="preserve"> 5</w:t>
      </w:r>
      <w:r w:rsidRPr="00ED2E5F">
        <w:t>) and live insects (see chapter</w:t>
      </w:r>
      <w:r w:rsidR="00ED2E5F" w:rsidRPr="00ED2E5F">
        <w:t xml:space="preserve"> 6</w:t>
      </w:r>
      <w:r w:rsidRPr="00ED2E5F">
        <w:t>). dsRNAs used in cell culture assays are listed in table 3.1 and those used in live insect assays are listed in table 3.2. These dsRNAs were selected from a shortlist to cover a range of dsRNA lengths and a range of different targets. Stat3, Stat4 and Dome11 are dsRNA sequences previously validated by the DGRC (</w:t>
      </w:r>
      <w:r w:rsidRPr="00ED2E5F">
        <w:rPr>
          <w:i/>
        </w:rPr>
        <w:t>Drosophila</w:t>
      </w:r>
      <w:r w:rsidRPr="00ED2E5F">
        <w:t xml:space="preserve"> genomics Resource Centre). Dome14 was designed based on level of GC content and length. FLuc</w:t>
      </w:r>
      <w:r>
        <w:t xml:space="preserve"> is a dsRNA previously designed and validated by the Sheffield RNAi Screening Facility</w:t>
      </w:r>
      <w:r w:rsidR="004870F7">
        <w:t xml:space="preserve"> (SRSF</w:t>
      </w:r>
      <w:r>
        <w:t xml:space="preserve">). F59C6.5 was chosen due to its low sequence homology with any </w:t>
      </w:r>
      <w:r w:rsidRPr="00A324D5">
        <w:rPr>
          <w:i/>
        </w:rPr>
        <w:t>Drosophila</w:t>
      </w:r>
      <w:r>
        <w:t xml:space="preserve"> genes, or the reporters used. GFP dsRNA could not be used as a </w:t>
      </w:r>
      <w:r w:rsidRPr="00ED2E5F">
        <w:t xml:space="preserve">negative control for cell assays as the Upd ligand used as part of the cell assay reporter system (see </w:t>
      </w:r>
      <w:r w:rsidR="00ED2E5F" w:rsidRPr="00ED2E5F">
        <w:t>section 5.2.2</w:t>
      </w:r>
      <w:r w:rsidRPr="00ED2E5F">
        <w:t>) has</w:t>
      </w:r>
      <w:r>
        <w:t xml:space="preserve"> a GFP tag.   </w:t>
      </w:r>
    </w:p>
    <w:p w:rsidR="008953EC" w:rsidRDefault="008953EC" w:rsidP="008953EC">
      <w:pPr>
        <w:spacing w:line="360" w:lineRule="auto"/>
        <w:ind w:firstLine="284"/>
      </w:pPr>
    </w:p>
    <w:p w:rsidR="008953EC" w:rsidRPr="008953EC" w:rsidRDefault="008953EC" w:rsidP="008953EC">
      <w:pPr>
        <w:pStyle w:val="Caption"/>
        <w:keepNext/>
        <w:rPr>
          <w:color w:val="auto"/>
        </w:rPr>
      </w:pPr>
      <w:bookmarkStart w:id="90" w:name="_Toc20405259"/>
      <w:r w:rsidRPr="008953EC">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1</w:t>
      </w:r>
      <w:r w:rsidR="005C0E76">
        <w:rPr>
          <w:color w:val="auto"/>
        </w:rPr>
        <w:fldChar w:fldCharType="end"/>
      </w:r>
      <w:r w:rsidRPr="008953EC">
        <w:rPr>
          <w:color w:val="auto"/>
        </w:rPr>
        <w:t xml:space="preserve"> Target and control dsRNAs used in RNAi assays in insect cells (see chapter 5).</w:t>
      </w:r>
      <w:bookmarkEnd w:id="90"/>
    </w:p>
    <w:tbl>
      <w:tblPr>
        <w:tblStyle w:val="TableGrid"/>
        <w:tblW w:w="0" w:type="auto"/>
        <w:tblLook w:val="04A0"/>
      </w:tblPr>
      <w:tblGrid>
        <w:gridCol w:w="2093"/>
        <w:gridCol w:w="4678"/>
        <w:gridCol w:w="2471"/>
      </w:tblGrid>
      <w:tr w:rsidR="008953EC" w:rsidTr="00B10753">
        <w:tc>
          <w:tcPr>
            <w:tcW w:w="2093" w:type="dxa"/>
          </w:tcPr>
          <w:p w:rsidR="008953EC" w:rsidRPr="005864E4" w:rsidRDefault="008953EC" w:rsidP="00B10753">
            <w:pPr>
              <w:spacing w:line="360" w:lineRule="auto"/>
              <w:jc w:val="center"/>
              <w:rPr>
                <w:b/>
              </w:rPr>
            </w:pPr>
            <w:r w:rsidRPr="005864E4">
              <w:rPr>
                <w:b/>
              </w:rPr>
              <w:t>dsRNA Probe Name</w:t>
            </w:r>
          </w:p>
        </w:tc>
        <w:tc>
          <w:tcPr>
            <w:tcW w:w="4678" w:type="dxa"/>
          </w:tcPr>
          <w:p w:rsidR="008953EC" w:rsidRPr="005864E4" w:rsidRDefault="008953EC" w:rsidP="00B10753">
            <w:pPr>
              <w:spacing w:line="360" w:lineRule="auto"/>
              <w:jc w:val="center"/>
              <w:rPr>
                <w:b/>
              </w:rPr>
            </w:pPr>
            <w:r w:rsidRPr="005864E4">
              <w:rPr>
                <w:b/>
              </w:rPr>
              <w:t>Target Gene (Species)</w:t>
            </w:r>
          </w:p>
        </w:tc>
        <w:tc>
          <w:tcPr>
            <w:tcW w:w="2471" w:type="dxa"/>
          </w:tcPr>
          <w:p w:rsidR="008953EC" w:rsidRPr="005864E4" w:rsidRDefault="008953EC" w:rsidP="00B10753">
            <w:pPr>
              <w:spacing w:line="360" w:lineRule="auto"/>
              <w:jc w:val="center"/>
              <w:rPr>
                <w:b/>
              </w:rPr>
            </w:pPr>
            <w:r w:rsidRPr="005864E4">
              <w:rPr>
                <w:b/>
              </w:rPr>
              <w:t>Length</w:t>
            </w:r>
          </w:p>
        </w:tc>
      </w:tr>
      <w:tr w:rsidR="008953EC" w:rsidTr="00B10753">
        <w:tc>
          <w:tcPr>
            <w:tcW w:w="2093" w:type="dxa"/>
          </w:tcPr>
          <w:p w:rsidR="008953EC" w:rsidRDefault="004870F7" w:rsidP="00B10753">
            <w:pPr>
              <w:spacing w:line="360" w:lineRule="auto"/>
              <w:jc w:val="center"/>
            </w:pPr>
            <w:r>
              <w:t>Stat</w:t>
            </w:r>
            <w:r w:rsidR="008953EC">
              <w:t>3</w:t>
            </w:r>
          </w:p>
        </w:tc>
        <w:tc>
          <w:tcPr>
            <w:tcW w:w="4678" w:type="dxa"/>
          </w:tcPr>
          <w:p w:rsidR="008953EC" w:rsidRDefault="008953EC" w:rsidP="00B10753">
            <w:pPr>
              <w:spacing w:line="360" w:lineRule="auto"/>
              <w:jc w:val="center"/>
            </w:pPr>
            <w:r w:rsidRPr="005864E4">
              <w:rPr>
                <w:i/>
              </w:rPr>
              <w:t xml:space="preserve">stat92e </w:t>
            </w:r>
            <w:r>
              <w:t>(</w:t>
            </w:r>
            <w:r w:rsidRPr="005864E4">
              <w:rPr>
                <w:i/>
              </w:rPr>
              <w:t>D. melanogaster</w:t>
            </w:r>
            <w:r>
              <w:t>)</w:t>
            </w:r>
          </w:p>
        </w:tc>
        <w:tc>
          <w:tcPr>
            <w:tcW w:w="2471" w:type="dxa"/>
          </w:tcPr>
          <w:p w:rsidR="008953EC" w:rsidRDefault="008953EC" w:rsidP="00B10753">
            <w:pPr>
              <w:spacing w:line="360" w:lineRule="auto"/>
              <w:jc w:val="center"/>
            </w:pPr>
            <w:r>
              <w:t>286 bp</w:t>
            </w:r>
          </w:p>
        </w:tc>
      </w:tr>
      <w:tr w:rsidR="008953EC" w:rsidTr="00B10753">
        <w:tc>
          <w:tcPr>
            <w:tcW w:w="2093" w:type="dxa"/>
          </w:tcPr>
          <w:p w:rsidR="008953EC" w:rsidRDefault="004870F7" w:rsidP="00B10753">
            <w:pPr>
              <w:spacing w:line="360" w:lineRule="auto"/>
              <w:jc w:val="center"/>
            </w:pPr>
            <w:r>
              <w:t>Stat</w:t>
            </w:r>
            <w:r w:rsidR="008953EC">
              <w:t>4</w:t>
            </w:r>
          </w:p>
        </w:tc>
        <w:tc>
          <w:tcPr>
            <w:tcW w:w="4678" w:type="dxa"/>
          </w:tcPr>
          <w:p w:rsidR="008953EC" w:rsidRDefault="008953EC" w:rsidP="00B10753">
            <w:pPr>
              <w:spacing w:line="360" w:lineRule="auto"/>
              <w:jc w:val="center"/>
            </w:pPr>
            <w:r w:rsidRPr="005864E4">
              <w:rPr>
                <w:i/>
              </w:rPr>
              <w:t xml:space="preserve">stat92e </w:t>
            </w:r>
            <w:r>
              <w:t>(</w:t>
            </w:r>
            <w:r w:rsidRPr="005864E4">
              <w:rPr>
                <w:i/>
              </w:rPr>
              <w:t>D. melanogaster</w:t>
            </w:r>
            <w:r>
              <w:t>)</w:t>
            </w:r>
          </w:p>
        </w:tc>
        <w:tc>
          <w:tcPr>
            <w:tcW w:w="2471" w:type="dxa"/>
          </w:tcPr>
          <w:p w:rsidR="008953EC" w:rsidRDefault="008953EC" w:rsidP="00B10753">
            <w:pPr>
              <w:spacing w:line="360" w:lineRule="auto"/>
              <w:jc w:val="center"/>
            </w:pPr>
            <w:r>
              <w:t>416 bp</w:t>
            </w:r>
          </w:p>
        </w:tc>
      </w:tr>
      <w:tr w:rsidR="008953EC" w:rsidTr="00B10753">
        <w:tc>
          <w:tcPr>
            <w:tcW w:w="2093" w:type="dxa"/>
          </w:tcPr>
          <w:p w:rsidR="008953EC" w:rsidRDefault="008953EC" w:rsidP="00B10753">
            <w:pPr>
              <w:spacing w:line="360" w:lineRule="auto"/>
              <w:jc w:val="center"/>
            </w:pPr>
            <w:r>
              <w:t>Dome11</w:t>
            </w:r>
          </w:p>
        </w:tc>
        <w:tc>
          <w:tcPr>
            <w:tcW w:w="4678" w:type="dxa"/>
          </w:tcPr>
          <w:p w:rsidR="008953EC" w:rsidRDefault="008953EC" w:rsidP="00B10753">
            <w:pPr>
              <w:spacing w:line="360" w:lineRule="auto"/>
              <w:jc w:val="center"/>
            </w:pPr>
            <w:r>
              <w:rPr>
                <w:i/>
              </w:rPr>
              <w:t>domeless</w:t>
            </w:r>
            <w:r w:rsidRPr="005864E4">
              <w:rPr>
                <w:i/>
              </w:rPr>
              <w:t xml:space="preserve"> </w:t>
            </w:r>
            <w:r>
              <w:t>(</w:t>
            </w:r>
            <w:r w:rsidRPr="005864E4">
              <w:rPr>
                <w:i/>
              </w:rPr>
              <w:t>D. melanogaster</w:t>
            </w:r>
            <w:r>
              <w:t>)</w:t>
            </w:r>
          </w:p>
        </w:tc>
        <w:tc>
          <w:tcPr>
            <w:tcW w:w="2471" w:type="dxa"/>
          </w:tcPr>
          <w:p w:rsidR="008953EC" w:rsidRDefault="008953EC" w:rsidP="00B10753">
            <w:pPr>
              <w:spacing w:line="360" w:lineRule="auto"/>
              <w:jc w:val="center"/>
            </w:pPr>
            <w:r>
              <w:t>401 bp</w:t>
            </w:r>
          </w:p>
        </w:tc>
      </w:tr>
      <w:tr w:rsidR="008953EC" w:rsidTr="00B10753">
        <w:tc>
          <w:tcPr>
            <w:tcW w:w="2093" w:type="dxa"/>
          </w:tcPr>
          <w:p w:rsidR="008953EC" w:rsidRDefault="004870F7" w:rsidP="00B10753">
            <w:pPr>
              <w:spacing w:line="360" w:lineRule="auto"/>
              <w:jc w:val="center"/>
            </w:pPr>
            <w:r>
              <w:t>Dome</w:t>
            </w:r>
            <w:r w:rsidR="008953EC">
              <w:t>14</w:t>
            </w:r>
          </w:p>
        </w:tc>
        <w:tc>
          <w:tcPr>
            <w:tcW w:w="4678" w:type="dxa"/>
          </w:tcPr>
          <w:p w:rsidR="008953EC" w:rsidRDefault="008953EC" w:rsidP="00B10753">
            <w:pPr>
              <w:spacing w:line="360" w:lineRule="auto"/>
              <w:jc w:val="center"/>
            </w:pPr>
            <w:r>
              <w:rPr>
                <w:i/>
              </w:rPr>
              <w:t>domeless</w:t>
            </w:r>
            <w:r w:rsidRPr="005864E4">
              <w:rPr>
                <w:i/>
              </w:rPr>
              <w:t xml:space="preserve"> </w:t>
            </w:r>
            <w:r>
              <w:t>(</w:t>
            </w:r>
            <w:r w:rsidRPr="005864E4">
              <w:rPr>
                <w:i/>
              </w:rPr>
              <w:t>D. melanogaster</w:t>
            </w:r>
            <w:r>
              <w:t>)</w:t>
            </w:r>
          </w:p>
        </w:tc>
        <w:tc>
          <w:tcPr>
            <w:tcW w:w="2471" w:type="dxa"/>
          </w:tcPr>
          <w:p w:rsidR="008953EC" w:rsidRDefault="008953EC" w:rsidP="00B10753">
            <w:pPr>
              <w:spacing w:line="360" w:lineRule="auto"/>
              <w:jc w:val="center"/>
            </w:pPr>
            <w:r>
              <w:t>337 bp</w:t>
            </w:r>
          </w:p>
        </w:tc>
      </w:tr>
      <w:tr w:rsidR="008953EC" w:rsidTr="00B10753">
        <w:tc>
          <w:tcPr>
            <w:tcW w:w="2093" w:type="dxa"/>
          </w:tcPr>
          <w:p w:rsidR="008953EC" w:rsidRDefault="008953EC" w:rsidP="00B10753">
            <w:pPr>
              <w:spacing w:line="360" w:lineRule="auto"/>
              <w:jc w:val="center"/>
            </w:pPr>
            <w:r>
              <w:t>FLuc</w:t>
            </w:r>
          </w:p>
        </w:tc>
        <w:tc>
          <w:tcPr>
            <w:tcW w:w="4678" w:type="dxa"/>
          </w:tcPr>
          <w:p w:rsidR="008953EC" w:rsidRDefault="008953EC" w:rsidP="00B10753">
            <w:pPr>
              <w:spacing w:line="360" w:lineRule="auto"/>
              <w:jc w:val="center"/>
            </w:pPr>
            <w:r>
              <w:t xml:space="preserve">Firefly luciferase </w:t>
            </w:r>
            <w:r w:rsidRPr="005864E4">
              <w:rPr>
                <w:i/>
              </w:rPr>
              <w:t>ppyluc1</w:t>
            </w:r>
            <w:r>
              <w:t xml:space="preserve"> (</w:t>
            </w:r>
            <w:r w:rsidRPr="005864E4">
              <w:rPr>
                <w:i/>
              </w:rPr>
              <w:t>Photinus pyralis</w:t>
            </w:r>
            <w:r>
              <w:t>)</w:t>
            </w:r>
          </w:p>
        </w:tc>
        <w:tc>
          <w:tcPr>
            <w:tcW w:w="2471" w:type="dxa"/>
          </w:tcPr>
          <w:p w:rsidR="008953EC" w:rsidRDefault="008953EC" w:rsidP="00B10753">
            <w:pPr>
              <w:spacing w:line="360" w:lineRule="auto"/>
              <w:jc w:val="center"/>
            </w:pPr>
            <w:r>
              <w:t>401 bp</w:t>
            </w:r>
          </w:p>
        </w:tc>
      </w:tr>
      <w:tr w:rsidR="008953EC" w:rsidTr="00B10753">
        <w:tc>
          <w:tcPr>
            <w:tcW w:w="2093" w:type="dxa"/>
          </w:tcPr>
          <w:p w:rsidR="008953EC" w:rsidRDefault="008953EC" w:rsidP="00B10753">
            <w:pPr>
              <w:spacing w:line="360" w:lineRule="auto"/>
              <w:jc w:val="center"/>
            </w:pPr>
            <w:r>
              <w:t>F59C6.5</w:t>
            </w:r>
          </w:p>
        </w:tc>
        <w:tc>
          <w:tcPr>
            <w:tcW w:w="4678" w:type="dxa"/>
          </w:tcPr>
          <w:p w:rsidR="008953EC" w:rsidRPr="005864E4" w:rsidRDefault="008953EC" w:rsidP="00B10753">
            <w:pPr>
              <w:spacing w:line="360" w:lineRule="auto"/>
              <w:jc w:val="center"/>
            </w:pPr>
            <w:r>
              <w:t xml:space="preserve">F59C6.5, ortholog of </w:t>
            </w:r>
            <w:r w:rsidRPr="005864E4">
              <w:rPr>
                <w:i/>
              </w:rPr>
              <w:t>ndufb10</w:t>
            </w:r>
            <w:r>
              <w:t xml:space="preserve"> (</w:t>
            </w:r>
            <w:r w:rsidRPr="005864E4">
              <w:rPr>
                <w:i/>
              </w:rPr>
              <w:t>C. elegans</w:t>
            </w:r>
            <w:r>
              <w:t>)</w:t>
            </w:r>
          </w:p>
        </w:tc>
        <w:tc>
          <w:tcPr>
            <w:tcW w:w="2471" w:type="dxa"/>
          </w:tcPr>
          <w:p w:rsidR="008953EC" w:rsidRDefault="008953EC" w:rsidP="00B10753">
            <w:pPr>
              <w:spacing w:line="360" w:lineRule="auto"/>
              <w:jc w:val="center"/>
            </w:pPr>
            <w:r>
              <w:t>513 bp</w:t>
            </w:r>
          </w:p>
        </w:tc>
      </w:tr>
    </w:tbl>
    <w:p w:rsidR="008953EC" w:rsidRPr="00BC5427" w:rsidRDefault="008953EC" w:rsidP="008953EC"/>
    <w:p w:rsidR="002C588B" w:rsidRPr="002C588B" w:rsidRDefault="002C588B" w:rsidP="002C588B">
      <w:pPr>
        <w:pStyle w:val="Caption"/>
        <w:keepNext/>
        <w:rPr>
          <w:color w:val="auto"/>
        </w:rPr>
      </w:pPr>
      <w:bookmarkStart w:id="91" w:name="_Toc20405260"/>
      <w:r w:rsidRPr="002C588B">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2</w:t>
      </w:r>
      <w:r w:rsidR="005C0E76">
        <w:rPr>
          <w:color w:val="auto"/>
        </w:rPr>
        <w:fldChar w:fldCharType="end"/>
      </w:r>
      <w:r w:rsidRPr="002C588B">
        <w:rPr>
          <w:color w:val="auto"/>
        </w:rPr>
        <w:t xml:space="preserve"> Target and control dsRNAs used in RNAi assays in live insects (see chapter 6)</w:t>
      </w:r>
      <w:r>
        <w:rPr>
          <w:color w:val="auto"/>
        </w:rPr>
        <w:t>.</w:t>
      </w:r>
      <w:bookmarkEnd w:id="91"/>
    </w:p>
    <w:tbl>
      <w:tblPr>
        <w:tblStyle w:val="TableGrid"/>
        <w:tblW w:w="0" w:type="auto"/>
        <w:tblLook w:val="04A0"/>
      </w:tblPr>
      <w:tblGrid>
        <w:gridCol w:w="2093"/>
        <w:gridCol w:w="4678"/>
        <w:gridCol w:w="2471"/>
      </w:tblGrid>
      <w:tr w:rsidR="008953EC" w:rsidTr="00B10753">
        <w:tc>
          <w:tcPr>
            <w:tcW w:w="2093" w:type="dxa"/>
          </w:tcPr>
          <w:p w:rsidR="008953EC" w:rsidRPr="005864E4" w:rsidRDefault="008953EC" w:rsidP="00B10753">
            <w:pPr>
              <w:spacing w:line="360" w:lineRule="auto"/>
              <w:jc w:val="center"/>
              <w:rPr>
                <w:b/>
              </w:rPr>
            </w:pPr>
            <w:r w:rsidRPr="005864E4">
              <w:rPr>
                <w:b/>
              </w:rPr>
              <w:t>dsRNA Probe Name</w:t>
            </w:r>
          </w:p>
        </w:tc>
        <w:tc>
          <w:tcPr>
            <w:tcW w:w="4678" w:type="dxa"/>
          </w:tcPr>
          <w:p w:rsidR="008953EC" w:rsidRPr="005864E4" w:rsidRDefault="008953EC" w:rsidP="00B10753">
            <w:pPr>
              <w:spacing w:line="360" w:lineRule="auto"/>
              <w:jc w:val="center"/>
              <w:rPr>
                <w:b/>
              </w:rPr>
            </w:pPr>
            <w:r w:rsidRPr="005864E4">
              <w:rPr>
                <w:b/>
              </w:rPr>
              <w:t>Target Species</w:t>
            </w:r>
          </w:p>
        </w:tc>
        <w:tc>
          <w:tcPr>
            <w:tcW w:w="2471" w:type="dxa"/>
          </w:tcPr>
          <w:p w:rsidR="008953EC" w:rsidRPr="005864E4" w:rsidRDefault="008953EC" w:rsidP="00B10753">
            <w:pPr>
              <w:spacing w:line="360" w:lineRule="auto"/>
              <w:jc w:val="center"/>
              <w:rPr>
                <w:b/>
              </w:rPr>
            </w:pPr>
            <w:r w:rsidRPr="005864E4">
              <w:rPr>
                <w:b/>
              </w:rPr>
              <w:t>Length</w:t>
            </w:r>
          </w:p>
        </w:tc>
      </w:tr>
      <w:tr w:rsidR="008953EC" w:rsidTr="00B10753">
        <w:tc>
          <w:tcPr>
            <w:tcW w:w="2093" w:type="dxa"/>
          </w:tcPr>
          <w:p w:rsidR="008953EC" w:rsidRDefault="008953EC" w:rsidP="00B10753">
            <w:pPr>
              <w:spacing w:line="360" w:lineRule="auto"/>
              <w:jc w:val="center"/>
            </w:pPr>
            <w:r>
              <w:t>Target A</w:t>
            </w:r>
          </w:p>
        </w:tc>
        <w:tc>
          <w:tcPr>
            <w:tcW w:w="4678" w:type="dxa"/>
          </w:tcPr>
          <w:p w:rsidR="008953EC" w:rsidRDefault="008953EC" w:rsidP="00B10753">
            <w:pPr>
              <w:spacing w:line="360" w:lineRule="auto"/>
              <w:jc w:val="center"/>
            </w:pPr>
            <w:r w:rsidRPr="00BC5427">
              <w:rPr>
                <w:i/>
              </w:rPr>
              <w:t>Nezara viridula</w:t>
            </w:r>
          </w:p>
        </w:tc>
        <w:tc>
          <w:tcPr>
            <w:tcW w:w="2471" w:type="dxa"/>
          </w:tcPr>
          <w:p w:rsidR="008953EC" w:rsidRDefault="008953EC" w:rsidP="00B10753">
            <w:pPr>
              <w:spacing w:line="360" w:lineRule="auto"/>
              <w:jc w:val="center"/>
            </w:pPr>
            <w:r>
              <w:t>512bp</w:t>
            </w:r>
          </w:p>
        </w:tc>
      </w:tr>
      <w:tr w:rsidR="008953EC" w:rsidTr="00B10753">
        <w:tc>
          <w:tcPr>
            <w:tcW w:w="2093" w:type="dxa"/>
          </w:tcPr>
          <w:p w:rsidR="008953EC" w:rsidRDefault="008953EC" w:rsidP="00B10753">
            <w:pPr>
              <w:spacing w:line="360" w:lineRule="auto"/>
              <w:jc w:val="center"/>
            </w:pPr>
            <w:r>
              <w:t>Target B</w:t>
            </w:r>
          </w:p>
        </w:tc>
        <w:tc>
          <w:tcPr>
            <w:tcW w:w="4678" w:type="dxa"/>
          </w:tcPr>
          <w:p w:rsidR="008953EC" w:rsidRDefault="008953EC" w:rsidP="00B10753">
            <w:pPr>
              <w:spacing w:line="360" w:lineRule="auto"/>
              <w:jc w:val="center"/>
            </w:pPr>
            <w:r>
              <w:rPr>
                <w:i/>
              </w:rPr>
              <w:t xml:space="preserve">Diabrotica </w:t>
            </w:r>
            <w:r w:rsidRPr="00F26FEE">
              <w:rPr>
                <w:i/>
              </w:rPr>
              <w:t>vergifera vergifera</w:t>
            </w:r>
          </w:p>
        </w:tc>
        <w:tc>
          <w:tcPr>
            <w:tcW w:w="2471" w:type="dxa"/>
          </w:tcPr>
          <w:p w:rsidR="008953EC" w:rsidRDefault="008953EC" w:rsidP="00B10753">
            <w:pPr>
              <w:spacing w:line="360" w:lineRule="auto"/>
              <w:jc w:val="center"/>
            </w:pPr>
            <w:r>
              <w:t>228bp</w:t>
            </w:r>
          </w:p>
        </w:tc>
      </w:tr>
      <w:tr w:rsidR="008953EC" w:rsidTr="00B10753">
        <w:tc>
          <w:tcPr>
            <w:tcW w:w="2093" w:type="dxa"/>
          </w:tcPr>
          <w:p w:rsidR="008953EC" w:rsidRDefault="008953EC" w:rsidP="00B10753">
            <w:pPr>
              <w:spacing w:line="360" w:lineRule="auto"/>
              <w:jc w:val="center"/>
            </w:pPr>
            <w:r>
              <w:t>Target C</w:t>
            </w:r>
          </w:p>
        </w:tc>
        <w:tc>
          <w:tcPr>
            <w:tcW w:w="4678" w:type="dxa"/>
          </w:tcPr>
          <w:p w:rsidR="008953EC" w:rsidRDefault="008953EC" w:rsidP="00B10753">
            <w:pPr>
              <w:spacing w:line="360" w:lineRule="auto"/>
              <w:jc w:val="center"/>
            </w:pPr>
            <w:r w:rsidRPr="00BC5427">
              <w:rPr>
                <w:i/>
              </w:rPr>
              <w:t>Nezara viridula</w:t>
            </w:r>
          </w:p>
        </w:tc>
        <w:tc>
          <w:tcPr>
            <w:tcW w:w="2471" w:type="dxa"/>
          </w:tcPr>
          <w:p w:rsidR="008953EC" w:rsidRPr="00623FAA" w:rsidRDefault="008953EC" w:rsidP="00B10753">
            <w:pPr>
              <w:spacing w:line="360" w:lineRule="auto"/>
              <w:jc w:val="center"/>
            </w:pPr>
            <w:r w:rsidRPr="00623FAA">
              <w:t>206bp</w:t>
            </w:r>
          </w:p>
        </w:tc>
      </w:tr>
      <w:tr w:rsidR="008953EC" w:rsidTr="00B10753">
        <w:tc>
          <w:tcPr>
            <w:tcW w:w="2093" w:type="dxa"/>
          </w:tcPr>
          <w:p w:rsidR="008953EC" w:rsidRDefault="008953EC" w:rsidP="00B10753">
            <w:pPr>
              <w:spacing w:line="360" w:lineRule="auto"/>
              <w:jc w:val="center"/>
            </w:pPr>
            <w:r>
              <w:t>GFP</w:t>
            </w:r>
          </w:p>
        </w:tc>
        <w:tc>
          <w:tcPr>
            <w:tcW w:w="4678" w:type="dxa"/>
          </w:tcPr>
          <w:p w:rsidR="008953EC" w:rsidRDefault="008953EC" w:rsidP="00B10753">
            <w:pPr>
              <w:spacing w:line="360" w:lineRule="auto"/>
              <w:jc w:val="center"/>
            </w:pPr>
            <w:r w:rsidRPr="00614991">
              <w:rPr>
                <w:i/>
              </w:rPr>
              <w:t>Aequorea Victoria</w:t>
            </w:r>
          </w:p>
        </w:tc>
        <w:tc>
          <w:tcPr>
            <w:tcW w:w="2471" w:type="dxa"/>
          </w:tcPr>
          <w:p w:rsidR="008953EC" w:rsidRPr="00623FAA" w:rsidRDefault="008953EC" w:rsidP="00B10753">
            <w:pPr>
              <w:spacing w:line="360" w:lineRule="auto"/>
              <w:jc w:val="center"/>
            </w:pPr>
            <w:r w:rsidRPr="00623FAA">
              <w:t>25</w:t>
            </w:r>
            <w:r>
              <w:t>8</w:t>
            </w:r>
            <w:r w:rsidRPr="00623FAA">
              <w:t xml:space="preserve"> bp</w:t>
            </w:r>
          </w:p>
        </w:tc>
      </w:tr>
    </w:tbl>
    <w:p w:rsidR="008953EC" w:rsidRDefault="008953EC" w:rsidP="008953EC">
      <w:pPr>
        <w:ind w:firstLine="284"/>
      </w:pPr>
    </w:p>
    <w:p w:rsidR="008953EC" w:rsidRPr="00A57D7B" w:rsidRDefault="008953EC" w:rsidP="008953EC">
      <w:pPr>
        <w:spacing w:line="360" w:lineRule="auto"/>
        <w:ind w:firstLine="284"/>
      </w:pPr>
      <w:r w:rsidRPr="00D672A5">
        <w:t xml:space="preserve">In this study two alternative methods of producing dsRNA in conjunction with </w:t>
      </w:r>
      <w:r w:rsidRPr="00BA4BD6">
        <w:rPr>
          <w:i/>
        </w:rPr>
        <w:t>in vitro</w:t>
      </w:r>
      <w:r w:rsidRPr="00D672A5">
        <w:t xml:space="preserve"> transcription reactions were used. One method involved using a single DNA template with two RNA </w:t>
      </w:r>
      <w:r w:rsidRPr="00A57D7B">
        <w:t>polymerase promoters (in opposite directions) in order to produce dsRNA in a single IVT reaction (see figure 3.2 a).</w:t>
      </w:r>
      <w:r w:rsidRPr="00D672A5">
        <w:t xml:space="preserve"> The other method involved the synthesis of each corresponding ssRNA strand of the dsRNA in two separate IVT reactions. In this case the DNA template contains only a single RNA </w:t>
      </w:r>
      <w:r w:rsidRPr="00D672A5">
        <w:lastRenderedPageBreak/>
        <w:t xml:space="preserve">polymerase </w:t>
      </w:r>
      <w:r w:rsidRPr="00A57D7B">
        <w:t>promoter (see figure 3.2 b). This approach was required for production of dsRNAs with chemical modifications in only one strand (either the passenger or guide strand).</w:t>
      </w:r>
    </w:p>
    <w:p w:rsidR="008953EC" w:rsidRPr="00A57D7B" w:rsidRDefault="008953EC" w:rsidP="008953EC">
      <w:pPr>
        <w:ind w:firstLine="284"/>
      </w:pPr>
    </w:p>
    <w:p w:rsidR="00997564" w:rsidRDefault="002C588B" w:rsidP="00997564">
      <w:pPr>
        <w:keepNext/>
        <w:jc w:val="center"/>
      </w:pPr>
      <w:bookmarkStart w:id="92" w:name="_Toc507150622"/>
      <w:r w:rsidRPr="002C588B">
        <w:rPr>
          <w:noProof/>
          <w:lang w:eastAsia="en-GB"/>
        </w:rPr>
        <w:drawing>
          <wp:inline distT="0" distB="0" distL="0" distR="0">
            <wp:extent cx="6064673" cy="4198620"/>
            <wp:effectExtent l="0" t="0" r="0" b="0"/>
            <wp:docPr id="17"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50885" cy="5983011"/>
                      <a:chOff x="453969" y="473746"/>
                      <a:chExt cx="8850885" cy="5983011"/>
                    </a:xfrm>
                  </a:grpSpPr>
                  <a:grpSp>
                    <a:nvGrpSpPr>
                      <a:cNvPr id="7" name="Group 6"/>
                      <a:cNvGrpSpPr/>
                    </a:nvGrpSpPr>
                    <a:grpSpPr>
                      <a:xfrm>
                        <a:off x="453969" y="473746"/>
                        <a:ext cx="8850885" cy="5983011"/>
                        <a:chOff x="453969" y="473746"/>
                        <a:chExt cx="8850885" cy="5983011"/>
                      </a:xfrm>
                    </a:grpSpPr>
                    <a:sp>
                      <a:nvSpPr>
                        <a:cNvPr id="63" name="TextBox 368"/>
                        <a:cNvSpPr txBox="1"/>
                      </a:nvSpPr>
                      <a:spPr>
                        <a:xfrm>
                          <a:off x="453969" y="477827"/>
                          <a:ext cx="271679"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2600" b="1" dirty="0" smtClean="0"/>
                              <a:t>a</a:t>
                            </a:r>
                            <a:endParaRPr lang="en-GB" sz="2600" b="1" dirty="0"/>
                          </a:p>
                        </a:txBody>
                        <a:useSpRect/>
                      </a:txSp>
                    </a:sp>
                    <a:sp>
                      <a:nvSpPr>
                        <a:cNvPr id="70" name="TextBox 368"/>
                        <a:cNvSpPr txBox="1"/>
                      </a:nvSpPr>
                      <a:spPr>
                        <a:xfrm>
                          <a:off x="4096873" y="473746"/>
                          <a:ext cx="271679"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2600" b="1" dirty="0" smtClean="0"/>
                              <a:t>b</a:t>
                            </a:r>
                            <a:endParaRPr lang="en-GB" sz="2600" b="1" dirty="0"/>
                          </a:p>
                        </a:txBody>
                        <a:useSpRect/>
                      </a:txSp>
                    </a:sp>
                    <a:pic>
                      <a:nvPicPr>
                        <a:cNvPr id="8" name="Picture 7" descr="3.1 a.png"/>
                        <a:cNvPicPr>
                          <a:picLocks noChangeAspect="1"/>
                        </a:cNvPicPr>
                      </a:nvPicPr>
                      <a:blipFill>
                        <a:blip r:embed="rId19" cstate="print"/>
                        <a:stretch>
                          <a:fillRect/>
                        </a:stretch>
                      </a:blipFill>
                      <a:spPr>
                        <a:xfrm>
                          <a:off x="732148" y="1279102"/>
                          <a:ext cx="3325102" cy="3609530"/>
                        </a:xfrm>
                        <a:prstGeom prst="rect">
                          <a:avLst/>
                        </a:prstGeom>
                      </a:spPr>
                    </a:pic>
                    <a:pic>
                      <a:nvPicPr>
                        <a:cNvPr id="9" name="Picture 8" descr="3.1 b.png"/>
                        <a:cNvPicPr>
                          <a:picLocks noChangeAspect="1"/>
                        </a:cNvPicPr>
                      </a:nvPicPr>
                      <a:blipFill>
                        <a:blip r:embed="rId20" cstate="print"/>
                        <a:stretch>
                          <a:fillRect/>
                        </a:stretch>
                      </a:blipFill>
                      <a:spPr>
                        <a:xfrm>
                          <a:off x="4188532" y="1265941"/>
                          <a:ext cx="5116322" cy="5190816"/>
                        </a:xfrm>
                        <a:prstGeom prst="rect">
                          <a:avLst/>
                        </a:prstGeom>
                      </a:spPr>
                    </a:pic>
                  </a:grpSp>
                </lc:lockedCanvas>
              </a:graphicData>
            </a:graphic>
          </wp:inline>
        </w:drawing>
      </w:r>
    </w:p>
    <w:p w:rsidR="00997564" w:rsidRDefault="00997564" w:rsidP="00997564">
      <w:pPr>
        <w:pStyle w:val="Caption"/>
        <w:rPr>
          <w:color w:val="auto"/>
        </w:rPr>
      </w:pPr>
    </w:p>
    <w:p w:rsidR="00717CC7" w:rsidRDefault="00997564" w:rsidP="00717CC7">
      <w:pPr>
        <w:pStyle w:val="Caption"/>
        <w:spacing w:after="120"/>
        <w:rPr>
          <w:color w:val="auto"/>
        </w:rPr>
      </w:pPr>
      <w:bookmarkStart w:id="93" w:name="_Toc20411631"/>
      <w:r w:rsidRPr="00997564">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2</w:t>
      </w:r>
      <w:r w:rsidR="005C0E76">
        <w:rPr>
          <w:color w:val="auto"/>
        </w:rPr>
        <w:fldChar w:fldCharType="end"/>
      </w:r>
      <w:r w:rsidRPr="00997564">
        <w:rPr>
          <w:color w:val="auto"/>
        </w:rPr>
        <w:t xml:space="preserve"> Schematic illustration  of strategies for dsRNA synthesis using </w:t>
      </w:r>
      <w:r w:rsidRPr="00997564">
        <w:rPr>
          <w:i/>
          <w:iCs/>
          <w:color w:val="auto"/>
        </w:rPr>
        <w:t xml:space="preserve">in vitro </w:t>
      </w:r>
      <w:r w:rsidRPr="00997564">
        <w:rPr>
          <w:color w:val="auto"/>
        </w:rPr>
        <w:t>transcription.</w:t>
      </w:r>
      <w:bookmarkEnd w:id="93"/>
      <w:r w:rsidRPr="00997564">
        <w:rPr>
          <w:color w:val="auto"/>
        </w:rPr>
        <w:t xml:space="preserve"> </w:t>
      </w:r>
    </w:p>
    <w:p w:rsidR="00997564" w:rsidRPr="00997564" w:rsidRDefault="00997564" w:rsidP="00717CC7">
      <w:pPr>
        <w:pStyle w:val="Caption"/>
        <w:spacing w:after="120"/>
        <w:rPr>
          <w:b w:val="0"/>
          <w:color w:val="auto"/>
        </w:rPr>
      </w:pPr>
      <w:r w:rsidRPr="00997564">
        <w:rPr>
          <w:b w:val="0"/>
          <w:color w:val="auto"/>
        </w:rPr>
        <w:t xml:space="preserve">(a) Schematic of dsRNA synthesis using a single IVT reaction. PCR 1: Primers partially overlapping with the  target region of the gene of interest, and with a non-complimentary linker region amplify the dsRNA target region by PCR to form an intermediate DNA product (PCR 1 DNA product). PCR 2: Primers consisting of an RNA polymerase promoter sequence joined to a sequence complimentary to the linker region amplify the target region by PCR, whilst simultaneously incorporating the RNA polymerase promoter to give the final IVT template DNA (PCR 2 DNA product) capable of being transcribed by RNA polymerase. IVT: </w:t>
      </w:r>
      <w:r w:rsidRPr="00997564">
        <w:rPr>
          <w:b w:val="0"/>
          <w:i/>
          <w:iCs/>
          <w:color w:val="auto"/>
        </w:rPr>
        <w:t xml:space="preserve">In vitro </w:t>
      </w:r>
      <w:r w:rsidRPr="00997564">
        <w:rPr>
          <w:b w:val="0"/>
          <w:color w:val="auto"/>
        </w:rPr>
        <w:t xml:space="preserve">transcription (IVT) using PCR 2 DNA product as a template yields dsRNA capable of targeting the mRNA of interest by RNAi. (b) Schematic of dsRNA synthesis by annealing ssRNAs produced from separate IVT reactions. PCR 1: Primers partially overlapping with the dsRNA  target region of the target gene, and with a non-complimentary linker region amplify the dsRNA target region by PCR to form an intermediate DNA product (PCR 1 DNA product). PCR 2: A single primer consisting of an RNA polymerase promoter sequence joined to a sequence complimentary to the linker region is used in conjunction with the opposite primer from PCR 1 (without an RNA polymerase promoter) to amplify the target region by PCR whilst simultaneously incorporating the RNA polymerase promoter to give the final IVT template DNA (PCR 2 DNA product) capable of being transcribed by T7 RNA polymerase. IVT: </w:t>
      </w:r>
      <w:r w:rsidRPr="00997564">
        <w:rPr>
          <w:b w:val="0"/>
          <w:i/>
          <w:iCs/>
          <w:color w:val="auto"/>
        </w:rPr>
        <w:t xml:space="preserve">In vitro </w:t>
      </w:r>
      <w:r w:rsidRPr="00997564">
        <w:rPr>
          <w:b w:val="0"/>
          <w:color w:val="auto"/>
        </w:rPr>
        <w:t>transcription (IVT) using PCR 2 DNA products as a templates yields complimentary ssRNAs. These are annealed in 1X PBS by heat-cooling, resulting in dsRNA capable of targeting the mRNA of interest by RNAi.</w:t>
      </w:r>
    </w:p>
    <w:p w:rsidR="008953EC" w:rsidRDefault="008953EC" w:rsidP="00997564">
      <w:pPr>
        <w:pStyle w:val="Caption"/>
      </w:pPr>
    </w:p>
    <w:p w:rsidR="002C588B" w:rsidRDefault="002C588B" w:rsidP="008953EC"/>
    <w:p w:rsidR="002C588B" w:rsidRDefault="002C588B" w:rsidP="008953EC"/>
    <w:p w:rsidR="008953EC" w:rsidRDefault="008953EC" w:rsidP="00962A96">
      <w:pPr>
        <w:pStyle w:val="Heading3"/>
        <w:ind w:left="709"/>
      </w:pPr>
      <w:bookmarkStart w:id="94" w:name="_Toc18832672"/>
      <w:bookmarkStart w:id="95" w:name="_Toc35333963"/>
      <w:r>
        <w:lastRenderedPageBreak/>
        <w:t xml:space="preserve">Production of DNA templates by polymerase chain reaction (PCR) for synthesis of ssRNA and dsRNA by </w:t>
      </w:r>
      <w:bookmarkEnd w:id="92"/>
      <w:r w:rsidRPr="006B143A">
        <w:rPr>
          <w:i/>
        </w:rPr>
        <w:t>in vitro</w:t>
      </w:r>
      <w:r>
        <w:t xml:space="preserve"> transcription (IVT)</w:t>
      </w:r>
      <w:bookmarkEnd w:id="94"/>
      <w:bookmarkEnd w:id="95"/>
    </w:p>
    <w:p w:rsidR="008953EC" w:rsidRDefault="008953EC" w:rsidP="008953EC">
      <w:pPr>
        <w:spacing w:line="360" w:lineRule="auto"/>
      </w:pPr>
    </w:p>
    <w:p w:rsidR="008953EC" w:rsidRPr="00A57D7B" w:rsidRDefault="008953EC" w:rsidP="008953EC">
      <w:pPr>
        <w:spacing w:line="360" w:lineRule="auto"/>
        <w:ind w:firstLine="284"/>
      </w:pPr>
      <w:r w:rsidRPr="00A57D7B">
        <w:t xml:space="preserve">DNA templates for dsRNAs targeting the Jak/STAT pathway for use in dual luciferase assays (see chapter 5) were created by PCR from gDNA extracted from </w:t>
      </w:r>
      <w:r w:rsidRPr="00A57D7B">
        <w:rPr>
          <w:i/>
        </w:rPr>
        <w:t>Drosophila</w:t>
      </w:r>
      <w:r w:rsidRPr="00A57D7B">
        <w:t xml:space="preserve"> S2R+ cells. The gDNA was used as the template for the first of two successive rounds of PCR; the first (PCR 1) to amplify the dsRNA sequence from the gDNA, and the second (PCR 2) for the addition of two antiparallel T7 or SP6 RNA polymerase promoters, one on each strand at opposite ends of the DNA template. This enabled transcription of both ssRNA strands simultaneously from a single DNA template to generate the dsRNA (see figure 3.2 a). In addition, DNA templates were also synthesised using a similar PCR strategy to generate DNA templates that contain only a single T7/SP6 promoter enabling synthesis of the corresponding ssRNAs (see figure 3.2 b). Gel electrophoresis analysis of the DNA templates generated via PCR for Dome11 from </w:t>
      </w:r>
      <w:r w:rsidRPr="00A57D7B">
        <w:rPr>
          <w:i/>
        </w:rPr>
        <w:t>Drosophila</w:t>
      </w:r>
      <w:r w:rsidRPr="00A57D7B">
        <w:t xml:space="preserve"> gDNA is shown in figure 3.3 a &amp; b.</w:t>
      </w:r>
    </w:p>
    <w:p w:rsidR="008953EC" w:rsidRDefault="008953EC" w:rsidP="008953EC">
      <w:pPr>
        <w:spacing w:line="360" w:lineRule="auto"/>
        <w:ind w:firstLine="284"/>
      </w:pPr>
    </w:p>
    <w:p w:rsidR="008953EC" w:rsidRDefault="008953EC" w:rsidP="008953EC">
      <w:pPr>
        <w:spacing w:line="360" w:lineRule="auto"/>
        <w:ind w:firstLine="284"/>
      </w:pPr>
      <w:r>
        <w:t xml:space="preserve">Initial work focused on the production of the unmodified dsRNAs for use in RNAi assays in </w:t>
      </w:r>
      <w:r>
        <w:rPr>
          <w:i/>
        </w:rPr>
        <w:t>Drosophila melanogaster</w:t>
      </w:r>
      <w:r>
        <w:t xml:space="preserve"> cells (Stat3, Stat4, Dome11, and Dome14), and the positive and negative control probes (FLuc and F59C6.5).  This enabled the screening of their RNAi activity prior to synthesising the chemically modified </w:t>
      </w:r>
      <w:r w:rsidRPr="00A57D7B">
        <w:t xml:space="preserve">dsRNAs (see </w:t>
      </w:r>
      <w:r w:rsidR="00A57D7B" w:rsidRPr="00A57D7B">
        <w:t>section 5.3.1</w:t>
      </w:r>
      <w:r w:rsidRPr="00A57D7B">
        <w:t xml:space="preserve">).  The dsRNAs synthesised for testing in downstream RNAi assays were initially produced by single </w:t>
      </w:r>
      <w:r w:rsidRPr="00A57D7B">
        <w:rPr>
          <w:i/>
        </w:rPr>
        <w:t>in</w:t>
      </w:r>
      <w:r w:rsidRPr="00A57D7B">
        <w:t xml:space="preserve"> </w:t>
      </w:r>
      <w:r w:rsidRPr="00A57D7B">
        <w:rPr>
          <w:i/>
        </w:rPr>
        <w:t>vitro</w:t>
      </w:r>
      <w:r w:rsidRPr="00A57D7B">
        <w:t xml:space="preserve"> transcription (IVT) reactions from a DNA template </w:t>
      </w:r>
      <w:r w:rsidRPr="00A57D7B">
        <w:rPr>
          <w:i/>
        </w:rPr>
        <w:t>via</w:t>
      </w:r>
      <w:r w:rsidRPr="00A57D7B">
        <w:t xml:space="preserve"> the method shown in figure 3.2 a. Following amplification of the DNA templates</w:t>
      </w:r>
      <w:r w:rsidR="00997564" w:rsidRPr="00A57D7B">
        <w:t xml:space="preserve"> (see figure 3.3 a)</w:t>
      </w:r>
      <w:r w:rsidRPr="00A57D7B">
        <w:t>, the unmodified dsRNA</w:t>
      </w:r>
      <w:r w:rsidR="004870F7">
        <w:t>s</w:t>
      </w:r>
      <w:r w:rsidRPr="00A57D7B">
        <w:t xml:space="preserve"> (Stat3, Stat4, Dome11, Dome14, FLuc and F59C6.5) were synthesised using a single IVT reaction, treated with DNase to remove the DNA template and analysed by agarose gel electrophoresis (see Figure 3.3 c). The results demonstrate</w:t>
      </w:r>
      <w:r>
        <w:t xml:space="preserve"> the successful synthesis of dsRNA using this approach. </w:t>
      </w:r>
    </w:p>
    <w:p w:rsidR="008953EC" w:rsidRDefault="008953EC" w:rsidP="008953EC">
      <w:pPr>
        <w:spacing w:line="360" w:lineRule="auto"/>
      </w:pPr>
    </w:p>
    <w:p w:rsidR="00997564" w:rsidRDefault="008953EC" w:rsidP="00A57D7B">
      <w:pPr>
        <w:spacing w:line="360" w:lineRule="auto"/>
        <w:ind w:firstLine="284"/>
      </w:pPr>
      <w:r>
        <w:t xml:space="preserve">In addition, complimentary ssRNAs were synthesised in separate IVT reactions prior to annealing of the ssRNAs to form the </w:t>
      </w:r>
      <w:r w:rsidRPr="00A57D7B">
        <w:t>dsRNA (see figure 3.2 b). This approach was required for production of dsRNAs with chemical modifications in only one strand (either the passenger or guide strand). An example of an IVT of Dome11 ssRNA generated from the DNA templates (figure 3.3</w:t>
      </w:r>
      <w:r w:rsidR="00997564" w:rsidRPr="00A57D7B">
        <w:t xml:space="preserve"> b</w:t>
      </w:r>
      <w:r w:rsidRPr="00A57D7B">
        <w:t>) is shown in figure 3.3 d. The results show the successful synthesis of the Dome11 ssRNA (passenger and guide strands). As the analysis was performed using native agarose gel electrophoresis, the resulting ssRNA often appears as a more smeared band compared to the previously generated dsR</w:t>
      </w:r>
      <w:r>
        <w:t>NA. To further confirm the product produced by IVT using a DNA template with only one RNA polymerase promoter site was ssRNA not dsRNA, the product was incubated with both DNase (to remove template DNA) and RNase T1 in the absence or presence of 0.5 M NaCl (to remove ssRNA) and analysed by agarose</w:t>
      </w:r>
    </w:p>
    <w:p w:rsidR="00997564" w:rsidRDefault="009A0071" w:rsidP="009A0071">
      <w:pPr>
        <w:keepNext/>
        <w:spacing w:line="360" w:lineRule="auto"/>
        <w:jc w:val="center"/>
      </w:pPr>
      <w:r>
        <w:rPr>
          <w:noProof/>
          <w:lang w:eastAsia="en-GB"/>
        </w:rPr>
        <w:lastRenderedPageBreak/>
        <w:drawing>
          <wp:inline distT="0" distB="0" distL="0" distR="0">
            <wp:extent cx="5896441" cy="7497998"/>
            <wp:effectExtent l="0" t="0" r="9059" b="0"/>
            <wp:docPr id="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5896441" cy="7497998"/>
                    </a:xfrm>
                    <a:prstGeom prst="rect">
                      <a:avLst/>
                    </a:prstGeom>
                    <a:noFill/>
                  </pic:spPr>
                </pic:pic>
              </a:graphicData>
            </a:graphic>
          </wp:inline>
        </w:drawing>
      </w:r>
    </w:p>
    <w:p w:rsidR="00717CC7" w:rsidRDefault="00997564" w:rsidP="00717CC7">
      <w:pPr>
        <w:pStyle w:val="Caption"/>
        <w:spacing w:after="0"/>
        <w:rPr>
          <w:color w:val="auto"/>
        </w:rPr>
      </w:pPr>
      <w:bookmarkStart w:id="96" w:name="_Toc20411632"/>
      <w:r w:rsidRPr="00997564">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3</w:t>
      </w:r>
      <w:r w:rsidR="005C0E76">
        <w:rPr>
          <w:color w:val="auto"/>
        </w:rPr>
        <w:fldChar w:fldCharType="end"/>
      </w:r>
      <w:r w:rsidRPr="00997564">
        <w:rPr>
          <w:color w:val="auto"/>
        </w:rPr>
        <w:t xml:space="preserve"> Synthesis of DNA templates using PCR and dsRNA using </w:t>
      </w:r>
      <w:r w:rsidRPr="00997564">
        <w:rPr>
          <w:i/>
          <w:iCs/>
          <w:color w:val="auto"/>
        </w:rPr>
        <w:t xml:space="preserve">in vitro </w:t>
      </w:r>
      <w:r w:rsidRPr="00997564">
        <w:rPr>
          <w:color w:val="auto"/>
        </w:rPr>
        <w:t>transcription.</w:t>
      </w:r>
      <w:bookmarkEnd w:id="96"/>
      <w:r w:rsidRPr="00997564">
        <w:rPr>
          <w:color w:val="auto"/>
        </w:rPr>
        <w:t xml:space="preserve"> </w:t>
      </w:r>
    </w:p>
    <w:p w:rsidR="00997564" w:rsidRPr="00FC1017" w:rsidRDefault="00997564" w:rsidP="00717CC7">
      <w:pPr>
        <w:pStyle w:val="Caption"/>
        <w:spacing w:after="0"/>
        <w:rPr>
          <w:b w:val="0"/>
          <w:color w:val="auto"/>
        </w:rPr>
      </w:pPr>
      <w:r w:rsidRPr="00FC1017">
        <w:rPr>
          <w:b w:val="0"/>
          <w:color w:val="auto"/>
        </w:rPr>
        <w:t xml:space="preserve">(a) Gel electrophoretograms of the Dome11 DNA template for synthesis of dsRNA generated by two stage PCR. (b) Gel electrophoretogram of DNA templates for Dome11 guide strand and passenger strand ssRNAs. (c) Gel electrophoretograms of unmodified dsRNAs of various lengths synthesised by IVT using T7 RNA polymerase. The dsRNAs migrate differently to their corresponding sized dsDNA in the DNA ladder (d) Gel electrophoretograms of unmodified Dome11 guide strand and passenger strand ssRNAs produced by IVT using T7 RNA polymerase (e) Gel electrophoretogram of Dome11 ssRNA incubated with RNase T1, in the presence/absence NaCl.  (f) Gel electrophoretogram of DNA templates for Target A, Target B, Target C and GFP dsRNAs generated by two stage PCR. (g) Gel electrophoretogram of unmodified Target A, Target B, Target C and GFP dsRNAs generated by two synthesised by IVT using T7 RNA polymerase. </w:t>
      </w:r>
    </w:p>
    <w:p w:rsidR="008953EC" w:rsidRPr="00A57D7B" w:rsidRDefault="008953EC" w:rsidP="00997564">
      <w:pPr>
        <w:spacing w:line="360" w:lineRule="auto"/>
      </w:pPr>
      <w:r>
        <w:lastRenderedPageBreak/>
        <w:t xml:space="preserve">gel electrophoresis. The results are </w:t>
      </w:r>
      <w:r w:rsidRPr="00A57D7B">
        <w:t>shown in figure 3.4 e. and demonstrate that in the presence of RNase T1 the RNA is degraded and therefore no dsRNA was present.</w:t>
      </w:r>
    </w:p>
    <w:p w:rsidR="008953EC" w:rsidRDefault="008953EC" w:rsidP="008953EC">
      <w:pPr>
        <w:spacing w:line="360" w:lineRule="auto"/>
        <w:ind w:firstLine="284"/>
      </w:pPr>
      <w:r w:rsidRPr="00A57D7B">
        <w:t xml:space="preserve">The synthesis of dsRNAs (Target A, Target B, and Target C) for use in RNAi assays in live insects (see chapter 6) had previously been validated for RNAi activity by Syngenta, along with validation of the GFP dsRNA as a non-targeting negative control. Template DNA was prepared by PCR as described above; in this case the initial PCR template material was plasmid DNA (pDNA) rather than gDNA. The plasmids were supplied by Syngenta and the DNA templates for the dsRNAs were produced by a single round of PCR using primers with appropriate T7 RNA polymerase promoter sequences (see section </w:t>
      </w:r>
      <w:r w:rsidR="00A57D7B" w:rsidRPr="00A57D7B">
        <w:t>2.2.1</w:t>
      </w:r>
      <w:r w:rsidRPr="00A57D7B">
        <w:t>). Gel electrophoresis analysis of the DNA templates for</w:t>
      </w:r>
      <w:r w:rsidR="004870F7">
        <w:t xml:space="preserve"> control GFP dsRNA and</w:t>
      </w:r>
      <w:r w:rsidRPr="00A57D7B">
        <w:t xml:space="preserve"> targets A, B and C and subsequent IVT reactions to generate the unmodified dsRNA are shown in figure 3.3 f &amp; g and demonstrate the successful synthesis of dsRNAs (Target A, Target B, Target</w:t>
      </w:r>
      <w:r>
        <w:t xml:space="preserve"> C</w:t>
      </w:r>
      <w:r w:rsidR="004870F7">
        <w:t>, and GFP</w:t>
      </w:r>
      <w:r>
        <w:t>). In addition the corresponding ssRNAs (passenger and guide) for Target A-C were also prepared using IVT as previously described for Dome11.</w:t>
      </w:r>
    </w:p>
    <w:p w:rsidR="008953EC" w:rsidRDefault="008953EC" w:rsidP="008953EC">
      <w:pPr>
        <w:spacing w:line="360" w:lineRule="auto"/>
        <w:ind w:firstLine="284"/>
      </w:pPr>
    </w:p>
    <w:p w:rsidR="008953EC" w:rsidRPr="00A57D7B" w:rsidRDefault="008953EC" w:rsidP="008953EC">
      <w:pPr>
        <w:spacing w:line="360" w:lineRule="auto"/>
        <w:ind w:firstLine="284"/>
      </w:pPr>
      <w:r>
        <w:t xml:space="preserve">Following successful IVT synthesis of all the unmodified ss/dsRNAs (as confirmed by gel electrophoresis), further analysis of the dsRNA was performed using IP RP HPLC. IP RP HPLC analysis can be performed under both native (50 °C) and denaturing conditions (75 °C) and enables the high resolution, </w:t>
      </w:r>
      <w:r w:rsidRPr="00A57D7B">
        <w:t xml:space="preserve">rapid analysis of RNA. Moreover, this approach can rapidly separate ssRNA from dsRNA </w:t>
      </w:r>
      <w:r w:rsidR="005C0E76" w:rsidRPr="00A57D7B">
        <w:fldChar w:fldCharType="begin" w:fldLock="1"/>
      </w:r>
      <w:r w:rsidRPr="00A57D7B">
        <w:instrText>ADDIN CSL_CITATION {"citationItems":[{"id":"ITEM-1","itemData":{"DOI":"10.1016/J.CHROMA.2016.12.062","ISSN":"0021-9673","abstract":"RNA interference has provided valuable insight into a wide range of biological systems and is a powerful tool for the analysis of gene function. The exploitation of this pathway to block the expression of specific gene targets holds considerable promise for the development of novel RNAi-based insect management strategies. In addition, there are a wide number of future potential applications of RNAi to control agricultural insect pests as well as its use for prevention of diseases in beneficial insects. The potential to synthesise large quantities of dsRNA by in-vitro transcription or in bacterial systems for RNA interference applications has generated significant demand for the development and application of high throughput analytical tools for the rapid extraction, purification and analysis of dsRNA. Here we have developed analytical methods that enable the rapid purification of dsRNA from associated impurities from bacterial cells in conjunction with downstream analyses. We have optimised TRIzol extractions in conjunction with a single step protocol to remove contaminating DNA and ssRNA, using RNase T1/DNase I digestion under high-salt conditions in combination with solid phase extraction to purify the dsRNA. In addition, we have utilised and developed IP RP HPLC for the rapid, high resolution analysis of the dsRNA. Furthermore, we have optimised base-specific cleavage of dsRNA by RNase A and developed a novel method utilising RNase T1 for RNase mass mapping approaches to further characterise the dsRNA using liquid chromatography interfaced with mass spectrometry.","author":[{"dropping-particle":"","family":"Nwokeoji","given":"Alison O.","non-dropping-particle":"","parse-names":false,"suffix":""},{"dropping-particle":"","family":"Kung","given":"An-Wen","non-dropping-particle":"","parse-names":false,"suffix":""},{"dropping-particle":"","family":"Kilby","given":"Peter M.","non-dropping-particle":"","parse-names":false,"suffix":""},{"dropping-particle":"","family":"Portwood","given":"David E.","non-dropping-particle":"","parse-names":false,"suffix":""},{"dropping-particle":"","family":"Dickman","given":"Mark J.","non-dropping-particle":"","parse-names":false,"suffix":""}],"container-title":"Journal of Chromatography A","id":"ITEM-1","issued":{"date-parts":[["2017","2","10"]]},"page":"14-25","publisher":"Elsevier","title":"Purification and characterisation of dsRNA using ion pair reverse phase chromatography and mass spectrometry","type":"article-journal","volume":"1484"},"uris":["http://www.mendeley.com/documents/?uuid=0b38aa1e-8206-3f4e-8223-acbcee3eba0f"]}],"mendeley":{"formattedCitation":"(Nwokeoji, Kung, &lt;i&gt;et al.&lt;/i&gt;, 2017)","plainTextFormattedCitation":"(Nwokeoji, Kung, et al., 2017)","previouslyFormattedCitation":"(Nwokeoji, Kung, &lt;i&gt;et al.&lt;/i&gt;, 2017)"},"properties":{"noteIndex":0},"schema":"https://github.com/citation-style-language/schema/raw/master/csl-citation.json"}</w:instrText>
      </w:r>
      <w:r w:rsidR="005C0E76" w:rsidRPr="00A57D7B">
        <w:fldChar w:fldCharType="separate"/>
      </w:r>
      <w:r w:rsidRPr="00A57D7B">
        <w:rPr>
          <w:noProof/>
        </w:rPr>
        <w:t xml:space="preserve">(Nwokeoji, Kung, </w:t>
      </w:r>
      <w:r w:rsidRPr="00A57D7B">
        <w:rPr>
          <w:i/>
          <w:noProof/>
        </w:rPr>
        <w:t>et al.</w:t>
      </w:r>
      <w:r w:rsidRPr="00A57D7B">
        <w:rPr>
          <w:noProof/>
        </w:rPr>
        <w:t>, 2017)</w:t>
      </w:r>
      <w:r w:rsidR="005C0E76" w:rsidRPr="00A57D7B">
        <w:fldChar w:fldCharType="end"/>
      </w:r>
      <w:r w:rsidRPr="00A57D7B">
        <w:t xml:space="preserve"> and therefore provides a method to analyse the purity of the dsRNA synthesised in the IVT reactions</w:t>
      </w:r>
      <w:r w:rsidR="004870F7">
        <w:t xml:space="preserve"> by indicating DNA template and unincorporated NTP contaminants,</w:t>
      </w:r>
      <w:r w:rsidRPr="00A57D7B">
        <w:t xml:space="preserve"> and confirm the correct annealing of the dsRNA from the corresponding ssRNAs. </w:t>
      </w:r>
    </w:p>
    <w:p w:rsidR="008953EC" w:rsidRPr="00A57D7B" w:rsidRDefault="008953EC" w:rsidP="008953EC">
      <w:pPr>
        <w:spacing w:line="360" w:lineRule="auto"/>
        <w:ind w:firstLine="284"/>
      </w:pPr>
      <w:r w:rsidRPr="00A57D7B">
        <w:t>An example of IP RP HPLC analysis of the Dome11 RNA is shown in figure 3.4. Following IVT to make the Dome11 dsRNA, the dsRNA was purified using solid phase extractions (SPE) prior to HPLC analysis. The results are shown in figure 3.4 a &amp; b and demonstrate that following purification a significant reduction in the injection peak is observed, demonstrating the successful removal of salts and contaminating NTPs from the IVT reactions. IP RP HPLC analysis of the Dome11 dsRNA and ssRNA following SPE is shown in figure 3.4 c. The Dome11 ssRNAs demonstrate shorter retention times than Dome11 dsRNA. When equal amounts of the complimentary Dome11 ssRNAs were mixed and annealed, the IP RP HPLC chromatogram demonstrates that they formed the corresponding dsRNA with a similar retention time to the equivalent Dome11 dsRNA produced directly in a single IVT reaction.  In addition the analysis of the Dome11 dsRNA produced directly in a single IVT reaction also reveals that no excess ssRNA was present (see figure 3.3a)</w:t>
      </w:r>
    </w:p>
    <w:p w:rsidR="00FC1017" w:rsidRDefault="008953EC" w:rsidP="008953EC">
      <w:pPr>
        <w:spacing w:line="360" w:lineRule="auto"/>
        <w:ind w:firstLine="284"/>
      </w:pPr>
      <w:r w:rsidRPr="00A57D7B">
        <w:t>A selection of the unmodified dsRNAs synthesised were also purified by incubation</w:t>
      </w:r>
      <w:r>
        <w:t xml:space="preserve"> with DNase followed by SPE, and analysed by IP RP HPLC in non-denaturing conditions at 50 °C. The results are</w:t>
      </w:r>
    </w:p>
    <w:p w:rsidR="00FC1017" w:rsidRDefault="00FC1017" w:rsidP="00FC1017">
      <w:pPr>
        <w:keepNext/>
        <w:spacing w:after="200"/>
        <w:jc w:val="left"/>
      </w:pPr>
      <w:r>
        <w:rPr>
          <w:noProof/>
          <w:lang w:eastAsia="en-GB"/>
        </w:rPr>
        <w:lastRenderedPageBreak/>
        <w:drawing>
          <wp:inline distT="0" distB="0" distL="0" distR="0">
            <wp:extent cx="5687060" cy="6240780"/>
            <wp:effectExtent l="0" t="0" r="8890" b="0"/>
            <wp:docPr id="22" name="Picture 3" descr="C:\Users\John D Howard\Desktop\University\PhD\Thesis &amp; Papers - Data, Diagrams, Drafts\The Actual Thesis (OMFG WTF HOW)\Diagrams converted to pictures\Main Figure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 D Howard\Desktop\University\PhD\Thesis &amp; Papers - Data, Diagrams, Drafts\The Actual Thesis (OMFG WTF HOW)\Diagrams converted to pictures\Main Figures\3.4.png"/>
                    <pic:cNvPicPr>
                      <a:picLocks noChangeAspect="1" noChangeArrowheads="1"/>
                    </pic:cNvPicPr>
                  </pic:nvPicPr>
                  <pic:blipFill>
                    <a:blip r:embed="rId22" cstate="print"/>
                    <a:srcRect l="1482" r="13409"/>
                    <a:stretch>
                      <a:fillRect/>
                    </a:stretch>
                  </pic:blipFill>
                  <pic:spPr bwMode="auto">
                    <a:xfrm>
                      <a:off x="0" y="0"/>
                      <a:ext cx="5687060" cy="6240780"/>
                    </a:xfrm>
                    <a:prstGeom prst="rect">
                      <a:avLst/>
                    </a:prstGeom>
                    <a:noFill/>
                    <a:ln w="9525">
                      <a:noFill/>
                      <a:miter lim="800000"/>
                      <a:headEnd/>
                      <a:tailEnd/>
                    </a:ln>
                  </pic:spPr>
                </pic:pic>
              </a:graphicData>
            </a:graphic>
          </wp:inline>
        </w:drawing>
      </w:r>
    </w:p>
    <w:p w:rsidR="00FC1017" w:rsidRDefault="00FC1017" w:rsidP="00FC1017">
      <w:pPr>
        <w:pStyle w:val="Caption"/>
        <w:rPr>
          <w:color w:val="auto"/>
        </w:rPr>
      </w:pPr>
    </w:p>
    <w:p w:rsidR="00717CC7" w:rsidRDefault="00FC1017" w:rsidP="00717CC7">
      <w:pPr>
        <w:pStyle w:val="Caption"/>
        <w:spacing w:after="120"/>
        <w:rPr>
          <w:color w:val="auto"/>
        </w:rPr>
      </w:pPr>
      <w:bookmarkStart w:id="97" w:name="_Toc20411633"/>
      <w:r w:rsidRPr="00FC1017">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4</w:t>
      </w:r>
      <w:r w:rsidR="005C0E76">
        <w:rPr>
          <w:color w:val="auto"/>
        </w:rPr>
        <w:fldChar w:fldCharType="end"/>
      </w:r>
      <w:r w:rsidRPr="00FC1017">
        <w:rPr>
          <w:color w:val="auto"/>
        </w:rPr>
        <w:t xml:space="preserve"> Ion pair reverse phase HPLC analysis of unmodified dsRNA.</w:t>
      </w:r>
      <w:bookmarkEnd w:id="97"/>
      <w:r w:rsidRPr="00FC1017">
        <w:rPr>
          <w:color w:val="auto"/>
        </w:rPr>
        <w:t xml:space="preserve"> </w:t>
      </w:r>
    </w:p>
    <w:p w:rsidR="00FC1017" w:rsidRPr="00FC1017" w:rsidRDefault="00FC1017" w:rsidP="00717CC7">
      <w:pPr>
        <w:pStyle w:val="Caption"/>
        <w:spacing w:after="120"/>
        <w:rPr>
          <w:b w:val="0"/>
          <w:color w:val="auto"/>
        </w:rPr>
      </w:pPr>
      <w:r w:rsidRPr="00FC1017">
        <w:rPr>
          <w:b w:val="0"/>
          <w:color w:val="auto"/>
        </w:rPr>
        <w:t xml:space="preserve">(a) Chromatogram of unpurified Dome 11 dsRNA generated via IVT (b) Chromatogram of purified Dome 11 dsRNA using SPE demonstrating the removal of the salts/unincorporated NTPs. (c) Chromatogram of purified Dome 11 ssRNAs produced by IVT, dsRNA produced by annealing equal amounts of complementary ssRNAs and Dome 11 dsRNA generated in a single IVT reaction.  The annealed ssRNAs produce dsRNA with the same retention time as the dsRNA produced directly by IVT. No excess ssRNA was observed following annealing of the complimentary ssRNAs. (d) Chromatogram of purified unmodified dsRNAs of a range of sizes. The results demonstrate size based separation and purity of the dsRNA. No major impurities or ssRNA were observed.  All samples were analysed in non-denaturing conditions at 50 °C using gradient 1, in conjunction with UV detection at 260 nm. </w:t>
      </w:r>
    </w:p>
    <w:p w:rsidR="00FC1017" w:rsidRDefault="00FC1017" w:rsidP="00FC1017">
      <w:pPr>
        <w:pStyle w:val="Caption"/>
        <w:jc w:val="left"/>
      </w:pPr>
    </w:p>
    <w:p w:rsidR="00FC1017" w:rsidRDefault="00FC1017">
      <w:pPr>
        <w:spacing w:after="200"/>
        <w:jc w:val="left"/>
      </w:pPr>
      <w:r>
        <w:br w:type="page"/>
      </w:r>
    </w:p>
    <w:p w:rsidR="008953EC" w:rsidRPr="00A57D7B" w:rsidRDefault="008953EC" w:rsidP="00FC1017">
      <w:pPr>
        <w:spacing w:line="360" w:lineRule="auto"/>
      </w:pPr>
      <w:r>
        <w:lastRenderedPageBreak/>
        <w:t xml:space="preserve">shown </w:t>
      </w:r>
      <w:r w:rsidRPr="00A57D7B">
        <w:t>in figure 3.4 d and demonstrate that the dsRNAs elute as expected in order of their corresponding size, with the shortest dsRNA having the earliest retention time.  The results also confirm the purity of the dsRNA and demonstrate that no significant impurities including unincorporated NTPs or ssRNA are present in the dsRNA.</w:t>
      </w:r>
    </w:p>
    <w:p w:rsidR="008953EC" w:rsidRPr="00A57D7B" w:rsidRDefault="008953EC" w:rsidP="008953EC">
      <w:pPr>
        <w:spacing w:line="360" w:lineRule="auto"/>
        <w:ind w:firstLine="284"/>
      </w:pPr>
    </w:p>
    <w:p w:rsidR="008953EC" w:rsidRPr="00A57D7B" w:rsidRDefault="008953EC" w:rsidP="008953EC">
      <w:pPr>
        <w:spacing w:line="360" w:lineRule="auto"/>
      </w:pPr>
      <w:r w:rsidRPr="00A57D7B">
        <w:tab/>
        <w:t>In summary, a range of dsRNAs were successfully synthesised using either a single IVT reaction or via two IVT reactions to generate the corresponding ssRNAs prior to annealing to produce dsRNA. Analysis of the dsRNA was performed using agarose gel electrophoresis and IP RP HPLC, which enables verification of the dsRNA produced and the presence of any contaminating ssRNA. Moreover, following purification using solid phase extraction methods and IP RP HPLC analysis, the successful removal of NTPs</w:t>
      </w:r>
      <w:r w:rsidR="004870F7">
        <w:t xml:space="preserve"> and other contaminants</w:t>
      </w:r>
      <w:r w:rsidRPr="00A57D7B">
        <w:t xml:space="preserve"> was demonstrated which is essential prior to accurate downstream quantification using UV spectrophotometry (see section 3.3.7).</w:t>
      </w:r>
    </w:p>
    <w:p w:rsidR="008953EC" w:rsidRDefault="008953EC" w:rsidP="00962A96">
      <w:pPr>
        <w:pStyle w:val="Heading3"/>
        <w:ind w:left="709"/>
      </w:pPr>
      <w:bookmarkStart w:id="98" w:name="_Toc18832673"/>
      <w:bookmarkStart w:id="99" w:name="_Toc35333964"/>
      <w:r>
        <w:t>Synthesis of phosphorothioate (PS) containing ssRNA and dsRNA by IVT</w:t>
      </w:r>
      <w:bookmarkStart w:id="100" w:name="_Toc507150632"/>
      <w:bookmarkEnd w:id="98"/>
      <w:bookmarkEnd w:id="99"/>
    </w:p>
    <w:p w:rsidR="008953EC" w:rsidRPr="00EB2368" w:rsidRDefault="008953EC" w:rsidP="008953EC"/>
    <w:p w:rsidR="008953EC" w:rsidRPr="00A57D7B" w:rsidRDefault="008953EC" w:rsidP="008953EC">
      <w:pPr>
        <w:spacing w:line="360" w:lineRule="auto"/>
        <w:ind w:firstLine="284"/>
      </w:pPr>
      <w:r>
        <w:t xml:space="preserve">Following the successful synthesis of the unmodified dsRNA required for the downstream RNAi assays, further work focussed on synthesising the corresponding dsRNA with a range of chemical modifications. </w:t>
      </w:r>
      <w:r w:rsidRPr="008246D4">
        <w:t xml:space="preserve">T7 RNA polymerase </w:t>
      </w:r>
      <w:r>
        <w:t>ha</w:t>
      </w:r>
      <w:r w:rsidRPr="008246D4">
        <w:t xml:space="preserve">s </w:t>
      </w:r>
      <w:r>
        <w:t xml:space="preserve">previously been </w:t>
      </w:r>
      <w:r w:rsidRPr="008246D4">
        <w:t xml:space="preserve">demonstrated to successfully incorporate </w:t>
      </w:r>
      <w:r>
        <w:t>alpha-thio nucleotide triphosphates (</w:t>
      </w:r>
      <w:r>
        <w:rPr>
          <w:rFonts w:cstheme="minorHAnsi"/>
        </w:rPr>
        <w:t>α</w:t>
      </w:r>
      <w:r>
        <w:t>-thio NTPs</w:t>
      </w:r>
      <w:r w:rsidRPr="00A57D7B">
        <w:t xml:space="preserve">) (see figure 3.1 b) to generate phosphorothioate (PS) RNA </w:t>
      </w:r>
      <w:r w:rsidR="005C0E76" w:rsidRPr="00A57D7B">
        <w:fldChar w:fldCharType="begin" w:fldLock="1"/>
      </w:r>
      <w:r w:rsidRPr="00A57D7B">
        <w:instrText>ADDIN CSL_CITATION {"citationItems":[{"id":"ITEM-1","itemData":{"DOI":"10.1093/nar/19.3.547","ISSN":"0305-1048","PMID":"2011526","abstract":"Phosphorothioate-containing RNAs were generated by transcription of coliphage T7 DNA using the Sp diastereomers of ribonucleoside 5'-O-(1-thiotriphosphates) and T7 RNA polymerase. RNAs in which a single nucleotide was substituted by the corresponding nucleoside phosphorothioate functioned as mRNA in the cell-free translation systems prepared from Escherichia coli and from an extreme thermophilic bacterium, Thermus thermophilus. This substitution increased the efficiency of protein synthesis by stabilizing the mRNAs in these systems. As the proportion of substituted nucleotides was increased, their mRNA activity was decreased accordingly. As judged from the analysis by SDS-polyacrylamide gel-electrophoresis, the proteins synthesized using phosphorothioate-containing mRNAs as template were identical to those obtained with unsubstituted mRNAs. However, larger proteins which were barely detectable when unsubstituted mRNA was used were well represented when phosphorothioate-RNA was used instead. The advantages in using the phosphorothioate-mRNAs in the in vitro translation systems are discussed.","author":[{"dropping-particle":"","family":"Ueda","given":"T","non-dropping-particle":"","parse-names":false,"suffix":""},{"dropping-particle":"","family":"Tohda","given":"H","non-dropping-particle":"","parse-names":false,"suffix":""},{"dropping-particle":"","family":"Chikazumi","given":"N","non-dropping-particle":"","parse-names":false,"suffix":""},{"dropping-particle":"","family":"Eckstein","given":"F","non-dropping-particle":"","parse-names":false,"suffix":""},{"dropping-particle":"","family":"Watanabe","given":"K","non-dropping-particle":"","parse-names":false,"suffix":""}],"container-title":"Nucleic acids research","id":"ITEM-1","issue":"3","issued":{"date-parts":[["1991","2","11"]]},"page":"547-52","publisher":"Oxford University Press","title":"Phosphorothioate-containing RNAs show mRNA activity in the prokaryotic translation systems in vitro.","type":"article-journal","volume":"19"},"uris":["http://www.mendeley.com/documents/?uuid=6cad9b9b-7a29-322d-be43-0195192c1308"]}],"mendeley":{"formattedCitation":"(Ueda &lt;i&gt;et al.&lt;/i&gt;, 1991)","plainTextFormattedCitation":"(Ueda et al., 1991)","previouslyFormattedCitation":"(Ueda &lt;i&gt;et al.&lt;/i&gt;, 1991)"},"properties":{"noteIndex":0},"schema":"https://github.com/citation-style-language/schema/raw/master/csl-citation.json"}</w:instrText>
      </w:r>
      <w:r w:rsidR="005C0E76" w:rsidRPr="00A57D7B">
        <w:fldChar w:fldCharType="separate"/>
      </w:r>
      <w:r w:rsidRPr="00A57D7B">
        <w:rPr>
          <w:noProof/>
        </w:rPr>
        <w:t xml:space="preserve">(Ueda </w:t>
      </w:r>
      <w:r w:rsidRPr="00A57D7B">
        <w:rPr>
          <w:i/>
          <w:noProof/>
        </w:rPr>
        <w:t>et al.</w:t>
      </w:r>
      <w:r w:rsidRPr="00A57D7B">
        <w:rPr>
          <w:noProof/>
        </w:rPr>
        <w:t>, 1991)</w:t>
      </w:r>
      <w:r w:rsidR="005C0E76" w:rsidRPr="00A57D7B">
        <w:fldChar w:fldCharType="end"/>
      </w:r>
      <w:r w:rsidRPr="00A57D7B">
        <w:t xml:space="preserve">, and was therefore selected to initially synthesise phosphorothioate dsRNA. </w:t>
      </w:r>
    </w:p>
    <w:p w:rsidR="00FC1017" w:rsidRDefault="008953EC" w:rsidP="008953EC">
      <w:pPr>
        <w:spacing w:line="360" w:lineRule="auto"/>
        <w:ind w:firstLine="284"/>
      </w:pPr>
      <w:r w:rsidRPr="00A57D7B">
        <w:t xml:space="preserve">In order to synthesise phosphorothioate containing RNA, a range of IVT reactions were performed where nucleotide triphosphates (NTPs) were replaced by their corresponding </w:t>
      </w:r>
      <w:r w:rsidRPr="00A57D7B">
        <w:rPr>
          <w:rFonts w:cstheme="minorHAnsi"/>
        </w:rPr>
        <w:t>α</w:t>
      </w:r>
      <w:r w:rsidRPr="00A57D7B">
        <w:t xml:space="preserve">-thio NTPs. In order to ascertain if each of the four NTPs could be individually replaced by their corresponding </w:t>
      </w:r>
      <w:r w:rsidRPr="00A57D7B">
        <w:rPr>
          <w:rFonts w:cstheme="minorHAnsi"/>
        </w:rPr>
        <w:t>α</w:t>
      </w:r>
      <w:r w:rsidRPr="00A57D7B">
        <w:t xml:space="preserve">-thio NTPs, four IVT reactions to produce Dome11 dsRNA were set up as an example, each with a different one of the four NTPs replaced by their corresponding </w:t>
      </w:r>
      <w:r w:rsidRPr="00A57D7B">
        <w:rPr>
          <w:rFonts w:cstheme="minorHAnsi"/>
        </w:rPr>
        <w:t>α</w:t>
      </w:r>
      <w:r w:rsidRPr="00A57D7B">
        <w:t xml:space="preserve">-thio NTP.  Six further IVT reactions were also set up, each with two of the four NTPs replaced by their corresponding </w:t>
      </w:r>
      <w:r w:rsidRPr="00A57D7B">
        <w:rPr>
          <w:rFonts w:cstheme="minorHAnsi"/>
        </w:rPr>
        <w:t>α</w:t>
      </w:r>
      <w:r w:rsidRPr="00A57D7B">
        <w:t xml:space="preserve">-thio NTPs, in order to determine if dsRNAs could be synthesised incorporating every combination of two </w:t>
      </w:r>
      <w:r w:rsidRPr="00A57D7B">
        <w:rPr>
          <w:rFonts w:cstheme="minorHAnsi"/>
        </w:rPr>
        <w:t>α</w:t>
      </w:r>
      <w:r w:rsidRPr="00A57D7B">
        <w:t>-thio NTPs. The nomenclature used to describe the resulting chemically modified RNA following IVT using the chemically modified NTPs is shown in figure 3.5. dsRNA</w:t>
      </w:r>
      <w:r>
        <w:t xml:space="preserve"> produced in IVT reactions with one of the four NTPs replaced by an </w:t>
      </w:r>
      <w:r>
        <w:rPr>
          <w:rFonts w:cstheme="minorHAnsi"/>
        </w:rPr>
        <w:t>α</w:t>
      </w:r>
      <w:r>
        <w:t xml:space="preserve">-thio NTP was referred to as 1PS dsRNA and dsRNA produced in IVT reactions with two of the four NTPs replaced by their corresponding </w:t>
      </w:r>
      <w:r>
        <w:rPr>
          <w:rFonts w:cstheme="minorHAnsi"/>
        </w:rPr>
        <w:t>α</w:t>
      </w:r>
      <w:r>
        <w:t>-thio NTPs was referred to as 2PS. dsRNAs produced by annealing an unmodified ssRNA to a phosphorothioate-containing ssRNA (for example, 2PS ssRNA) were referred to as Un-2PS</w:t>
      </w:r>
    </w:p>
    <w:p w:rsidR="00FC1017" w:rsidRDefault="00FC1017" w:rsidP="00FC1017">
      <w:pPr>
        <w:keepNext/>
        <w:spacing w:after="200"/>
        <w:jc w:val="left"/>
      </w:pPr>
      <w:r>
        <w:rPr>
          <w:noProof/>
          <w:lang w:eastAsia="en-GB"/>
        </w:rPr>
        <w:lastRenderedPageBreak/>
        <w:drawing>
          <wp:inline distT="0" distB="0" distL="0" distR="0">
            <wp:extent cx="5731510" cy="5959630"/>
            <wp:effectExtent l="0" t="0" r="0" b="0"/>
            <wp:docPr id="24" name="Picture 4" descr="C:\Users\John D Howard\Desktop\University\PhD\Thesis &amp; Papers - Data, Diagrams, Drafts\The Actual Thesis (OMFG WTF HOW)\Diagrams converted to pictures\Main Figure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 D Howard\Desktop\University\PhD\Thesis &amp; Papers - Data, Diagrams, Drafts\The Actual Thesis (OMFG WTF HOW)\Diagrams converted to pictures\Main Figures\3.5.png"/>
                    <pic:cNvPicPr>
                      <a:picLocks noChangeAspect="1" noChangeArrowheads="1"/>
                    </pic:cNvPicPr>
                  </pic:nvPicPr>
                  <pic:blipFill>
                    <a:blip r:embed="rId23" cstate="print"/>
                    <a:srcRect/>
                    <a:stretch>
                      <a:fillRect/>
                    </a:stretch>
                  </pic:blipFill>
                  <pic:spPr bwMode="auto">
                    <a:xfrm>
                      <a:off x="0" y="0"/>
                      <a:ext cx="5731510" cy="5959630"/>
                    </a:xfrm>
                    <a:prstGeom prst="rect">
                      <a:avLst/>
                    </a:prstGeom>
                    <a:noFill/>
                    <a:ln w="9525">
                      <a:noFill/>
                      <a:miter lim="800000"/>
                      <a:headEnd/>
                      <a:tailEnd/>
                    </a:ln>
                  </pic:spPr>
                </pic:pic>
              </a:graphicData>
            </a:graphic>
          </wp:inline>
        </w:drawing>
      </w:r>
    </w:p>
    <w:p w:rsidR="00717CC7" w:rsidRDefault="00FC1017" w:rsidP="00717CC7">
      <w:pPr>
        <w:pStyle w:val="Caption"/>
        <w:spacing w:after="120"/>
        <w:rPr>
          <w:color w:val="auto"/>
        </w:rPr>
      </w:pPr>
      <w:bookmarkStart w:id="101" w:name="_Toc20411634"/>
      <w:r w:rsidRPr="00FC1017">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5</w:t>
      </w:r>
      <w:r w:rsidR="005C0E76">
        <w:rPr>
          <w:color w:val="auto"/>
        </w:rPr>
        <w:fldChar w:fldCharType="end"/>
      </w:r>
      <w:r w:rsidRPr="00FC1017">
        <w:rPr>
          <w:color w:val="auto"/>
        </w:rPr>
        <w:t xml:space="preserve"> Nomenclature of chemically modified dsRNAs. Nomenclature of chemically modified dsRNAs.</w:t>
      </w:r>
      <w:bookmarkEnd w:id="101"/>
    </w:p>
    <w:p w:rsidR="00FC1017" w:rsidRPr="00FC1017" w:rsidRDefault="00FC1017" w:rsidP="00717CC7">
      <w:pPr>
        <w:pStyle w:val="Caption"/>
        <w:spacing w:after="120"/>
        <w:rPr>
          <w:b w:val="0"/>
          <w:color w:val="auto"/>
        </w:rPr>
      </w:pPr>
      <w:r w:rsidRPr="00FC1017">
        <w:rPr>
          <w:color w:val="auto"/>
        </w:rPr>
        <w:t xml:space="preserve"> </w:t>
      </w:r>
      <w:r w:rsidRPr="00FC1017">
        <w:rPr>
          <w:b w:val="0"/>
          <w:color w:val="auto"/>
        </w:rPr>
        <w:t>(a) Illustration of nomenclature for phosphorothioate (PS) dsRNA example. Phosphorothioate linkages shown as “</w:t>
      </w:r>
      <w:r w:rsidRPr="00A57D7B">
        <w:rPr>
          <w:color w:val="FF0000"/>
        </w:rPr>
        <w:t>s</w:t>
      </w:r>
      <w:r w:rsidRPr="00FC1017">
        <w:rPr>
          <w:b w:val="0"/>
          <w:color w:val="auto"/>
        </w:rPr>
        <w:t>”. dsRNAs synthesised in IVT reactions with one NTP replaced by an alpha-thio NTP analogue are referred to as 1PS. dsRNAs synthesised in IVT reactions with two NTPs replaced  by alpha-thio NTP analogues are referred to as 2PS. dsRNAs with modifications in one strand are referred to as “Un-2PS”, “2PS-Un” etc., with the format “guide strand-passenger strand”. (b) Illustration of nomenclature for 2’-fluoro (2’F) dsRNA. 2’-fluoro modifications shown as “</w:t>
      </w:r>
      <w:r w:rsidRPr="00A57D7B">
        <w:rPr>
          <w:color w:val="F79646" w:themeColor="accent6"/>
        </w:rPr>
        <w:t>F</w:t>
      </w:r>
      <w:r w:rsidRPr="00FC1017">
        <w:rPr>
          <w:b w:val="0"/>
          <w:color w:val="auto"/>
        </w:rPr>
        <w:t>” (c) Illustration of nomenclature for 5-hydroxymethyl (HMr) dsRNA. 5-hydroxymethyl C residues shown as “</w:t>
      </w:r>
      <w:r w:rsidRPr="00A57D7B">
        <w:rPr>
          <w:color w:val="CC3399"/>
        </w:rPr>
        <w:t>C</w:t>
      </w:r>
      <w:r w:rsidRPr="00FC1017">
        <w:rPr>
          <w:b w:val="0"/>
          <w:color w:val="auto"/>
        </w:rPr>
        <w:t>”.</w:t>
      </w:r>
    </w:p>
    <w:p w:rsidR="00B10753" w:rsidRDefault="00B10753" w:rsidP="00FC1017">
      <w:pPr>
        <w:spacing w:line="360" w:lineRule="auto"/>
      </w:pPr>
    </w:p>
    <w:p w:rsidR="008953EC" w:rsidRPr="00A57D7B" w:rsidRDefault="008953EC" w:rsidP="00FC1017">
      <w:pPr>
        <w:spacing w:line="360" w:lineRule="auto"/>
      </w:pPr>
      <w:r>
        <w:t xml:space="preserve">or </w:t>
      </w:r>
      <w:r w:rsidRPr="00A57D7B">
        <w:t>2PS-Un, with the format “guide strand-passenger strand” (see figure 3.5 a). The same nomenclature was used for other chemically modified dsRNAs e.g. 1 2’F, 2 2’F, 1HMr and so forth (see figure 3.5 b &amp; c).</w:t>
      </w:r>
    </w:p>
    <w:p w:rsidR="008953EC" w:rsidRDefault="008953EC" w:rsidP="008953EC">
      <w:pPr>
        <w:spacing w:line="360" w:lineRule="auto"/>
        <w:ind w:firstLine="284"/>
      </w:pPr>
      <w:r w:rsidRPr="00A57D7B">
        <w:t xml:space="preserve"> The reactions were incubated for 12 hours at 37 °C, prior to addition of DNase and analysis using  gel electrophoresis (see figure 3.6 a). The results demonstrate</w:t>
      </w:r>
      <w:r>
        <w:t xml:space="preserve"> that all possible combinations of 1PS </w:t>
      </w:r>
      <w:r>
        <w:lastRenderedPageBreak/>
        <w:t xml:space="preserve">and 2PS dsRNA can be successfully synthesised. Following purification by SPE as previously described, the yield of dsRNA from each </w:t>
      </w:r>
      <w:r w:rsidRPr="00A57D7B">
        <w:t>reaction was determined using a Nanodrop UV spectrophotometer, and the results are presented in table 3.3. The results demonstrate similar yields for all 1PS dsRNAs, and similar yields were obtained for all 2PS dsRNAs</w:t>
      </w:r>
      <w:r>
        <w:t xml:space="preserve">. There is a reduction in yield of dsRNAs as increasing numbers of </w:t>
      </w:r>
      <w:r>
        <w:rPr>
          <w:rFonts w:cstheme="minorHAnsi"/>
        </w:rPr>
        <w:t>α</w:t>
      </w:r>
      <w:r>
        <w:t xml:space="preserve">-thio NTP are included in the IVT reactions, highlighting the reduced efficiency of incorporation of </w:t>
      </w:r>
      <w:r>
        <w:rPr>
          <w:rFonts w:cstheme="minorHAnsi"/>
        </w:rPr>
        <w:t>α</w:t>
      </w:r>
      <w:r>
        <w:t xml:space="preserve">-thio NTPs by T7 RNA polymerase. The IVT reactions were later repeated with a shorter incubation time of 4 hours and reaction yields were similar (data not shown). In addition, attempts were made to synthesise dsRNA containing 3PS and 4PS dsRNA (three or all four NTPs replaced with </w:t>
      </w:r>
      <w:r>
        <w:rPr>
          <w:rFonts w:cstheme="minorHAnsi"/>
        </w:rPr>
        <w:t>α</w:t>
      </w:r>
      <w:r>
        <w:t>-thio NTPs). However a significant reduction in yield was obtained (data not shown).</w:t>
      </w:r>
    </w:p>
    <w:p w:rsidR="008953EC" w:rsidRDefault="008953EC" w:rsidP="008953EC">
      <w:pPr>
        <w:spacing w:line="360" w:lineRule="auto"/>
        <w:ind w:firstLine="284"/>
      </w:pPr>
    </w:p>
    <w:p w:rsidR="00B10753" w:rsidRPr="00B10753" w:rsidRDefault="00B10753" w:rsidP="00B10753">
      <w:pPr>
        <w:pStyle w:val="Caption"/>
        <w:keepNext/>
        <w:rPr>
          <w:color w:val="auto"/>
        </w:rPr>
      </w:pPr>
      <w:bookmarkStart w:id="102" w:name="_Toc20405261"/>
      <w:r w:rsidRPr="00B10753">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3</w:t>
      </w:r>
      <w:r w:rsidR="005C0E76">
        <w:rPr>
          <w:color w:val="auto"/>
        </w:rPr>
        <w:fldChar w:fldCharType="end"/>
      </w:r>
      <w:r w:rsidRPr="00B10753">
        <w:rPr>
          <w:color w:val="auto"/>
        </w:rPr>
        <w:t xml:space="preserve"> Yields of unmodified and phosphorothioate Dome11 dsRNA synthesised by IVT using T7 RNA polymerase. Yields are based on a 20 µl IVT reaction purified by SPE with a single elution of 50 µl of nuclease free water, and concentration measured by Nanodrop UV spectrophotometer.</w:t>
      </w:r>
      <w:bookmarkEnd w:id="102"/>
    </w:p>
    <w:tbl>
      <w:tblPr>
        <w:tblStyle w:val="TableGrid"/>
        <w:tblW w:w="0" w:type="auto"/>
        <w:jc w:val="center"/>
        <w:tblLook w:val="04A0"/>
      </w:tblPr>
      <w:tblGrid>
        <w:gridCol w:w="1526"/>
        <w:gridCol w:w="1843"/>
        <w:gridCol w:w="1275"/>
      </w:tblGrid>
      <w:tr w:rsidR="008953EC" w:rsidTr="00B10753">
        <w:trPr>
          <w:jc w:val="center"/>
        </w:trPr>
        <w:tc>
          <w:tcPr>
            <w:tcW w:w="1526" w:type="dxa"/>
            <w:vAlign w:val="center"/>
          </w:tcPr>
          <w:p w:rsidR="008953EC" w:rsidRPr="00880F53" w:rsidRDefault="008953EC" w:rsidP="00B10753">
            <w:pPr>
              <w:jc w:val="center"/>
              <w:rPr>
                <w:b/>
              </w:rPr>
            </w:pPr>
            <w:r>
              <w:rPr>
                <w:b/>
              </w:rPr>
              <w:t>dsRNA Type</w:t>
            </w:r>
          </w:p>
        </w:tc>
        <w:tc>
          <w:tcPr>
            <w:tcW w:w="1843" w:type="dxa"/>
            <w:vAlign w:val="center"/>
          </w:tcPr>
          <w:p w:rsidR="008953EC" w:rsidRPr="00880F53" w:rsidRDefault="008953EC" w:rsidP="00B10753">
            <w:pPr>
              <w:jc w:val="center"/>
              <w:rPr>
                <w:b/>
              </w:rPr>
            </w:pPr>
            <w:r w:rsidRPr="00880F53">
              <w:rPr>
                <w:b/>
              </w:rPr>
              <w:t>Modifi</w:t>
            </w:r>
            <w:r>
              <w:rPr>
                <w:b/>
              </w:rPr>
              <w:t>ed Base(s)</w:t>
            </w:r>
          </w:p>
        </w:tc>
        <w:tc>
          <w:tcPr>
            <w:tcW w:w="1275" w:type="dxa"/>
            <w:vAlign w:val="center"/>
          </w:tcPr>
          <w:p w:rsidR="008953EC" w:rsidRPr="00880F53" w:rsidRDefault="008953EC" w:rsidP="00B10753">
            <w:pPr>
              <w:jc w:val="center"/>
              <w:rPr>
                <w:b/>
              </w:rPr>
            </w:pPr>
            <w:r w:rsidRPr="00880F53">
              <w:rPr>
                <w:b/>
              </w:rPr>
              <w:t>Yield</w:t>
            </w:r>
            <w:r>
              <w:rPr>
                <w:b/>
              </w:rPr>
              <w:t xml:space="preserve"> (µg)</w:t>
            </w:r>
          </w:p>
        </w:tc>
      </w:tr>
      <w:tr w:rsidR="008953EC" w:rsidTr="00B10753">
        <w:trPr>
          <w:jc w:val="center"/>
        </w:trPr>
        <w:tc>
          <w:tcPr>
            <w:tcW w:w="1526" w:type="dxa"/>
            <w:vAlign w:val="center"/>
          </w:tcPr>
          <w:p w:rsidR="008953EC" w:rsidRDefault="008953EC" w:rsidP="00B10753">
            <w:pPr>
              <w:jc w:val="center"/>
            </w:pPr>
            <w:r>
              <w:t>Unmod</w:t>
            </w:r>
          </w:p>
        </w:tc>
        <w:tc>
          <w:tcPr>
            <w:tcW w:w="1843" w:type="dxa"/>
            <w:vAlign w:val="center"/>
          </w:tcPr>
          <w:p w:rsidR="008953EC" w:rsidRDefault="008953EC" w:rsidP="00B10753">
            <w:pPr>
              <w:jc w:val="center"/>
            </w:pPr>
            <w:r>
              <w:t>/</w:t>
            </w:r>
          </w:p>
        </w:tc>
        <w:tc>
          <w:tcPr>
            <w:tcW w:w="1275" w:type="dxa"/>
            <w:vAlign w:val="center"/>
          </w:tcPr>
          <w:p w:rsidR="008953EC" w:rsidRPr="008A223C" w:rsidRDefault="008953EC" w:rsidP="00B10753">
            <w:pPr>
              <w:jc w:val="center"/>
            </w:pPr>
            <w:r w:rsidRPr="008A223C">
              <w:t>106.6</w:t>
            </w:r>
          </w:p>
        </w:tc>
      </w:tr>
      <w:tr w:rsidR="008953EC" w:rsidTr="00B10753">
        <w:trPr>
          <w:jc w:val="center"/>
        </w:trPr>
        <w:tc>
          <w:tcPr>
            <w:tcW w:w="1526" w:type="dxa"/>
            <w:vMerge w:val="restart"/>
            <w:vAlign w:val="center"/>
          </w:tcPr>
          <w:p w:rsidR="008953EC" w:rsidRDefault="008953EC" w:rsidP="00B10753">
            <w:pPr>
              <w:jc w:val="center"/>
            </w:pPr>
            <w:r>
              <w:t>1PS</w:t>
            </w:r>
          </w:p>
        </w:tc>
        <w:tc>
          <w:tcPr>
            <w:tcW w:w="1843" w:type="dxa"/>
            <w:vAlign w:val="center"/>
          </w:tcPr>
          <w:p w:rsidR="008953EC" w:rsidRDefault="008953EC" w:rsidP="00B10753">
            <w:pPr>
              <w:jc w:val="center"/>
            </w:pPr>
            <w:r>
              <w:t>A</w:t>
            </w:r>
          </w:p>
        </w:tc>
        <w:tc>
          <w:tcPr>
            <w:tcW w:w="1275" w:type="dxa"/>
            <w:vAlign w:val="center"/>
          </w:tcPr>
          <w:p w:rsidR="008953EC" w:rsidRPr="008A223C" w:rsidRDefault="008953EC" w:rsidP="00B10753">
            <w:pPr>
              <w:jc w:val="center"/>
            </w:pPr>
            <w:r w:rsidRPr="008A223C">
              <w:t>17.6</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C</w:t>
            </w:r>
          </w:p>
        </w:tc>
        <w:tc>
          <w:tcPr>
            <w:tcW w:w="1275" w:type="dxa"/>
            <w:vAlign w:val="center"/>
          </w:tcPr>
          <w:p w:rsidR="008953EC" w:rsidRDefault="008953EC" w:rsidP="00B10753">
            <w:pPr>
              <w:jc w:val="center"/>
            </w:pPr>
            <w:r>
              <w:t>15.3</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G</w:t>
            </w:r>
          </w:p>
        </w:tc>
        <w:tc>
          <w:tcPr>
            <w:tcW w:w="1275" w:type="dxa"/>
            <w:vAlign w:val="center"/>
          </w:tcPr>
          <w:p w:rsidR="008953EC" w:rsidRDefault="008953EC" w:rsidP="00B10753">
            <w:pPr>
              <w:jc w:val="center"/>
            </w:pPr>
            <w:r>
              <w:t>15.4</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U</w:t>
            </w:r>
          </w:p>
        </w:tc>
        <w:tc>
          <w:tcPr>
            <w:tcW w:w="1275" w:type="dxa"/>
            <w:vAlign w:val="center"/>
          </w:tcPr>
          <w:p w:rsidR="008953EC" w:rsidRDefault="008953EC" w:rsidP="00B10753">
            <w:pPr>
              <w:jc w:val="center"/>
            </w:pPr>
            <w:r>
              <w:t>16.2</w:t>
            </w:r>
          </w:p>
        </w:tc>
      </w:tr>
      <w:tr w:rsidR="008953EC" w:rsidTr="00B10753">
        <w:trPr>
          <w:jc w:val="center"/>
        </w:trPr>
        <w:tc>
          <w:tcPr>
            <w:tcW w:w="1526" w:type="dxa"/>
            <w:vMerge w:val="restart"/>
            <w:vAlign w:val="center"/>
          </w:tcPr>
          <w:p w:rsidR="008953EC" w:rsidRDefault="008953EC" w:rsidP="00B10753">
            <w:pPr>
              <w:jc w:val="center"/>
            </w:pPr>
            <w:r>
              <w:t>2PS</w:t>
            </w:r>
          </w:p>
        </w:tc>
        <w:tc>
          <w:tcPr>
            <w:tcW w:w="1843" w:type="dxa"/>
            <w:vAlign w:val="center"/>
          </w:tcPr>
          <w:p w:rsidR="008953EC" w:rsidRDefault="008953EC" w:rsidP="00B10753">
            <w:pPr>
              <w:jc w:val="center"/>
            </w:pPr>
            <w:r>
              <w:t>AC</w:t>
            </w:r>
          </w:p>
        </w:tc>
        <w:tc>
          <w:tcPr>
            <w:tcW w:w="1275" w:type="dxa"/>
            <w:vAlign w:val="center"/>
          </w:tcPr>
          <w:p w:rsidR="008953EC" w:rsidRDefault="008953EC" w:rsidP="00B10753">
            <w:pPr>
              <w:jc w:val="center"/>
            </w:pPr>
            <w:r>
              <w:t>9.4</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AG</w:t>
            </w:r>
          </w:p>
        </w:tc>
        <w:tc>
          <w:tcPr>
            <w:tcW w:w="1275" w:type="dxa"/>
            <w:vAlign w:val="center"/>
          </w:tcPr>
          <w:p w:rsidR="008953EC" w:rsidRDefault="008953EC" w:rsidP="00B10753">
            <w:pPr>
              <w:jc w:val="center"/>
            </w:pPr>
            <w:r>
              <w:t>5.8</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AU</w:t>
            </w:r>
          </w:p>
        </w:tc>
        <w:tc>
          <w:tcPr>
            <w:tcW w:w="1275" w:type="dxa"/>
            <w:vAlign w:val="center"/>
          </w:tcPr>
          <w:p w:rsidR="008953EC" w:rsidRDefault="008953EC" w:rsidP="00B10753">
            <w:pPr>
              <w:jc w:val="center"/>
            </w:pPr>
            <w:r>
              <w:t>8.3</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CG</w:t>
            </w:r>
          </w:p>
        </w:tc>
        <w:tc>
          <w:tcPr>
            <w:tcW w:w="1275" w:type="dxa"/>
            <w:vAlign w:val="center"/>
          </w:tcPr>
          <w:p w:rsidR="008953EC" w:rsidRDefault="008953EC" w:rsidP="00B10753">
            <w:pPr>
              <w:jc w:val="center"/>
            </w:pPr>
            <w:r>
              <w:t>13.4</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CU</w:t>
            </w:r>
          </w:p>
        </w:tc>
        <w:tc>
          <w:tcPr>
            <w:tcW w:w="1275" w:type="dxa"/>
            <w:vAlign w:val="center"/>
          </w:tcPr>
          <w:p w:rsidR="008953EC" w:rsidRDefault="008953EC" w:rsidP="00B10753">
            <w:pPr>
              <w:jc w:val="center"/>
            </w:pPr>
            <w:r>
              <w:t>12.0</w:t>
            </w:r>
          </w:p>
        </w:tc>
      </w:tr>
      <w:tr w:rsidR="008953EC" w:rsidTr="00B10753">
        <w:trPr>
          <w:jc w:val="center"/>
        </w:trPr>
        <w:tc>
          <w:tcPr>
            <w:tcW w:w="1526" w:type="dxa"/>
            <w:vMerge/>
            <w:vAlign w:val="center"/>
          </w:tcPr>
          <w:p w:rsidR="008953EC" w:rsidRDefault="008953EC" w:rsidP="00B10753">
            <w:pPr>
              <w:jc w:val="center"/>
            </w:pPr>
          </w:p>
        </w:tc>
        <w:tc>
          <w:tcPr>
            <w:tcW w:w="1843" w:type="dxa"/>
            <w:vAlign w:val="center"/>
          </w:tcPr>
          <w:p w:rsidR="008953EC" w:rsidRDefault="008953EC" w:rsidP="00B10753">
            <w:pPr>
              <w:jc w:val="center"/>
            </w:pPr>
            <w:r>
              <w:t>GU</w:t>
            </w:r>
          </w:p>
        </w:tc>
        <w:tc>
          <w:tcPr>
            <w:tcW w:w="1275" w:type="dxa"/>
            <w:vAlign w:val="center"/>
          </w:tcPr>
          <w:p w:rsidR="008953EC" w:rsidRDefault="008953EC" w:rsidP="00B10753">
            <w:pPr>
              <w:jc w:val="center"/>
            </w:pPr>
            <w:r>
              <w:t>7.2</w:t>
            </w:r>
          </w:p>
        </w:tc>
      </w:tr>
    </w:tbl>
    <w:p w:rsidR="008953EC" w:rsidRDefault="008953EC" w:rsidP="008953EC">
      <w:pPr>
        <w:spacing w:line="360" w:lineRule="auto"/>
        <w:ind w:firstLine="284"/>
      </w:pPr>
    </w:p>
    <w:p w:rsidR="008953EC" w:rsidRDefault="008953EC" w:rsidP="008953EC">
      <w:pPr>
        <w:spacing w:line="360" w:lineRule="auto"/>
        <w:ind w:firstLine="284"/>
      </w:pPr>
      <w:r>
        <w:t xml:space="preserve">Initial analysis of the PS dsRNA using gel electrophoresis was used to further validate the incorporation of the phosphorothioate modifications. </w:t>
      </w:r>
      <w:r w:rsidRPr="00A46844">
        <w:t xml:space="preserve">Dome11 dsRNA contains different amounts of each of the four nucleotides, and therefore the PS modified dsRNAs contain different numbers of PS modifications. In order to negate effects due to the differing number of each nucleotide, all four 1PS dsRNAs were mixed in equal quantities into a pool of mixed 1PS dsRNAs. The 2PS dsRNAs were pooled likewise. The unmodified </w:t>
      </w:r>
      <w:r w:rsidRPr="00A57D7B">
        <w:t>dsRNA, 1PS dsRNA mixture and 2PS dsRNA mixture were subsequently analysed by gel electrophoresis (see figure 3.6 b). The results demonstrated that a small shift in electrophoretic migration of the PS dsRNA was</w:t>
      </w:r>
      <w:r>
        <w:t xml:space="preserve"> observed, with an increase electrophoretic migration compared to the corresponding unmodified dsRNA. </w:t>
      </w:r>
    </w:p>
    <w:p w:rsidR="00B10753" w:rsidRDefault="008953EC" w:rsidP="008953EC">
      <w:pPr>
        <w:spacing w:line="360" w:lineRule="auto"/>
        <w:ind w:firstLine="284"/>
      </w:pPr>
      <w:r>
        <w:t xml:space="preserve">PS modified nucleic acids have also previously been demonstrated to have different retention times in comparison to unmodified nucleic acids when analysed by either reverse phase </w:t>
      </w:r>
      <w:r w:rsidR="005C0E76">
        <w:fldChar w:fldCharType="begin" w:fldLock="1"/>
      </w:r>
      <w:r>
        <w:instrText>ADDIN CSL_CITATION {"citationItems":[{"id":"ITEM-1","itemData":{"DOI":"10.1093/nar/gks650","ISBN":"1362-4962 (Electronic)\\r0305-1048 (Linking)","ISSN":"03051048","PMID":"22772986","abstract":"Diverse bacteria contain DNA with sulfur incorporated stereo-specifically into their DNA backbone at specific sequences (phosphorothioation). We found that in vitro oxidation of phosphorothioate (PT) DNA by hydrogen peroxide (H(2)O(2)) or peracetic acid has two possible outcomes: DNA backbone cleavage or sulfur removal resulting in restoration of normal DNA backbone. The physiological relevance of this redox reaction was investigated by challenging PT DNA hosting Salmonella enterica cells using H(2)O(2). DNA phosphorothioation was found to correlate with increasing resistance to the growth inhibition by H(2)O(2). Resistance to H(2)O(2) was abolished when each of the three dnd genes, required for phosphorothioation, was inactivated. In vivo, PT DNA is more resistant to the double-strand break damage caused by H(2)O(2) than PT-free DNA. Furthermore, sulfur on the modified DNA was consumed and the DNA was converted to PT-free state when the bacteria were incubated with H(2)O(2). These findings are consistent with a hypothesis that phosphorothioation modification endows DNA with reducing chemical property, which protects the hosting bacteria against peroxide, explaining why this modification is maintained by diverse bacteria.","author":[{"dropping-particle":"","family":"Xie","given":"Xinqiang","non-dropping-particle":"","parse-names":false,"suffix":""},{"dropping-particle":"","family":"Liang","given":"Jingdan","non-dropping-particle":"","parse-names":false,"suffix":""},{"dropping-particle":"","family":"Pu","given":"Tianning","non-dropping-particle":"","parse-names":false,"suffix":""},{"dropping-particle":"","family":"Xu","given":"Fei","non-dropping-particle":"","parse-names":false,"suffix":""},{"dropping-particle":"","family":"Yao","given":"Fen","non-dropping-particle":"","parse-names":false,"suffix":""},{"dropping-particle":"","family":"Yang","given":"Yan","non-dropping-particle":"","parse-names":false,"suffix":""},{"dropping-particle":"","family":"Zhao","given":"Yi Lei","non-dropping-particle":"","parse-names":false,"suffix":""},{"dropping-particle":"","family":"You","given":"Delin","non-dropping-particle":"","parse-names":false,"suffix":""},{"dropping-particle":"","family":"Zhou","given":"Xiufen","non-dropping-particle":"","parse-names":false,"suffix":""},{"dropping-particle":"","family":"Deng","given":"Zixin","non-dropping-particle":"","parse-names":false,"suffix":""},{"dropping-particle":"","family":"Wang","given":"Zhijun","non-dropping-particle":"","parse-names":false,"suffix":""}],"container-title":"Nucleic Acids Research","id":"ITEM-1","issue":"18","issued":{"date-parts":[["2012"]]},"page":"9115-9124","title":"Phosphorothioate DNA as an antioxidant in bacteria","type":"article-journal","volume":"40"},"uris":["http://www.mendeley.com/documents/?uuid=7ded7599-4c3b-4785-9c26-b979159c3015"]}],"mendeley":{"formattedCitation":"(Xie &lt;i&gt;et al.&lt;/i&gt;, 2012)","plainTextFormattedCitation":"(Xie et al., 2012)","previouslyFormattedCitation":"(Xie &lt;i&gt;et al.&lt;/i&gt;, 2012)"},"properties":{"noteIndex":0},"schema":"https://github.com/citation-style-language/schema/raw/master/csl-citation.json"}</w:instrText>
      </w:r>
      <w:r w:rsidR="005C0E76">
        <w:fldChar w:fldCharType="separate"/>
      </w:r>
      <w:r w:rsidRPr="00CB63D9">
        <w:rPr>
          <w:noProof/>
        </w:rPr>
        <w:t xml:space="preserve">(Xie </w:t>
      </w:r>
      <w:r w:rsidRPr="00CB63D9">
        <w:rPr>
          <w:i/>
          <w:noProof/>
        </w:rPr>
        <w:t>et al.</w:t>
      </w:r>
      <w:r w:rsidRPr="00CB63D9">
        <w:rPr>
          <w:noProof/>
        </w:rPr>
        <w:t>, 2012)</w:t>
      </w:r>
      <w:r w:rsidR="005C0E76">
        <w:fldChar w:fldCharType="end"/>
      </w:r>
      <w:r>
        <w:t xml:space="preserve"> or ion exchange HPLC </w:t>
      </w:r>
      <w:r w:rsidR="005C0E76">
        <w:fldChar w:fldCharType="begin" w:fldLock="1"/>
      </w:r>
      <w:r>
        <w:instrText>ADDIN CSL_CITATION {"citationItems":[{"id":"ITEM-1","itemData":{"DOI":"10.1038/nbt.3948","ISSN":"1087-0156","abstract":"A scalable chemical method to control phosphorothioate chirality demonstrates its impact on the efficacy of antisense oligonucleotides.","author":[{"dropping-particle":"","family":"Iwamoto","given":"Naoki","non-dropping-particle":"","parse-names":false,"suffix":""},{"dropping-particle":"","family":"Butler","given":"David C D","non-dropping-particle":"","parse-names":false,"suffix":""},{"dropping-particle":"","family":"Svrzikapa","given":"Nenad","non-dropping-particle":"","parse-names":false,"suffix":""},{"dropping-particle":"","family":"Mohapatra","given":"Susovan","non-dropping-particle":"","parse-names":false,"suffix":""},{"dropping-particle":"","family":"Zlatev","given":"Ivan","non-dropping-particle":"","parse-names":false,"suffix":""},{"dropping-particle":"","family":"Sah","given":"Dinah W Y","non-dropping-particle":"","parse-names":false,"suffix":""},{"dropping-particle":"","family":"Meena","given":"","non-dropping-particle":"","parse-names":false,"suffix":""},{"dropping-particle":"","family":"Standley","given":"Stephany M","non-dropping-particle":"","parse-names":false,"suffix":""},{"dropping-particle":"","family":"Lu","given":"Genliang","non-dropping-particle":"","parse-names":false,"suffix":""},{"dropping-particle":"","family":"Apponi","given":"Luciano H","non-dropping-particle":"","parse-names":false,"suffix":""},{"dropping-particle":"","family":"Frank-Kamenetsky","given":"Maria","non-dropping-particle":"","parse-names":false,"suffix":""},{"dropping-particle":"","family":"Zhang","given":"Jason Jingxin","non-dropping-particle":"","parse-names":false,"suffix":""},{"dropping-particle":"","family":"Vargeese","given":"Chandra","non-dropping-particle":"","parse-names":false,"suffix":""},{"dropping-particle":"","family":"Verdine","given":"Gregory L","non-dropping-particle":"","parse-names":false,"suffix":""}],"container-title":"Nature Biotechnology","id":"ITEM-1","issue":"9","issued":{"date-parts":[["2017","8","21"]]},"page":"845-851","publisher":"Nature Publishing Group","title":"Control of phosphorothioate stereochemistry substantially increases the efficacy of antisense oligonucleotides","type":"article-journal","volume":"35"},"uris":["http://www.mendeley.com/documents/?uuid=3be30eb4-7148-3aed-a43a-094f1a3bdfac"]}],"mendeley":{"formattedCitation":"(Iwamoto &lt;i&gt;et al.&lt;/i&gt;, 2017)","plainTextFormattedCitation":"(Iwamoto et al., 2017)","previouslyFormattedCitation":"(Iwamoto &lt;i&gt;et al.&lt;/i&gt;, 2017)"},"properties":{"noteIndex":0},"schema":"https://github.com/citation-style-language/schema/raw/master/csl-citation.json"}</w:instrText>
      </w:r>
      <w:r w:rsidR="005C0E76">
        <w:fldChar w:fldCharType="separate"/>
      </w:r>
      <w:r w:rsidRPr="00EB010E">
        <w:rPr>
          <w:noProof/>
        </w:rPr>
        <w:t xml:space="preserve">(Iwamoto </w:t>
      </w:r>
      <w:r w:rsidRPr="00EB010E">
        <w:rPr>
          <w:i/>
          <w:noProof/>
        </w:rPr>
        <w:t>et al.</w:t>
      </w:r>
      <w:r w:rsidRPr="00EB010E">
        <w:rPr>
          <w:noProof/>
        </w:rPr>
        <w:t>, 2017)</w:t>
      </w:r>
      <w:r w:rsidR="005C0E76">
        <w:fldChar w:fldCharType="end"/>
      </w:r>
      <w:r>
        <w:t xml:space="preserve">. </w:t>
      </w:r>
      <w:r w:rsidR="006973D5">
        <w:t xml:space="preserve"> </w:t>
      </w:r>
      <w:r>
        <w:t>In</w:t>
      </w:r>
      <w:r w:rsidR="006973D5">
        <w:t xml:space="preserve"> </w:t>
      </w:r>
      <w:r>
        <w:t xml:space="preserve"> order</w:t>
      </w:r>
      <w:r w:rsidR="006973D5">
        <w:t xml:space="preserve"> </w:t>
      </w:r>
      <w:r>
        <w:t xml:space="preserve"> to </w:t>
      </w:r>
      <w:r w:rsidR="006973D5">
        <w:t xml:space="preserve"> </w:t>
      </w:r>
      <w:r>
        <w:t xml:space="preserve">further </w:t>
      </w:r>
      <w:r w:rsidR="006973D5">
        <w:t xml:space="preserve"> </w:t>
      </w:r>
      <w:r>
        <w:t xml:space="preserve">confirm </w:t>
      </w:r>
      <w:r w:rsidR="006973D5">
        <w:t xml:space="preserve"> </w:t>
      </w:r>
      <w:r>
        <w:t xml:space="preserve">that </w:t>
      </w:r>
      <w:r w:rsidR="006973D5">
        <w:t xml:space="preserve"> </w:t>
      </w:r>
      <w:r>
        <w:t xml:space="preserve">the </w:t>
      </w:r>
      <w:r w:rsidR="006973D5">
        <w:t xml:space="preserve">  </w:t>
      </w:r>
      <w:r>
        <w:t>dsRNAs</w:t>
      </w:r>
    </w:p>
    <w:p w:rsidR="00B10753" w:rsidRDefault="009A0071" w:rsidP="009A0071">
      <w:pPr>
        <w:keepNext/>
        <w:spacing w:after="200"/>
        <w:jc w:val="center"/>
      </w:pPr>
      <w:r>
        <w:rPr>
          <w:noProof/>
          <w:lang w:eastAsia="en-GB"/>
        </w:rPr>
        <w:lastRenderedPageBreak/>
        <w:drawing>
          <wp:inline distT="0" distB="0" distL="0" distR="0">
            <wp:extent cx="5895099" cy="6123353"/>
            <wp:effectExtent l="0" t="0" r="0" b="0"/>
            <wp:docPr id="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5895099" cy="6123353"/>
                    </a:xfrm>
                    <a:prstGeom prst="rect">
                      <a:avLst/>
                    </a:prstGeom>
                    <a:noFill/>
                  </pic:spPr>
                </pic:pic>
              </a:graphicData>
            </a:graphic>
          </wp:inline>
        </w:drawing>
      </w:r>
    </w:p>
    <w:p w:rsidR="00B10753" w:rsidRDefault="00B10753" w:rsidP="00B10753">
      <w:pPr>
        <w:pStyle w:val="Caption"/>
        <w:rPr>
          <w:color w:val="auto"/>
        </w:rPr>
      </w:pPr>
    </w:p>
    <w:p w:rsidR="006973D5" w:rsidRDefault="00B10753" w:rsidP="006973D5">
      <w:pPr>
        <w:pStyle w:val="Caption"/>
        <w:spacing w:after="120"/>
        <w:rPr>
          <w:color w:val="auto"/>
        </w:rPr>
      </w:pPr>
      <w:bookmarkStart w:id="103" w:name="_Toc20411635"/>
      <w:r w:rsidRPr="00B10753">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6</w:t>
      </w:r>
      <w:r w:rsidR="005C0E76">
        <w:rPr>
          <w:color w:val="auto"/>
        </w:rPr>
        <w:fldChar w:fldCharType="end"/>
      </w:r>
      <w:r w:rsidRPr="00B10753">
        <w:rPr>
          <w:color w:val="auto"/>
        </w:rPr>
        <w:t xml:space="preserve"> Synthesis of phosphorothioate modified long dsRNA using IVT</w:t>
      </w:r>
      <w:bookmarkEnd w:id="103"/>
      <w:r w:rsidRPr="00B10753">
        <w:rPr>
          <w:color w:val="auto"/>
        </w:rPr>
        <w:t xml:space="preserve"> </w:t>
      </w:r>
    </w:p>
    <w:p w:rsidR="00B10753" w:rsidRPr="00B10753" w:rsidRDefault="00B10753" w:rsidP="006973D5">
      <w:pPr>
        <w:pStyle w:val="Caption"/>
        <w:spacing w:after="120"/>
        <w:rPr>
          <w:b w:val="0"/>
          <w:color w:val="auto"/>
        </w:rPr>
      </w:pPr>
      <w:r w:rsidRPr="00B10753">
        <w:rPr>
          <w:b w:val="0"/>
          <w:color w:val="auto"/>
        </w:rPr>
        <w:t>(a) Gel electrophoretogram of all combinations of 1PS and 2PS Dome11 dsRNA synthesised by IVT using T7 RNA polymerase. (b) Gel electrophoretogram of 100 ng and 300 ng of unmodified, 1PS and 2PS FLuc dsRNA demonstrating variation in electrophoretic mobility of the phosphorothioate dsRNA. (c) Chromatogram of Dome11 unmodified and 1PS dsRNA, and FLuc 1PS dsRNAs, analysed in non-denaturing conditions at 50 °C using gradient 1. Results show small shift in retention time of the phosphorothioate dsRNA</w:t>
      </w:r>
      <w:r w:rsidR="004870F7">
        <w:rPr>
          <w:b w:val="0"/>
          <w:color w:val="auto"/>
        </w:rPr>
        <w:t>.</w:t>
      </w:r>
      <w:r w:rsidRPr="00B10753">
        <w:rPr>
          <w:b w:val="0"/>
          <w:color w:val="auto"/>
        </w:rPr>
        <w:t xml:space="preserve"> (d) Chromatogram demonstrating hydrophobicity-based separation of Dome11 unmodified, 1PS and 2PS dsRNAs, and Dome11 DNA template, analysed in denaturing conditions at 75 °C using gradient 1. Results show a larger shift in retention time of the phosphorothioate ssRNA generated from the corresponding dsRNA than for duplex phosphorothioate dsRNA.</w:t>
      </w:r>
    </w:p>
    <w:p w:rsidR="00B10753" w:rsidRDefault="00B10753" w:rsidP="00B10753">
      <w:pPr>
        <w:spacing w:line="360" w:lineRule="auto"/>
      </w:pPr>
    </w:p>
    <w:p w:rsidR="00B10753" w:rsidRDefault="00B10753" w:rsidP="00B10753">
      <w:pPr>
        <w:spacing w:line="360" w:lineRule="auto"/>
      </w:pPr>
    </w:p>
    <w:p w:rsidR="00B10753" w:rsidRDefault="00B10753" w:rsidP="00B10753">
      <w:pPr>
        <w:spacing w:line="360" w:lineRule="auto"/>
      </w:pPr>
    </w:p>
    <w:p w:rsidR="008953EC" w:rsidRDefault="008953EC" w:rsidP="00B10753">
      <w:pPr>
        <w:spacing w:line="360" w:lineRule="auto"/>
      </w:pPr>
      <w:r>
        <w:lastRenderedPageBreak/>
        <w:t xml:space="preserve">synthesised contained the PS modifications, the dsRNAs were analysed by IP RP HPLC. Dome11 unmodified and 1PS dsRNA were analysed, along </w:t>
      </w:r>
      <w:r w:rsidRPr="00B10753">
        <w:t>with FLuc 1PS dsRNA</w:t>
      </w:r>
      <w:r>
        <w:t xml:space="preserve"> (</w:t>
      </w:r>
      <w:r w:rsidRPr="00A57D7B">
        <w:t>see figure 3.6 c). FLuc and Dome11 are both 401 bp in length. The results of the HPLC analysis in non-denaturing conditions at 50 °C demonstrate a small increase in retention time of the PS modified dsRNA compared to the unmodified dsRNA. Dome11 and FLuc are identical in length but have different sequences, and the FLuc 1PS dsRNA eluted at the same time as Dome11 1PS dsRNA. These results are consistent with the expected increase in hydrophobicity of the PS modified dsRNA and therefore further validate the incorporation of the PS modifications. Shifts in retention time between the dsRNAs were also quite small, with a retention time range of only approximately 1 minute, consistent with small changes in electrophoretic migration. IP RP HPLC was also carried out under denaturing conditions at 75 °C to analyse the corresponding ssRNAs from the dsRNA. The results are shown in figure 3.6 d</w:t>
      </w:r>
      <w:r>
        <w:t xml:space="preserve"> and demonstrate clearer differences in the retention time of the PS ssRNAs generated from the duplex dsRNA. Consistent with previous observations, increasing the PS content in the ssRNA results in increase retention time due to the increased hydrophobicity of the RNA, enabling clear validation of the synthesis of 1PS and 2PS dsRNA using IVT.</w:t>
      </w:r>
    </w:p>
    <w:p w:rsidR="008953EC" w:rsidRPr="00DE5A5F" w:rsidRDefault="008953EC" w:rsidP="008953EC">
      <w:pPr>
        <w:spacing w:line="360" w:lineRule="auto"/>
        <w:ind w:firstLine="284"/>
      </w:pPr>
      <w:r>
        <w:t xml:space="preserve">Phosphorothioate dsRNA analysed by IP RP HPLC in non-denaturing conditions did not demonstrate a clear retention time shift compared to unmodified dsRNA, which was unexpected given the difference in hydrophobicity between orthophosphate and thiophosphate. Using NMR spectroscopy to study unmodified and phosphorothioate variants of a hairpin (hp) RNA containing double stranded, unpaired single stranded, and hairpin loop single stranded regions, it has been shown that in ssRNA, phosphodiester linked bases intercalate and stack into the RNA helix </w:t>
      </w:r>
      <w:r w:rsidR="005C0E76">
        <w:fldChar w:fldCharType="begin" w:fldLock="1"/>
      </w:r>
      <w:r>
        <w:instrText>ADDIN CSL_CITATION {"citationItems":[{"id":"ITEM-1","itemData":{"DOI":"10.1021/bi992712b","ISBN":"0006-2960","ISSN":"00062960","PMID":"10801314","abstract":"Phosphorothioate substitution-interference experiments, routinely used to stereospecifically identify phosphoryl oxygen sites that participate in RNA-ligand binding and RNA-directed catalysis, rest in their interpretation on the untested assumption that substitution does not alter the conformation of the modified molecule from its biologically active state. Using NMR spectroscopy, we have tested this assumption by determining the structural effect of stereospecific phosphorothioate substitution at five positions in an RNA hairpin containing the binding site for bacteriophage MS2 capsid protein. At most sites, substitution has little or no effect, causing minor perturbations in the phosphate backbone and increasing the stacking among nucleotides in the hairpin loop. At one site, however, phosphorothioate substitution causes an unpaired adenine necessary for formation of the capsid protein-RNA complex to loop out of the RNA helix into the major groove. These results indicate that phosphorothioate substitution can substantially alter the conformation of RNA at positions of irregular secondary structure, complicating the use of substitution-interference experiments to study RNA structure and function.","author":[{"dropping-particle":"","family":"Smith","given":"Jeff S.","non-dropping-particle":"","parse-names":false,"suffix":""},{"dropping-particle":"","family":"Nikonowicz","given":"Edward P.","non-dropping-particle":"","parse-names":false,"suffix":""}],"container-title":"Biochemistry","id":"ITEM-1","issue":"19","issued":{"date-parts":[["2000"]]},"page":"5642-5652","title":"Phosphorothioate substitution can substantially alter RNA conformation","type":"article-journal","volume":"39"},"uris":["http://www.mendeley.com/documents/?uuid=9e243d2b-dc6f-47fd-8e89-dd963d68eb62"]}],"mendeley":{"formattedCitation":"(Smith and Nikonowicz, 2000)","plainTextFormattedCitation":"(Smith and Nikonowicz, 2000)","previouslyFormattedCitation":"(Smith and Nikonowicz, 2000)"},"properties":{"noteIndex":0},"schema":"https://github.com/citation-style-language/schema/raw/master/csl-citation.json"}</w:instrText>
      </w:r>
      <w:r w:rsidR="005C0E76">
        <w:fldChar w:fldCharType="separate"/>
      </w:r>
      <w:r w:rsidRPr="00FC3AAE">
        <w:rPr>
          <w:noProof/>
        </w:rPr>
        <w:t>(Smith and Nikonowicz, 2000)</w:t>
      </w:r>
      <w:r w:rsidR="005C0E76">
        <w:fldChar w:fldCharType="end"/>
      </w:r>
      <w:r>
        <w:t>. In contrast, phosphorothioate-linked bases in an ssRNA bulge were shown to protrude into the major groove, and the</w:t>
      </w:r>
      <w:r w:rsidRPr="00344A7E">
        <w:t xml:space="preserve"> </w:t>
      </w:r>
      <w:r>
        <w:t xml:space="preserve">phosphorothioate-linked bases in an ssRNA loop showed changes in backbone conformation as well. However, phosphorothioate-linked bases in double stranded regions had similar conformations to phosphodiester linked bases </w:t>
      </w:r>
      <w:r w:rsidR="005C0E76">
        <w:fldChar w:fldCharType="begin" w:fldLock="1"/>
      </w:r>
      <w:r>
        <w:instrText>ADDIN CSL_CITATION {"citationItems":[{"id":"ITEM-1","itemData":{"DOI":"10.1021/bi992712b","ISBN":"0006-2960","ISSN":"00062960","PMID":"10801314","abstract":"Phosphorothioate substitution-interference experiments, routinely used to stereospecifically identify phosphoryl oxygen sites that participate in RNA-ligand binding and RNA-directed catalysis, rest in their interpretation on the untested assumption that substitution does not alter the conformation of the modified molecule from its biologically active state. Using NMR spectroscopy, we have tested this assumption by determining the structural effect of stereospecific phosphorothioate substitution at five positions in an RNA hairpin containing the binding site for bacteriophage MS2 capsid protein. At most sites, substitution has little or no effect, causing minor perturbations in the phosphate backbone and increasing the stacking among nucleotides in the hairpin loop. At one site, however, phosphorothioate substitution causes an unpaired adenine necessary for formation of the capsid protein-RNA complex to loop out of the RNA helix into the major groove. These results indicate that phosphorothioate substitution can substantially alter the conformation of RNA at positions of irregular secondary structure, complicating the use of substitution-interference experiments to study RNA structure and function.","author":[{"dropping-particle":"","family":"Smith","given":"Jeff S.","non-dropping-particle":"","parse-names":false,"suffix":""},{"dropping-particle":"","family":"Nikonowicz","given":"Edward P.","non-dropping-particle":"","parse-names":false,"suffix":""}],"container-title":"Biochemistry","id":"ITEM-1","issue":"19","issued":{"date-parts":[["2000"]]},"page":"5642-5652","title":"Phosphorothioate substitution can substantially alter RNA conformation","type":"article-journal","volume":"39"},"uris":["http://www.mendeley.com/documents/?uuid=9e243d2b-dc6f-47fd-8e89-dd963d68eb62"]}],"mendeley":{"formattedCitation":"(Smith and Nikonowicz, 2000)","plainTextFormattedCitation":"(Smith and Nikonowicz, 2000)","previouslyFormattedCitation":"(Smith and Nikonowicz, 2000)"},"properties":{"noteIndex":0},"schema":"https://github.com/citation-style-language/schema/raw/master/csl-citation.json"}</w:instrText>
      </w:r>
      <w:r w:rsidR="005C0E76">
        <w:fldChar w:fldCharType="separate"/>
      </w:r>
      <w:r w:rsidRPr="00BE0F1C">
        <w:rPr>
          <w:noProof/>
        </w:rPr>
        <w:t>(Smith and Nikonowicz, 2000)</w:t>
      </w:r>
      <w:r w:rsidR="005C0E76">
        <w:fldChar w:fldCharType="end"/>
      </w:r>
      <w:r>
        <w:t>. Therefore it is likely that the PS and unmodified dsRNA adopt very similar conformations, and the PS modifications cause little difference in the interaction with the ion pair reagent/stationary phase therefore having little effect on the retention time. In contrast, the altered conformation of PS ssRNA compared to unmodified ssRNA, is likely to significantly alter interactions with the ion pair reagent/stationary phase, which may explain why a much greater shift in retention time between unmodified and PS ssRNA is observed, than between unmodified and PS dsRNA.</w:t>
      </w:r>
    </w:p>
    <w:p w:rsidR="008953EC" w:rsidRDefault="008953EC" w:rsidP="008953EC">
      <w:pPr>
        <w:spacing w:line="360" w:lineRule="auto"/>
        <w:ind w:firstLine="284"/>
      </w:pPr>
    </w:p>
    <w:p w:rsidR="00B10753" w:rsidRDefault="00B10753" w:rsidP="008953EC">
      <w:pPr>
        <w:spacing w:line="360" w:lineRule="auto"/>
        <w:ind w:firstLine="284"/>
      </w:pPr>
    </w:p>
    <w:p w:rsidR="008953EC" w:rsidRDefault="008953EC" w:rsidP="00962A96">
      <w:pPr>
        <w:pStyle w:val="Heading3"/>
        <w:ind w:left="709"/>
      </w:pPr>
      <w:bookmarkStart w:id="104" w:name="_Toc18832674"/>
      <w:bookmarkStart w:id="105" w:name="_Toc35333965"/>
      <w:r>
        <w:lastRenderedPageBreak/>
        <w:t>Optimisation of synthesis of phosphorothioate RNA by IVT</w:t>
      </w:r>
      <w:bookmarkEnd w:id="104"/>
      <w:bookmarkEnd w:id="105"/>
    </w:p>
    <w:p w:rsidR="008953EC" w:rsidRDefault="008953EC" w:rsidP="008953EC"/>
    <w:p w:rsidR="008953EC" w:rsidRPr="003E38AF" w:rsidRDefault="008953EC" w:rsidP="008953EC">
      <w:pPr>
        <w:spacing w:line="360" w:lineRule="auto"/>
        <w:ind w:firstLine="284"/>
      </w:pPr>
      <w:r w:rsidRPr="003E38AF">
        <w:t xml:space="preserve">Previous results </w:t>
      </w:r>
      <w:r>
        <w:t>demonstrated the</w:t>
      </w:r>
      <w:r w:rsidRPr="003E38AF">
        <w:t xml:space="preserve"> successful synthesis and validation of dsRNA containing one and two PS nucleotide</w:t>
      </w:r>
      <w:r>
        <w:t xml:space="preserve"> analogues</w:t>
      </w:r>
      <w:r w:rsidRPr="003E38AF">
        <w:t>. However</w:t>
      </w:r>
      <w:r>
        <w:t>,</w:t>
      </w:r>
      <w:r w:rsidRPr="003E38AF">
        <w:t xml:space="preserve"> the yield obtained from the IVT reaction</w:t>
      </w:r>
      <w:r>
        <w:t>s</w:t>
      </w:r>
      <w:r w:rsidRPr="003E38AF">
        <w:t xml:space="preserve"> was lower compared to the unmodified dsRNA. Therefore</w:t>
      </w:r>
      <w:r>
        <w:t>,</w:t>
      </w:r>
      <w:r w:rsidRPr="003E38AF">
        <w:t xml:space="preserve"> further optimisation of the IVT reactions was performed in an attempt to improve yield, and generate PS </w:t>
      </w:r>
      <w:r>
        <w:t>modified dsRNA with PS modifications in either the passenger or guide strand using</w:t>
      </w:r>
      <w:r w:rsidRPr="003E38AF">
        <w:t xml:space="preserve"> IVT</w:t>
      </w:r>
      <w:r>
        <w:t>.</w:t>
      </w:r>
      <w:r w:rsidRPr="003E38AF">
        <w:t xml:space="preserve"> </w:t>
      </w:r>
    </w:p>
    <w:p w:rsidR="008953EC" w:rsidRPr="003E38AF" w:rsidRDefault="008953EC" w:rsidP="008953EC"/>
    <w:p w:rsidR="008953EC" w:rsidRDefault="008953EC" w:rsidP="008953EC">
      <w:pPr>
        <w:pStyle w:val="Heading4"/>
        <w:spacing w:before="200"/>
        <w:ind w:left="864" w:hanging="864"/>
      </w:pPr>
      <w:bookmarkStart w:id="106" w:name="_Toc18832675"/>
      <w:bookmarkStart w:id="107" w:name="_Toc35333966"/>
      <w:r>
        <w:t>Comparison of T7 and SP6 RNA polymerase for the synthesis of phosphorothioate ssRNA and dsRNA</w:t>
      </w:r>
      <w:bookmarkEnd w:id="106"/>
      <w:bookmarkEnd w:id="107"/>
    </w:p>
    <w:p w:rsidR="008953EC" w:rsidRPr="00735C05" w:rsidRDefault="008953EC" w:rsidP="008953EC"/>
    <w:p w:rsidR="008953EC" w:rsidRPr="00A57D7B" w:rsidRDefault="008953EC" w:rsidP="008953EC">
      <w:pPr>
        <w:spacing w:line="360" w:lineRule="auto"/>
        <w:ind w:firstLine="284"/>
      </w:pPr>
      <w:r w:rsidRPr="003E38AF">
        <w:t>Initial work focused on comparing two RNA polymerase</w:t>
      </w:r>
      <w:r>
        <w:t>s</w:t>
      </w:r>
      <w:r w:rsidRPr="003E38AF">
        <w:t>: T7 and</w:t>
      </w:r>
      <w:r>
        <w:t xml:space="preserve"> SP6. T7 and SP6 RNA polymerases each require a different promoter sequence on the DNA template in order to bind to the template and initiate transcription. Therefore, in order to compare the activity of the polymerases, separate DNA templates with either T7 or SP6 polymerase promoter sequences were generated by PCR for Dome11 as an </w:t>
      </w:r>
      <w:r w:rsidRPr="00A57D7B">
        <w:t xml:space="preserve">initial example (see figure 3.7 a). The polymerases were initially compared and optimised for their efficacy in synthesising unmodified dsRNA in a single IVT reaction, prior to comparison and optimisation of phosphorothioate RNA synthesis. To compare baseline yield of the polymerases, IVT reactions were carried out for both of the polymerases using 100 ng of the appropriate DNA template. Reactions were incubated at 37 °C for an equal length of time (approximately 12 hours) prior to the addition of DNase, and analysed using gel electrophoresis (see figure 3.7 b, left panel). The results demonstrate a high yield of dsRNA using T7 polymerase. In contrast, the SP6 polymerase demonstrated a significantly lower yield of dsRNA. This was unexpected as the manufacturer quotes similar expected yields for both the T7 and SP6 polymerases (80-100 and 50-80 µg respectively) for a 1.9 kb control RNA </w:t>
      </w:r>
      <w:r w:rsidR="005C0E76" w:rsidRPr="00A57D7B">
        <w:fldChar w:fldCharType="begin" w:fldLock="1"/>
      </w:r>
      <w:r w:rsidRPr="00A57D7B">
        <w:instrText>ADDIN CSL_CITATION {"citationItems":[{"id":"ITEM-1","itemData":{"abstract":"The purchase of this product conveys to the purchaser the limited, non-transferable right to use the purchased amount of the product only to perform internal research for the sole benefit of the purchaser. No right to resell this product or any of its components is conveyed expressly, by implication, or by estoppel. This product is for internal research purposes only and is not for use in commercial applications of any kind, including, without limitation, quality control and commercial services such as reporting the results of purchaser's activities for a fee or other form of consideration. For information on obtaining additional rights, please contact outlicensing@lifetech.com or Out Licensing, Life Technologies,","author":[{"dropping-particle":"","family":"Ambion","given":"","non-dropping-particle":"","parse-names":false,"suffix":""}],"id":"ITEM-1","issued":{"date-parts":[["2012"]]},"number-of-pages":"Publication 1330M, Revision G","title":"MEGAscript ® Kit User Guide","type":"report"},"uris":["http://www.mendeley.com/documents/?uuid=1dce90b5-ab97-3317-93d6-4030d0c9b9bf"]}],"mendeley":{"formattedCitation":"(Ambion, 2012)","plainTextFormattedCitation":"(Ambion, 2012)","previouslyFormattedCitation":"(Ambion, 2012)"},"properties":{"noteIndex":0},"schema":"https://github.com/citation-style-language/schema/raw/master/csl-citation.json"}</w:instrText>
      </w:r>
      <w:r w:rsidR="005C0E76" w:rsidRPr="00A57D7B">
        <w:fldChar w:fldCharType="separate"/>
      </w:r>
      <w:r w:rsidRPr="00A57D7B">
        <w:rPr>
          <w:noProof/>
        </w:rPr>
        <w:t>(Ambion, 2012)</w:t>
      </w:r>
      <w:r w:rsidR="005C0E76" w:rsidRPr="00A57D7B">
        <w:fldChar w:fldCharType="end"/>
      </w:r>
      <w:r w:rsidRPr="00A57D7B">
        <w:t xml:space="preserve">. </w:t>
      </w:r>
    </w:p>
    <w:p w:rsidR="00B10753" w:rsidRDefault="008953EC" w:rsidP="008953EC">
      <w:pPr>
        <w:spacing w:line="360" w:lineRule="auto"/>
        <w:ind w:firstLine="284"/>
      </w:pPr>
      <w:r w:rsidRPr="00A57D7B">
        <w:t>Further optimisation was performed by both increasing the amount of template DNA and NTP concentration (see figure 3.7 b</w:t>
      </w:r>
      <w:r w:rsidR="00A57D7B">
        <w:t>,</w:t>
      </w:r>
      <w:r w:rsidRPr="00A57D7B">
        <w:t xml:space="preserve"> right panel). However, no increase in the yield of dsRNA using SP6 polymerase was obtained. Therefore, further IVT reactions were performed to generate ssRNA in separate IVT reactions. To compare the yield of both ssRNA and dsRNA from T7 and SP6 polymerases, IVT reactions containing equal amounts (100 ng) DNA template were set up. Reactions were incubated for equal times (approximately 12 hours at 37 °C), and DNase treated prior to analysis by gel electrophoresis (see in figure 3.7 c). The results demonstrat</w:t>
      </w:r>
      <w:r>
        <w:t>e that the yield of ssRNA using SP6 polymerase is greater than that for dsRNA. The yield of ssRNA using SP6 polymerase is also similar to the yield of ssRNA using T7 polymerase, and consistent with the expected yields stated by the manufacturer.</w:t>
      </w:r>
    </w:p>
    <w:p w:rsidR="00B10753" w:rsidRDefault="009A0071" w:rsidP="00B10753">
      <w:pPr>
        <w:keepNext/>
        <w:spacing w:after="200"/>
        <w:jc w:val="left"/>
      </w:pPr>
      <w:r>
        <w:rPr>
          <w:noProof/>
          <w:lang w:eastAsia="en-GB"/>
        </w:rPr>
        <w:lastRenderedPageBreak/>
        <w:drawing>
          <wp:inline distT="0" distB="0" distL="0" distR="0">
            <wp:extent cx="5775729" cy="6163773"/>
            <wp:effectExtent l="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5775729" cy="6163773"/>
                    </a:xfrm>
                    <a:prstGeom prst="rect">
                      <a:avLst/>
                    </a:prstGeom>
                    <a:noFill/>
                  </pic:spPr>
                </pic:pic>
              </a:graphicData>
            </a:graphic>
          </wp:inline>
        </w:drawing>
      </w:r>
    </w:p>
    <w:p w:rsidR="006973D5" w:rsidRDefault="00B10753" w:rsidP="006973D5">
      <w:pPr>
        <w:pStyle w:val="Caption"/>
        <w:spacing w:after="120"/>
        <w:rPr>
          <w:color w:val="auto"/>
        </w:rPr>
      </w:pPr>
      <w:bookmarkStart w:id="108" w:name="_Toc20411636"/>
      <w:r w:rsidRPr="00B10753">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7</w:t>
      </w:r>
      <w:r w:rsidR="005C0E76">
        <w:rPr>
          <w:color w:val="auto"/>
        </w:rPr>
        <w:fldChar w:fldCharType="end"/>
      </w:r>
      <w:r w:rsidRPr="00B10753">
        <w:rPr>
          <w:color w:val="auto"/>
        </w:rPr>
        <w:t xml:space="preserve"> Optimisation of the synthesis of phosphorothioate ssRNA and dsRNA.</w:t>
      </w:r>
      <w:bookmarkEnd w:id="108"/>
      <w:r w:rsidRPr="00B10753">
        <w:rPr>
          <w:color w:val="auto"/>
        </w:rPr>
        <w:t xml:space="preserve"> </w:t>
      </w:r>
    </w:p>
    <w:p w:rsidR="00B10753" w:rsidRPr="00B10753" w:rsidRDefault="00B10753" w:rsidP="006973D5">
      <w:pPr>
        <w:pStyle w:val="Caption"/>
        <w:spacing w:after="120"/>
        <w:rPr>
          <w:b w:val="0"/>
          <w:color w:val="auto"/>
        </w:rPr>
      </w:pPr>
      <w:r w:rsidRPr="00B10753">
        <w:rPr>
          <w:b w:val="0"/>
          <w:color w:val="auto"/>
        </w:rPr>
        <w:t xml:space="preserve">(a) Gel electrophoretogram of 100 ng of DNA templates for Dome11 dsRNA with T7 and SP6 RNA polymerase promoters. (b) Left panel: Gel electrophoretograms comparing the yield of unmodified Dome11 dsRNA produced by IVT using T7 and SP6 RNA polymerases with 3.75 mM and 2.5 mM NTPs respectively. 1:21 of IVT reaction was loaded. Right panel: dsRNA produced by IVT using SP6 RNA polymerase from 200 ng of DNA template using 2.5 mM NTPs, and from 100 ng of DNA template with 3.75 mM NTPs. (c) Gel electrophoretogram comparing the yield of unmodified Dome11 ssRNA and dsRNA produced by IVT using T7 or SP6 RNA polymerase from 100 ng of DNA template. 1:21 of IVT reaction was loaded.  (d) Bar graph of gel band intensities showing mean and SEM. Gel band intensities quantified in Fiji (ImageJ) software, and presented as relative yield. Relative yield is individual gel band intensity values normalised to highest gel band intensity value, and normalised separately for ssRNA and dsRNA. T7 ssRNA n = 2, all others n = 3. (e) Gel electrophoretogram comparing yield of phosphorothioate (2PS) FLuc dsRNA produced by IVT using T7 or SP6 RNA polymerase from 100 ng of DNA template. FLuc unmodified dsRNA produced by SP6 polymerase is shown for reference. (f) Gel electrophoretogram of unmodified (left panel) and phosphorothioate (right panel) guide and passenger strand Dome 11 ssRNAs produced by IVT.  (g-i) Gel electrophoretograms of optimisation of DNA template amounts for Target A guide strand synthesis by IVT using T7 RNA polymerase. (g) Unmodified ssRNA. (h) 1PS ssRNA. (i) 2PS ssRNA. (j) Gel electrophoretogram comparing synthesis of Dome11 1PS dsRNA by IVT using </w:t>
      </w:r>
      <w:r w:rsidRPr="00B10753">
        <w:rPr>
          <w:b w:val="0"/>
          <w:color w:val="auto"/>
          <w:lang w:val="el-GR"/>
        </w:rPr>
        <w:t>α-</w:t>
      </w:r>
      <w:r w:rsidRPr="00B10753">
        <w:rPr>
          <w:b w:val="0"/>
          <w:color w:val="auto"/>
        </w:rPr>
        <w:t xml:space="preserve">thio NTP  (Rp and Sp diastereoisomers) or </w:t>
      </w:r>
      <w:r w:rsidRPr="00B10753">
        <w:rPr>
          <w:b w:val="0"/>
          <w:color w:val="auto"/>
          <w:lang w:val="el-GR"/>
        </w:rPr>
        <w:t>α-</w:t>
      </w:r>
      <w:r w:rsidRPr="00B10753">
        <w:rPr>
          <w:b w:val="0"/>
          <w:color w:val="auto"/>
        </w:rPr>
        <w:t xml:space="preserve">thio NTP (Sp diastereoisomer).   </w:t>
      </w:r>
    </w:p>
    <w:p w:rsidR="00B10753" w:rsidRPr="00B10753" w:rsidRDefault="00B10753" w:rsidP="00B10753">
      <w:pPr>
        <w:pStyle w:val="Caption"/>
        <w:rPr>
          <w:color w:val="auto"/>
        </w:rPr>
      </w:pPr>
    </w:p>
    <w:p w:rsidR="008953EC" w:rsidRDefault="008953EC" w:rsidP="008953EC">
      <w:pPr>
        <w:spacing w:line="360" w:lineRule="auto"/>
        <w:ind w:firstLine="284"/>
      </w:pPr>
      <w:r>
        <w:lastRenderedPageBreak/>
        <w:t xml:space="preserve">To confirm this result, T7 and SP6 ssRNA and dsRNA IVTs were repeated in triplicate following the same method. Equal amounts of each reaction were analysed by agarose gel electrophoresis. Band intensity was analysed using Fiji (ImageJ) image analysis </w:t>
      </w:r>
      <w:r w:rsidRPr="00A57D7B">
        <w:t xml:space="preserve">software (see method, section </w:t>
      </w:r>
      <w:r w:rsidR="00A57D7B" w:rsidRPr="00A57D7B">
        <w:t>2.3.2</w:t>
      </w:r>
      <w:r w:rsidRPr="00A57D7B">
        <w:t>). The replicate band intensities were normalised to the highest individual band intensities. This was performed separately for dsRNA and ssRNA band intensities to account for differences in staining intensity between ssRNA and dsRNA. The results are shown in figure 3.7 d and show that the yield of unmodified ssRNA is similar for T7 and SP6 polymerase, though moderately</w:t>
      </w:r>
      <w:r>
        <w:t xml:space="preserve"> lower for SP6 polymerase. This was in agreement with the yields quoted by the manufacturer for T7 and SP6 </w:t>
      </w:r>
      <w:r w:rsidRPr="00415E56">
        <w:t>polymerase of 80-100 and 50-80 µg respectively</w:t>
      </w:r>
      <w:r>
        <w:t xml:space="preserve">, for a 1.9 kb control RNA </w:t>
      </w:r>
      <w:r w:rsidR="005C0E76">
        <w:fldChar w:fldCharType="begin" w:fldLock="1"/>
      </w:r>
      <w:r>
        <w:instrText>ADDIN CSL_CITATION {"citationItems":[{"id":"ITEM-1","itemData":{"abstract":"The purchase of this product conveys to the purchaser the limited, non-transferable right to use the purchased amount of the product only to perform internal research for the sole benefit of the purchaser. No right to resell this product or any of its components is conveyed expressly, by implication, or by estoppel. This product is for internal research purposes only and is not for use in commercial applications of any kind, including, without limitation, quality control and commercial services such as reporting the results of purchaser's activities for a fee or other form of consideration. For information on obtaining additional rights, please contact outlicensing@lifetech.com or Out Licensing, Life Technologies,","author":[{"dropping-particle":"","family":"Ambion","given":"","non-dropping-particle":"","parse-names":false,"suffix":""}],"id":"ITEM-1","issued":{"date-parts":[["2012"]]},"number-of-pages":"Publication 1330M, Revision G","title":"MEGAscript ® Kit User Guide","type":"report"},"uris":["http://www.mendeley.com/documents/?uuid=1dce90b5-ab97-3317-93d6-4030d0c9b9bf"]}],"mendeley":{"formattedCitation":"(Ambion, 2012)","plainTextFormattedCitation":"(Ambion, 2012)","previouslyFormattedCitation":"(Ambion, 2012)"},"properties":{"noteIndex":0},"schema":"https://github.com/citation-style-language/schema/raw/master/csl-citation.json"}</w:instrText>
      </w:r>
      <w:r w:rsidR="005C0E76">
        <w:fldChar w:fldCharType="separate"/>
      </w:r>
      <w:r w:rsidRPr="0009402B">
        <w:rPr>
          <w:noProof/>
        </w:rPr>
        <w:t>(Ambion, 2012)</w:t>
      </w:r>
      <w:r w:rsidR="005C0E76">
        <w:fldChar w:fldCharType="end"/>
      </w:r>
      <w:r>
        <w:t xml:space="preserve">. However, the T7 polymerase demonstrated increased yields for IVT reactions designed to produce dsRNA in a single IVT from a single template compared to SP6 polymerase. </w:t>
      </w:r>
    </w:p>
    <w:p w:rsidR="008953EC" w:rsidRDefault="008953EC" w:rsidP="008953EC">
      <w:pPr>
        <w:spacing w:line="360" w:lineRule="auto"/>
        <w:ind w:firstLine="284"/>
      </w:pPr>
    </w:p>
    <w:p w:rsidR="008953EC" w:rsidRDefault="008953EC" w:rsidP="008953EC">
      <w:pPr>
        <w:spacing w:line="360" w:lineRule="auto"/>
        <w:ind w:firstLine="284"/>
      </w:pPr>
      <w:r>
        <w:t xml:space="preserve">In order to compare whether T7 or SP6 RNA polymerase would be the most efficient polymerase to use for production of PS dsRNA, IVT reactions were set up to compare the incorporation of </w:t>
      </w:r>
      <w:r>
        <w:rPr>
          <w:rFonts w:cstheme="minorHAnsi"/>
        </w:rPr>
        <w:t>α</w:t>
      </w:r>
      <w:r>
        <w:t xml:space="preserve">-thio NTPs. Both IVT reactions contained 100 ng of the appropriate DNA template, and had two of the four NTPs replaced by their corresponding </w:t>
      </w:r>
      <w:r>
        <w:rPr>
          <w:rFonts w:cstheme="minorHAnsi"/>
        </w:rPr>
        <w:t>α</w:t>
      </w:r>
      <w:r>
        <w:t>-thio NTPs. The control IVT reaction used the standard four NTPs. The IVT reactions were incubated for approximately 12 hours at 37 °C,</w:t>
      </w:r>
      <w:r w:rsidRPr="00D94EF5">
        <w:t xml:space="preserve"> </w:t>
      </w:r>
      <w:r>
        <w:t xml:space="preserve">prior to addition of DNase, and analysed by agarose gel </w:t>
      </w:r>
      <w:r w:rsidRPr="00A57D7B">
        <w:t xml:space="preserve">electrophoresis (see figure 3.7 e). The results demonstrate that T7 polymerase successfully incorporated two </w:t>
      </w:r>
      <w:r w:rsidRPr="00A57D7B">
        <w:rPr>
          <w:rFonts w:cstheme="minorHAnsi"/>
        </w:rPr>
        <w:t>α</w:t>
      </w:r>
      <w:r w:rsidRPr="00A57D7B">
        <w:t>-thio NTPs</w:t>
      </w:r>
      <w:r w:rsidRPr="00A57D7B" w:rsidDel="003B1C1C">
        <w:t xml:space="preserve"> </w:t>
      </w:r>
      <w:r w:rsidRPr="00A57D7B">
        <w:t>to generate</w:t>
      </w:r>
      <w:r>
        <w:t xml:space="preserve"> 2PS dsRNA consistent with previous observations. In contrast, there was no clear 2PS dsRNA product produced by SP6 polymerase, whereas the SP6 polymerase produced unmodified dsRNA in line with previous results. Further analysis was also performed in an approach to synthesise phosphorothioate ssRNA using SP6 RNA polymerase. IVTs were set up as previously described, however these reactions also failed to successfully synthesise phosphorothioate ssRNA (data not shown). Therefore, in summary these results demonstrate that </w:t>
      </w:r>
      <w:r w:rsidRPr="008246D4">
        <w:t xml:space="preserve">T7 RNA polymerase was </w:t>
      </w:r>
      <w:r>
        <w:t xml:space="preserve">the optimal RNA polymerase for the incorporation of </w:t>
      </w:r>
      <w:r>
        <w:rPr>
          <w:rFonts w:cstheme="minorHAnsi"/>
        </w:rPr>
        <w:t>α</w:t>
      </w:r>
      <w:r>
        <w:t>-thio NTPs</w:t>
      </w:r>
      <w:r w:rsidDel="003B1C1C">
        <w:t xml:space="preserve"> </w:t>
      </w:r>
      <w:r>
        <w:t xml:space="preserve">to generate PS modified </w:t>
      </w:r>
      <w:r w:rsidRPr="008246D4">
        <w:t>RNA</w:t>
      </w:r>
      <w:r>
        <w:t xml:space="preserve"> and </w:t>
      </w:r>
      <w:r w:rsidRPr="008246D4">
        <w:t xml:space="preserve">was therefore selected as the polymerase to be used for future IVT reactions to </w:t>
      </w:r>
      <w:r>
        <w:t>synthesise</w:t>
      </w:r>
      <w:r w:rsidRPr="008246D4">
        <w:t xml:space="preserve"> PS dsRNA.</w:t>
      </w:r>
    </w:p>
    <w:p w:rsidR="008953EC" w:rsidRDefault="008953EC" w:rsidP="008953EC">
      <w:pPr>
        <w:spacing w:line="360" w:lineRule="auto"/>
        <w:ind w:firstLine="284"/>
      </w:pPr>
    </w:p>
    <w:p w:rsidR="008953EC" w:rsidRDefault="008953EC" w:rsidP="008953EC">
      <w:pPr>
        <w:spacing w:line="360" w:lineRule="auto"/>
        <w:ind w:firstLine="284"/>
      </w:pPr>
      <w:r>
        <w:t>Following the successful synthesis of both 1PS and 2PS dsRNA (</w:t>
      </w:r>
      <w:r w:rsidRPr="00A57D7B">
        <w:t>see figure 3.7 e) further IVT reactions were performed to synthesise phosphorothioate ssRNA using DNA template with only a single T7 promoter. Using this approach enables the synthesis of dsRNA with modifications in either only the passenger or only the guide strand. The analysis of the 1PS and 2PS Dome11 ssRNAs generated using IVT and analysed by gel electrophoresis is shown in figure 3.7 f. The results</w:t>
      </w:r>
      <w:r>
        <w:t xml:space="preserve"> demonstrate that 1PS and 2PS ssRNA was successfully synthesised using T7 RNA polymerase. The </w:t>
      </w:r>
      <w:r>
        <w:lastRenderedPageBreak/>
        <w:t xml:space="preserve">successful incorporation of </w:t>
      </w:r>
      <w:r>
        <w:rPr>
          <w:rFonts w:cstheme="minorHAnsi"/>
        </w:rPr>
        <w:t>α</w:t>
      </w:r>
      <w:r>
        <w:t>-thio NTPs</w:t>
      </w:r>
      <w:r w:rsidDel="003B1C1C">
        <w:t xml:space="preserve"> </w:t>
      </w:r>
      <w:r>
        <w:t xml:space="preserve">into the ssRNA was later confirmed by IP RP HPLC (see </w:t>
      </w:r>
      <w:r w:rsidR="00A57D7B" w:rsidRPr="00A57D7B">
        <w:t>section 3.3.4.3</w:t>
      </w:r>
      <w:r w:rsidRPr="00A57D7B">
        <w:t xml:space="preserve"> below).</w:t>
      </w:r>
    </w:p>
    <w:p w:rsidR="008953EC" w:rsidRDefault="008953EC" w:rsidP="008953EC">
      <w:pPr>
        <w:spacing w:line="360" w:lineRule="auto"/>
        <w:ind w:firstLine="284"/>
        <w:rPr>
          <w:color w:val="00B050"/>
        </w:rPr>
      </w:pPr>
    </w:p>
    <w:p w:rsidR="008953EC" w:rsidRDefault="008953EC" w:rsidP="006973D5">
      <w:pPr>
        <w:pStyle w:val="Heading4"/>
        <w:spacing w:before="200" w:after="120"/>
      </w:pPr>
      <w:bookmarkStart w:id="109" w:name="_Toc18832676"/>
      <w:bookmarkStart w:id="110" w:name="_Toc35333967"/>
      <w:r>
        <w:t>Optimisation of IVT reactions for synthesis of phosphorothioate ssRNA and dsRNA</w:t>
      </w:r>
      <w:bookmarkEnd w:id="109"/>
      <w:bookmarkEnd w:id="110"/>
    </w:p>
    <w:p w:rsidR="006973D5" w:rsidRPr="006973D5" w:rsidRDefault="006973D5" w:rsidP="006973D5"/>
    <w:p w:rsidR="008953EC" w:rsidRPr="00A57D7B" w:rsidRDefault="008953EC" w:rsidP="008953EC">
      <w:pPr>
        <w:spacing w:line="360" w:lineRule="auto"/>
        <w:ind w:firstLine="284"/>
      </w:pPr>
      <w:r>
        <w:t xml:space="preserve">Further optimisation of IVT reactions using T7 RNA polymerase for the synthesis of PS RNA was performed by varying the amount of DNA template present in reactions. IVT reactions were set up with DNA concentrations ranging from 100 to 1,200 ng per reaction to synthesise unmodified ssRNA (examples are shown for Target A). The reactions were incubated at 37 °C for approximately 12 hours, </w:t>
      </w:r>
      <w:r w:rsidR="004870F7">
        <w:t xml:space="preserve">then </w:t>
      </w:r>
      <w:r>
        <w:t>incubated with DNase to remove DNA template</w:t>
      </w:r>
      <w:r w:rsidR="004870F7">
        <w:t>,</w:t>
      </w:r>
      <w:r>
        <w:t xml:space="preserve"> prior to analysis </w:t>
      </w:r>
      <w:r w:rsidR="004870F7">
        <w:t>by</w:t>
      </w:r>
      <w:r>
        <w:t xml:space="preserve"> gel electrophoresis (see </w:t>
      </w:r>
      <w:r w:rsidRPr="00A57D7B">
        <w:t xml:space="preserve">figure 3.7 g). The results demonstrate that the maximum yield of unmodified ssRNA was achieved with between 200 to 400 ng of DNA template. The experiment was repeated to synthesise 1PS ssRNA by IVT with DNA template concentrations ranging from 400 to 1,600 ng per reaction. The reactions were incubated at 37 °C for approximately 12 hours, incubated with DNase prior to analysis using gel electrophoresis  (see figure 3.7 h). The results demonstrate that the maximum yield of 1PS ssRNA was achieved with between 800 to 1,200 ng of DNA template. The experiment was repeated to synthesise 2PS ssRNA by IVT with DNA concentrations ranging from 800 to 1,600 ng per reaction. The reactions were incubated at 37 °C for approximately 12 hours, incubated with DNase as before, then analysed by gel electrophoresis, (see figure 3.7 i). The results demonstrate that the maximum yield of 2PS ssRNA was achieved with 1,200 ng of DNA template. </w:t>
      </w:r>
    </w:p>
    <w:p w:rsidR="008953EC" w:rsidRDefault="008953EC" w:rsidP="008953EC">
      <w:pPr>
        <w:spacing w:line="360" w:lineRule="auto"/>
        <w:ind w:firstLine="284"/>
      </w:pPr>
      <w:r>
        <w:t xml:space="preserve">These results show that the optimum amount of DNA template used in IVT reactions to generate unmodified ssRNA was approximately 300-400 ng per reaction. However the optimum amount of DNA template was higher (approximately 900-1,200 ng per reaction) for the synthesis of 1PS and 2PS ssRNA. The addition of higher concentrations of template may help in the synthesis of PS modified RNA where the incorporation efficiency of the </w:t>
      </w:r>
      <w:r>
        <w:rPr>
          <w:rFonts w:cstheme="minorHAnsi"/>
        </w:rPr>
        <w:t>α</w:t>
      </w:r>
      <w:r>
        <w:t>-thio NTPs is lower and the overall efficiency of transcription is reduced.</w:t>
      </w:r>
    </w:p>
    <w:p w:rsidR="008953EC" w:rsidRDefault="008953EC" w:rsidP="008953EC">
      <w:pPr>
        <w:spacing w:line="360" w:lineRule="auto"/>
        <w:ind w:firstLine="284"/>
        <w:rPr>
          <w:color w:val="00B050"/>
        </w:rPr>
      </w:pPr>
    </w:p>
    <w:p w:rsidR="008953EC" w:rsidRDefault="008953EC" w:rsidP="008953EC">
      <w:pPr>
        <w:spacing w:line="360" w:lineRule="auto"/>
        <w:ind w:firstLine="284"/>
      </w:pPr>
      <w:r>
        <w:rPr>
          <w:rFonts w:cstheme="minorHAnsi"/>
        </w:rPr>
        <w:t>α</w:t>
      </w:r>
      <w:r>
        <w:t>-thio NTPs</w:t>
      </w:r>
      <w:r w:rsidDel="003B1C1C">
        <w:t xml:space="preserve"> </w:t>
      </w:r>
      <w:r>
        <w:t>used in the synthesis of phosphorothioate RNA have Rp and Sp diastereoisomers,</w:t>
      </w:r>
      <w:r>
        <w:rPr>
          <w:color w:val="FF0000"/>
        </w:rPr>
        <w:t xml:space="preserve"> </w:t>
      </w:r>
      <w:r>
        <w:t xml:space="preserve">as the substitution of an oxygen for a sulphur atom on the alpha </w:t>
      </w:r>
      <w:r w:rsidRPr="00A57D7B">
        <w:t xml:space="preserve">phosphate group introduces a chiral centre at the phosphorus atom of the alpha phosphate group (see figure 3.1 b). Only the Sp diastereoisomer is incorporated by T7 RNA polymerase </w:t>
      </w:r>
      <w:r w:rsidR="005C0E76" w:rsidRPr="00A57D7B">
        <w:fldChar w:fldCharType="begin" w:fldLock="1"/>
      </w:r>
      <w:r w:rsidRPr="00A57D7B">
        <w:instrText>ADDIN CSL_CITATION {"citationItems":[{"id":"ITEM-1","itemData":{"DOI":"10.1093/nar/15.10.4145","ISSN":"0305-1048","PMID":"2438652","abstract":"Transcription by T7 RNA polymerase has been studied using a chiral ATP analogue. The Sp diastereoisomer of adenosine 5'-O-(1-thiotriphosphate) (ATP alpha S) was incorporated into RNA with an apparent KM of approximately 15 microM, similar to that for ATP; the Rp diastereoisomer was neither a substrate nor a competitive inhibitor. The configuration of the phosphodiester link in the RNA produced was analyzed with stereospecific nucleases. The rate of nuclease digestion was compared with the rate of digestion of phosphorothioate-substituted RNA of known stereochemistry synthesized by E. coli RNA polymerase. Surprisingly, the nucleases exhibited reduced discrimination compared with their activity on dinucleotides. The results show that phosphorothioate-substituted RNA transcribed by T7 RNA polymerase has the same configuration as that transcribed by E. coli RNA polymerase, ie. Rp. Thus, the reaction proceeds with inversion of configuration at phosphorus.","author":[{"dropping-particle":"","family":"Griffiths","given":"A D","non-dropping-particle":"","parse-names":false,"suffix":""},{"dropping-particle":"V","family":"Potter","given":"B","non-dropping-particle":"","parse-names":false,"suffix":""},{"dropping-particle":"","family":"Eperon","given":"I C","non-dropping-particle":"","parse-names":false,"suffix":""}],"container-title":"Nucleic acids research","id":"ITEM-1","issue":"10","issued":{"date-parts":[["1987","5","26"]]},"page":"4145-62","publisher":"Oxford University Press","title":"Stereospecificity of nucleases towards phosphorothioate-substituted RNA: stereochemistry of transcription by T7 RNA polymerase.","type":"article-journal","volume":"15"},"uris":["http://www.mendeley.com/documents/?uuid=17d207a1-7458-3880-b352-8091e841d05a"]}],"mendeley":{"formattedCitation":"(Griffiths, Potter and Eperon, 1987)","plainTextFormattedCitation":"(Griffiths, Potter and Eperon, 1987)","previouslyFormattedCitation":"(Griffiths, Potter and Eperon, 1987)"},"properties":{"noteIndex":0},"schema":"https://github.com/citation-style-language/schema/raw/master/csl-citation.json"}</w:instrText>
      </w:r>
      <w:r w:rsidR="005C0E76" w:rsidRPr="00A57D7B">
        <w:fldChar w:fldCharType="separate"/>
      </w:r>
      <w:r w:rsidRPr="00A57D7B">
        <w:rPr>
          <w:noProof/>
        </w:rPr>
        <w:t>(Griffiths, Potter and Eperon, 1987)</w:t>
      </w:r>
      <w:r w:rsidR="005C0E76" w:rsidRPr="00A57D7B">
        <w:fldChar w:fldCharType="end"/>
      </w:r>
      <w:r>
        <w:t xml:space="preserve">. In contrast, the Rp diastereoisomer is not a T7 RNA polymerase substrate. </w:t>
      </w:r>
      <w:r>
        <w:rPr>
          <w:rFonts w:cstheme="minorHAnsi"/>
        </w:rPr>
        <w:t>α</w:t>
      </w:r>
      <w:r>
        <w:t>-thio NTPs</w:t>
      </w:r>
      <w:r w:rsidDel="003B1C1C">
        <w:t xml:space="preserve"> </w:t>
      </w:r>
      <w:r>
        <w:t xml:space="preserve">are available commercially as either mixtures of Rp and Sp diasterioisomers, or pure Sp (or pure Rp diasterioisomers). Where </w:t>
      </w:r>
      <w:r w:rsidRPr="00C04AB0">
        <w:t xml:space="preserve">Rp/Sp </w:t>
      </w:r>
      <w:r>
        <w:t xml:space="preserve">diasterioisomers of </w:t>
      </w:r>
      <w:r>
        <w:rPr>
          <w:rFonts w:cstheme="minorHAnsi"/>
        </w:rPr>
        <w:t>α</w:t>
      </w:r>
      <w:r>
        <w:t>-thio NTPs</w:t>
      </w:r>
      <w:r w:rsidDel="003B1C1C">
        <w:t xml:space="preserve"> </w:t>
      </w:r>
      <w:r>
        <w:t xml:space="preserve">are used in IVT reactions, the ratio </w:t>
      </w:r>
      <w:r>
        <w:lastRenderedPageBreak/>
        <w:t xml:space="preserve">of Rp:Sp is approximately 1:1 </w:t>
      </w:r>
      <w:r w:rsidR="005C0E76">
        <w:fldChar w:fldCharType="begin" w:fldLock="1"/>
      </w:r>
      <w:r>
        <w:instrText>ADDIN CSL_CITATION {"citationItems":[{"id":"ITEM-1","itemData":{"author":[{"dropping-particle":"","family":"TriLink Biotechnologies","given":"","non-dropping-particle":"","parse-names":false,"suffix":""}],"id":"ITEM-1","issued":{"date-parts":[["2016"]]},"title":"Certificate of analysis: (1-Thio)-ATP N-8005","type":"report"},"uris":["http://www.mendeley.com/documents/?uuid=537b6b95-3b34-3e25-9ef9-81ce96b92f39"]}],"mendeley":{"formattedCitation":"(TriLink Biotechnologies, 2016)","plainTextFormattedCitation":"(TriLink Biotechnologies, 2016)","previouslyFormattedCitation":"(TriLink Biotechnologies, 2016)"},"properties":{"noteIndex":0},"schema":"https://github.com/citation-style-language/schema/raw/master/csl-citation.json"}</w:instrText>
      </w:r>
      <w:r w:rsidR="005C0E76">
        <w:fldChar w:fldCharType="separate"/>
      </w:r>
      <w:r w:rsidRPr="00CB18FA">
        <w:rPr>
          <w:noProof/>
        </w:rPr>
        <w:t>(TriLink Biotechnologies, 2016)</w:t>
      </w:r>
      <w:r w:rsidR="005C0E76">
        <w:fldChar w:fldCharType="end"/>
      </w:r>
      <w:r>
        <w:t xml:space="preserve">. Therefore, approximately half of the </w:t>
      </w:r>
      <w:r>
        <w:rPr>
          <w:rFonts w:cstheme="minorHAnsi"/>
        </w:rPr>
        <w:t>α</w:t>
      </w:r>
      <w:r>
        <w:t>-thio NTP</w:t>
      </w:r>
      <w:r w:rsidDel="003B1C1C">
        <w:t xml:space="preserve"> </w:t>
      </w:r>
      <w:r>
        <w:t xml:space="preserve">added to an IVT reaction is not a substrate in the reaction. It is known that the Rp diastereoisomer is not a competitive inhibitor </w:t>
      </w:r>
      <w:r w:rsidR="005C0E76">
        <w:fldChar w:fldCharType="begin" w:fldLock="1"/>
      </w:r>
      <w:r>
        <w:instrText>ADDIN CSL_CITATION {"citationItems":[{"id":"ITEM-1","itemData":{"DOI":"10.1093/nar/15.10.4145","ISSN":"0305-1048","PMID":"2438652","abstract":"Transcription by T7 RNA polymerase has been studied using a chiral ATP analogue. The Sp diastereoisomer of adenosine 5'-O-(1-thiotriphosphate) (ATP alpha S) was incorporated into RNA with an apparent KM of approximately 15 microM, similar to that for ATP; the Rp diastereoisomer was neither a substrate nor a competitive inhibitor. The configuration of the phosphodiester link in the RNA produced was analyzed with stereospecific nucleases. The rate of nuclease digestion was compared with the rate of digestion of phosphorothioate-substituted RNA of known stereochemistry synthesized by E. coli RNA polymerase. Surprisingly, the nucleases exhibited reduced discrimination compared with their activity on dinucleotides. The results show that phosphorothioate-substituted RNA transcribed by T7 RNA polymerase has the same configuration as that transcribed by E. coli RNA polymerase, ie. Rp. Thus, the reaction proceeds with inversion of configuration at phosphorus.","author":[{"dropping-particle":"","family":"Griffiths","given":"A D","non-dropping-particle":"","parse-names":false,"suffix":""},{"dropping-particle":"V","family":"Potter","given":"B","non-dropping-particle":"","parse-names":false,"suffix":""},{"dropping-particle":"","family":"Eperon","given":"I C","non-dropping-particle":"","parse-names":false,"suffix":""}],"container-title":"Nucleic acids research","id":"ITEM-1","issue":"10","issued":{"date-parts":[["1987","5","26"]]},"page":"4145-62","publisher":"Oxford University Press","title":"Stereospecificity of nucleases towards phosphorothioate-substituted RNA: stereochemistry of transcription by T7 RNA polymerase.","type":"article-journal","volume":"15"},"uris":["http://www.mendeley.com/documents/?uuid=17d207a1-7458-3880-b352-8091e841d05a"]}],"mendeley":{"formattedCitation":"(Griffiths, Potter and Eperon, 1987)","plainTextFormattedCitation":"(Griffiths, Potter and Eperon, 1987)","previouslyFormattedCitation":"(Griffiths, Potter and Eperon, 1987)"},"properties":{"noteIndex":0},"schema":"https://github.com/citation-style-language/schema/raw/master/csl-citation.json"}</w:instrText>
      </w:r>
      <w:r w:rsidR="005C0E76">
        <w:fldChar w:fldCharType="separate"/>
      </w:r>
      <w:r w:rsidRPr="003C6AF6">
        <w:rPr>
          <w:noProof/>
        </w:rPr>
        <w:t>(Griffiths, Potter and Eperon, 1987)</w:t>
      </w:r>
      <w:r w:rsidR="005C0E76">
        <w:fldChar w:fldCharType="end"/>
      </w:r>
      <w:r>
        <w:t xml:space="preserve">, so an IVT reaction with both Rp and Sp diastereoisomers present should produce the same yield as an IVT reaction with only the Sp diastereoisomer, provided the concentration of the Sp diastereoisomer is the same in both reactions. In order to test this hypothesis and see if the yield of RNA is affected by the chiral purity of the </w:t>
      </w:r>
      <w:r>
        <w:rPr>
          <w:rFonts w:cstheme="minorHAnsi"/>
        </w:rPr>
        <w:t>α</w:t>
      </w:r>
      <w:r>
        <w:t xml:space="preserve">-thio NTP, three IVT reactions were set up to synthesise Dome11 unmodified and 1PS dsRNA. These comprised one reaction with four unmodified NTPs, one with three NTPs and only Sp diastereoisomer of the fourth </w:t>
      </w:r>
      <w:r>
        <w:rPr>
          <w:rFonts w:cstheme="minorHAnsi"/>
        </w:rPr>
        <w:t>α</w:t>
      </w:r>
      <w:r>
        <w:t xml:space="preserve">-thio NTPs, and one with three NTPs and a mix of Rp and Sp diastereoisomers of the fourth </w:t>
      </w:r>
      <w:r>
        <w:rPr>
          <w:rFonts w:cstheme="minorHAnsi"/>
        </w:rPr>
        <w:t>α</w:t>
      </w:r>
      <w:r>
        <w:t xml:space="preserve">-thio NTP. The concentrations of NTPs and fourth </w:t>
      </w:r>
      <w:r>
        <w:rPr>
          <w:rFonts w:cstheme="minorHAnsi"/>
        </w:rPr>
        <w:t>α</w:t>
      </w:r>
      <w:r>
        <w:t xml:space="preserve">-thio NTP in all IVT reactions were balanced to 2.5 mM (see </w:t>
      </w:r>
      <w:r w:rsidR="00A57D7B">
        <w:t>table in section 2.2.2</w:t>
      </w:r>
      <w:r>
        <w:t xml:space="preserve">). The reactions were carried out using T7 RNA </w:t>
      </w:r>
      <w:r w:rsidRPr="00A57D7B">
        <w:t>polymerase and 100 ng of DNA template in each reaction. Reactions were incubated at 37 °C for approximately 12 hours, prior to the addition of DNase and analysis using gel electrophoresis (see figure 3.7 j). The results</w:t>
      </w:r>
      <w:r>
        <w:t xml:space="preserve"> demonstrate that approximately the same yield of Dome11 1PS dsRNA was produced independent of the chiral purity of the </w:t>
      </w:r>
      <w:r>
        <w:rPr>
          <w:rFonts w:cstheme="minorHAnsi"/>
        </w:rPr>
        <w:t>α</w:t>
      </w:r>
      <w:r>
        <w:t xml:space="preserve">-thio NTPs. </w:t>
      </w:r>
    </w:p>
    <w:p w:rsidR="008953EC" w:rsidRDefault="008953EC" w:rsidP="008953EC">
      <w:pPr>
        <w:spacing w:line="360" w:lineRule="auto"/>
        <w:ind w:firstLine="284"/>
        <w:rPr>
          <w:color w:val="00B050"/>
        </w:rPr>
      </w:pPr>
    </w:p>
    <w:p w:rsidR="008953EC" w:rsidRPr="007751C3" w:rsidRDefault="008953EC" w:rsidP="008953EC">
      <w:pPr>
        <w:pStyle w:val="Heading4"/>
        <w:spacing w:before="200"/>
        <w:ind w:left="864" w:hanging="864"/>
      </w:pPr>
      <w:bookmarkStart w:id="111" w:name="_Toc18832677"/>
      <w:bookmarkStart w:id="112" w:name="_Toc35333968"/>
      <w:r w:rsidRPr="007751C3">
        <w:t>Synthesis and analysis of dsRNA with phosphorothioate modifications in one or both strands by annealing ssRNAs synthesised in separate IVT reactions</w:t>
      </w:r>
      <w:bookmarkEnd w:id="111"/>
      <w:bookmarkEnd w:id="112"/>
      <w:r w:rsidRPr="007751C3">
        <w:t xml:space="preserve"> </w:t>
      </w:r>
      <w:bookmarkEnd w:id="100"/>
    </w:p>
    <w:p w:rsidR="008953EC" w:rsidRPr="007751C3" w:rsidRDefault="008953EC" w:rsidP="008953EC"/>
    <w:p w:rsidR="008953EC" w:rsidRDefault="008953EC" w:rsidP="008953EC">
      <w:pPr>
        <w:spacing w:line="360" w:lineRule="auto"/>
        <w:ind w:firstLine="284"/>
      </w:pPr>
      <w:r>
        <w:t xml:space="preserve">The synthesis of dsRNAs with chemical modifications in only one strand (in either the passenger or guide strand) was required in order to study their RNAi efficacy in insect cells or live insects. In order to produce such dsRNAs with mixed strand chemistry, separate unmodified and chemically modified complimentary ssRNAs were synthesised in separate IVT reactions, followed by subsequent annealing of the ssRNAs to form the final dsRNA. In order to do this, unmodified and chemically modified ssRNAs needed to be efficiently and fully annealed in various combinations into high quality dsRNA, with no ssRNA impurities remaining, in order to allow for accurate quantification of dsRNAs for use in subsequent RNAi experiments.   </w:t>
      </w:r>
    </w:p>
    <w:p w:rsidR="008953EC" w:rsidRDefault="008953EC" w:rsidP="008953EC">
      <w:pPr>
        <w:spacing w:line="360" w:lineRule="auto"/>
        <w:ind w:firstLine="284"/>
      </w:pPr>
    </w:p>
    <w:p w:rsidR="00B10753" w:rsidRDefault="008953EC" w:rsidP="008953EC">
      <w:pPr>
        <w:spacing w:line="360" w:lineRule="auto"/>
        <w:ind w:firstLine="284"/>
      </w:pPr>
      <w:r>
        <w:t>Unmodified and 1PS Dome11 ssRNAs previously synthesised by IVT (</w:t>
      </w:r>
      <w:r w:rsidRPr="00A57D7B">
        <w:t>see section</w:t>
      </w:r>
      <w:r w:rsidR="00A57D7B" w:rsidRPr="00A57D7B">
        <w:t xml:space="preserve"> 3.3.3</w:t>
      </w:r>
      <w:r w:rsidRPr="00A57D7B">
        <w:t>) were</w:t>
      </w:r>
      <w:r>
        <w:t xml:space="preserve"> chosen as an example and analysed using IP </w:t>
      </w:r>
      <w:r w:rsidRPr="00A57D7B">
        <w:t>RP HPLC (see figure 3.8 a). Complementary ssRNAs, where both strands had identical chemistry (two unmodified ssRNAs or two phosphorothioate ssRNAs), were initially annealed by mixing equal quantities of the ssRNAs in HPLC-grade water at room</w:t>
      </w:r>
      <w:r w:rsidR="006973D5" w:rsidRPr="00A57D7B">
        <w:t xml:space="preserve"> </w:t>
      </w:r>
      <w:r w:rsidRPr="00A57D7B">
        <w:t xml:space="preserve"> temperature. </w:t>
      </w:r>
      <w:r w:rsidR="006973D5" w:rsidRPr="00A57D7B">
        <w:t xml:space="preserve"> </w:t>
      </w:r>
      <w:r w:rsidRPr="00A57D7B">
        <w:t xml:space="preserve">The </w:t>
      </w:r>
      <w:r w:rsidR="006973D5" w:rsidRPr="00A57D7B">
        <w:t xml:space="preserve"> </w:t>
      </w:r>
      <w:r w:rsidRPr="00A57D7B">
        <w:t xml:space="preserve">subsequent </w:t>
      </w:r>
      <w:r w:rsidR="006973D5" w:rsidRPr="00A57D7B">
        <w:t xml:space="preserve"> </w:t>
      </w:r>
      <w:r w:rsidRPr="00A57D7B">
        <w:t xml:space="preserve">analysis </w:t>
      </w:r>
      <w:r w:rsidR="006973D5" w:rsidRPr="00A57D7B">
        <w:t xml:space="preserve"> </w:t>
      </w:r>
      <w:r w:rsidRPr="00A57D7B">
        <w:t xml:space="preserve">using </w:t>
      </w:r>
      <w:r w:rsidR="006973D5" w:rsidRPr="00A57D7B">
        <w:t xml:space="preserve"> </w:t>
      </w:r>
      <w:r w:rsidRPr="00A57D7B">
        <w:t xml:space="preserve">IP </w:t>
      </w:r>
      <w:r w:rsidR="006973D5" w:rsidRPr="00A57D7B">
        <w:t xml:space="preserve"> </w:t>
      </w:r>
      <w:r w:rsidRPr="00A57D7B">
        <w:t xml:space="preserve">RP </w:t>
      </w:r>
      <w:r w:rsidR="006973D5" w:rsidRPr="00A57D7B">
        <w:t xml:space="preserve"> </w:t>
      </w:r>
      <w:r w:rsidRPr="00A57D7B">
        <w:t xml:space="preserve">HPLC </w:t>
      </w:r>
      <w:r w:rsidR="006973D5" w:rsidRPr="00A57D7B">
        <w:t xml:space="preserve"> </w:t>
      </w:r>
      <w:r w:rsidRPr="00A57D7B">
        <w:t xml:space="preserve">is </w:t>
      </w:r>
      <w:r w:rsidR="006973D5" w:rsidRPr="00A57D7B">
        <w:t xml:space="preserve"> </w:t>
      </w:r>
      <w:r w:rsidRPr="00A57D7B">
        <w:t xml:space="preserve">shown </w:t>
      </w:r>
      <w:r w:rsidR="006973D5" w:rsidRPr="00A57D7B">
        <w:t xml:space="preserve"> </w:t>
      </w:r>
      <w:r w:rsidRPr="00A57D7B">
        <w:t xml:space="preserve">in </w:t>
      </w:r>
      <w:r w:rsidR="006973D5" w:rsidRPr="00A57D7B">
        <w:t xml:space="preserve"> </w:t>
      </w:r>
      <w:r w:rsidRPr="00A57D7B">
        <w:t xml:space="preserve">figure 3.8 b, </w:t>
      </w:r>
      <w:r w:rsidR="006973D5" w:rsidRPr="00A57D7B">
        <w:t xml:space="preserve"> </w:t>
      </w:r>
      <w:r w:rsidRPr="00A57D7B">
        <w:t>clearly</w:t>
      </w:r>
    </w:p>
    <w:p w:rsidR="00B10753" w:rsidRDefault="00B10753">
      <w:pPr>
        <w:spacing w:after="200"/>
        <w:jc w:val="left"/>
      </w:pPr>
      <w:r>
        <w:br w:type="page"/>
      </w:r>
    </w:p>
    <w:p w:rsidR="00B10753" w:rsidRDefault="00B10753" w:rsidP="00B10753">
      <w:pPr>
        <w:keepNext/>
        <w:spacing w:after="200"/>
        <w:jc w:val="left"/>
      </w:pPr>
      <w:r w:rsidRPr="00B10753">
        <w:rPr>
          <w:noProof/>
          <w:lang w:eastAsia="en-GB"/>
        </w:rPr>
        <w:lastRenderedPageBreak/>
        <w:drawing>
          <wp:inline distT="0" distB="0" distL="0" distR="0">
            <wp:extent cx="5731510" cy="6178519"/>
            <wp:effectExtent l="0" t="0" r="2540" b="0"/>
            <wp:docPr id="27"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38864" cy="8772870"/>
                      <a:chOff x="624136" y="748172"/>
                      <a:chExt cx="8138864" cy="8772870"/>
                    </a:xfrm>
                  </a:grpSpPr>
                  <a:grpSp>
                    <a:nvGrpSpPr>
                      <a:cNvPr id="909" name="Group 908"/>
                      <a:cNvGrpSpPr/>
                    </a:nvGrpSpPr>
                    <a:grpSpPr>
                      <a:xfrm>
                        <a:off x="1143000" y="1029849"/>
                        <a:ext cx="7570000" cy="1987802"/>
                        <a:chOff x="1143000" y="4059324"/>
                        <a:chExt cx="7570000" cy="1987802"/>
                      </a:xfrm>
                    </a:grpSpPr>
                    <a:sp>
                      <a:nvSpPr>
                        <a:cNvPr id="17" name="TextBox 16"/>
                        <a:cNvSpPr txBox="1"/>
                      </a:nvSpPr>
                      <a:spPr>
                        <a:xfrm>
                          <a:off x="4267200" y="4142890"/>
                          <a:ext cx="1166663" cy="235658"/>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Unmodified ssRNA</a:t>
                            </a:r>
                            <a:endParaRPr lang="en-GB" sz="1000" dirty="0"/>
                          </a:p>
                        </a:txBody>
                        <a:useSpRect/>
                      </a:txSp>
                    </a:sp>
                    <a:cxnSp>
                      <a:nvCxnSpPr>
                        <a:cNvPr id="18" name="Straight Arrow Connector 17"/>
                        <a:cNvCxnSpPr/>
                      </a:nvCxnSpPr>
                      <a:spPr>
                        <a:xfrm flipH="1">
                          <a:off x="4267200" y="4361684"/>
                          <a:ext cx="381000" cy="246826"/>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9" name="TextBox 18"/>
                        <a:cNvSpPr txBox="1"/>
                      </a:nvSpPr>
                      <a:spPr>
                        <a:xfrm>
                          <a:off x="4648200" y="4434615"/>
                          <a:ext cx="1166663" cy="235658"/>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1PS ssRNA</a:t>
                            </a:r>
                            <a:endParaRPr lang="en-GB" sz="1000" dirty="0"/>
                          </a:p>
                        </a:txBody>
                        <a:useSpRect/>
                      </a:txSp>
                    </a:sp>
                    <a:cxnSp>
                      <a:nvCxnSpPr>
                        <a:cNvPr id="20" name="Straight Arrow Connector 19"/>
                        <a:cNvCxnSpPr>
                          <a:stCxn id="19" idx="2"/>
                        </a:cNvCxnSpPr>
                      </a:nvCxnSpPr>
                      <a:spPr>
                        <a:xfrm flipH="1">
                          <a:off x="4800600" y="4670273"/>
                          <a:ext cx="430932" cy="347791"/>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030" name="Rectangle 6"/>
                        <a:cNvSpPr>
                          <a:spLocks noChangeArrowheads="1"/>
                        </a:cNvSpPr>
                      </a:nvSpPr>
                      <a:spPr bwMode="auto">
                        <a:xfrm>
                          <a:off x="1600200" y="5747375"/>
                          <a:ext cx="228600" cy="147286"/>
                        </a:xfrm>
                        <a:prstGeom prst="rect">
                          <a:avLst/>
                        </a:prstGeom>
                        <a:noFill/>
                        <a:ln w="9525">
                          <a:noFill/>
                          <a:miter lim="800000"/>
                          <a:headEnd/>
                          <a:tailEnd/>
                        </a:ln>
                      </a:spPr>
                      <a:txSp>
                        <a:txBody>
                          <a:bodyPr vert="horz"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031" name="Line 7"/>
                        <a:cNvSpPr>
                          <a:spLocks noChangeShapeType="1"/>
                        </a:cNvSpPr>
                      </a:nvSpPr>
                      <a:spPr bwMode="auto">
                        <a:xfrm>
                          <a:off x="1663700"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32" name="Line 8"/>
                        <a:cNvSpPr>
                          <a:spLocks noChangeShapeType="1"/>
                        </a:cNvSpPr>
                      </a:nvSpPr>
                      <a:spPr bwMode="auto">
                        <a:xfrm>
                          <a:off x="174942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33" name="Line 9"/>
                        <a:cNvSpPr>
                          <a:spLocks noChangeShapeType="1"/>
                        </a:cNvSpPr>
                      </a:nvSpPr>
                      <a:spPr bwMode="auto">
                        <a:xfrm>
                          <a:off x="18351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34" name="Line 10"/>
                        <a:cNvSpPr>
                          <a:spLocks noChangeShapeType="1"/>
                        </a:cNvSpPr>
                      </a:nvSpPr>
                      <a:spPr bwMode="auto">
                        <a:xfrm>
                          <a:off x="19208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35" name="Line 11"/>
                        <a:cNvSpPr>
                          <a:spLocks noChangeShapeType="1"/>
                        </a:cNvSpPr>
                      </a:nvSpPr>
                      <a:spPr bwMode="auto">
                        <a:xfrm>
                          <a:off x="20081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036" name="Rectangle 12"/>
                        <a:cNvSpPr>
                          <a:spLocks noChangeArrowheads="1"/>
                        </a:cNvSpPr>
                      </a:nvSpPr>
                      <a:spPr bwMode="auto">
                        <a:xfrm>
                          <a:off x="2024063" y="5721546"/>
                          <a:ext cx="176330"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1.3</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037" name="Line 13"/>
                        <a:cNvSpPr>
                          <a:spLocks noChangeShapeType="1"/>
                        </a:cNvSpPr>
                      </a:nvSpPr>
                      <a:spPr bwMode="auto">
                        <a:xfrm>
                          <a:off x="2093913"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38" name="Line 14"/>
                        <a:cNvSpPr>
                          <a:spLocks noChangeShapeType="1"/>
                        </a:cNvSpPr>
                      </a:nvSpPr>
                      <a:spPr bwMode="auto">
                        <a:xfrm>
                          <a:off x="21796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39" name="Line 15"/>
                        <a:cNvSpPr>
                          <a:spLocks noChangeShapeType="1"/>
                        </a:cNvSpPr>
                      </a:nvSpPr>
                      <a:spPr bwMode="auto">
                        <a:xfrm>
                          <a:off x="22669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0" name="Line 16"/>
                        <a:cNvSpPr>
                          <a:spLocks noChangeShapeType="1"/>
                        </a:cNvSpPr>
                      </a:nvSpPr>
                      <a:spPr bwMode="auto">
                        <a:xfrm>
                          <a:off x="23526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1" name="Line 17"/>
                        <a:cNvSpPr>
                          <a:spLocks noChangeShapeType="1"/>
                        </a:cNvSpPr>
                      </a:nvSpPr>
                      <a:spPr bwMode="auto">
                        <a:xfrm>
                          <a:off x="24384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2" name="Rectangle 18"/>
                        <a:cNvSpPr>
                          <a:spLocks noChangeArrowheads="1"/>
                        </a:cNvSpPr>
                      </a:nvSpPr>
                      <a:spPr bwMode="auto">
                        <a:xfrm>
                          <a:off x="2454275" y="5721546"/>
                          <a:ext cx="176330"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43" name="Line 19"/>
                        <a:cNvSpPr>
                          <a:spLocks noChangeShapeType="1"/>
                        </a:cNvSpPr>
                      </a:nvSpPr>
                      <a:spPr bwMode="auto">
                        <a:xfrm>
                          <a:off x="2524125"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4" name="Line 20"/>
                        <a:cNvSpPr>
                          <a:spLocks noChangeShapeType="1"/>
                        </a:cNvSpPr>
                      </a:nvSpPr>
                      <a:spPr bwMode="auto">
                        <a:xfrm>
                          <a:off x="26114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5" name="Line 21"/>
                        <a:cNvSpPr>
                          <a:spLocks noChangeShapeType="1"/>
                        </a:cNvSpPr>
                      </a:nvSpPr>
                      <a:spPr bwMode="auto">
                        <a:xfrm>
                          <a:off x="269716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6" name="Line 22"/>
                        <a:cNvSpPr>
                          <a:spLocks noChangeShapeType="1"/>
                        </a:cNvSpPr>
                      </a:nvSpPr>
                      <a:spPr bwMode="auto">
                        <a:xfrm>
                          <a:off x="27828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7" name="Line 23"/>
                        <a:cNvSpPr>
                          <a:spLocks noChangeShapeType="1"/>
                        </a:cNvSpPr>
                      </a:nvSpPr>
                      <a:spPr bwMode="auto">
                        <a:xfrm>
                          <a:off x="28702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48" name="Rectangle 24"/>
                        <a:cNvSpPr>
                          <a:spLocks noChangeArrowheads="1"/>
                        </a:cNvSpPr>
                      </a:nvSpPr>
                      <a:spPr bwMode="auto">
                        <a:xfrm>
                          <a:off x="2886075" y="5721546"/>
                          <a:ext cx="176330"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49" name="Line 25"/>
                        <a:cNvSpPr>
                          <a:spLocks noChangeShapeType="1"/>
                        </a:cNvSpPr>
                      </a:nvSpPr>
                      <a:spPr bwMode="auto">
                        <a:xfrm>
                          <a:off x="2955925"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0" name="Line 26"/>
                        <a:cNvSpPr>
                          <a:spLocks noChangeShapeType="1"/>
                        </a:cNvSpPr>
                      </a:nvSpPr>
                      <a:spPr bwMode="auto">
                        <a:xfrm>
                          <a:off x="30416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1" name="Line 27"/>
                        <a:cNvSpPr>
                          <a:spLocks noChangeShapeType="1"/>
                        </a:cNvSpPr>
                      </a:nvSpPr>
                      <a:spPr bwMode="auto">
                        <a:xfrm>
                          <a:off x="31273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2" name="Line 28"/>
                        <a:cNvSpPr>
                          <a:spLocks noChangeShapeType="1"/>
                        </a:cNvSpPr>
                      </a:nvSpPr>
                      <a:spPr bwMode="auto">
                        <a:xfrm>
                          <a:off x="32146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3" name="Line 29"/>
                        <a:cNvSpPr>
                          <a:spLocks noChangeShapeType="1"/>
                        </a:cNvSpPr>
                      </a:nvSpPr>
                      <a:spPr bwMode="auto">
                        <a:xfrm>
                          <a:off x="330041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4" name="Rectangle 30"/>
                        <a:cNvSpPr>
                          <a:spLocks noChangeArrowheads="1"/>
                        </a:cNvSpPr>
                      </a:nvSpPr>
                      <a:spPr bwMode="auto">
                        <a:xfrm>
                          <a:off x="3316288" y="5721546"/>
                          <a:ext cx="176330"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55" name="Line 31"/>
                        <a:cNvSpPr>
                          <a:spLocks noChangeShapeType="1"/>
                        </a:cNvSpPr>
                      </a:nvSpPr>
                      <a:spPr bwMode="auto">
                        <a:xfrm>
                          <a:off x="3386138"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6" name="Line 32"/>
                        <a:cNvSpPr>
                          <a:spLocks noChangeShapeType="1"/>
                        </a:cNvSpPr>
                      </a:nvSpPr>
                      <a:spPr bwMode="auto">
                        <a:xfrm>
                          <a:off x="347186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7" name="Line 33"/>
                        <a:cNvSpPr>
                          <a:spLocks noChangeShapeType="1"/>
                        </a:cNvSpPr>
                      </a:nvSpPr>
                      <a:spPr bwMode="auto">
                        <a:xfrm>
                          <a:off x="35591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8" name="Line 34"/>
                        <a:cNvSpPr>
                          <a:spLocks noChangeShapeType="1"/>
                        </a:cNvSpPr>
                      </a:nvSpPr>
                      <a:spPr bwMode="auto">
                        <a:xfrm>
                          <a:off x="36449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59" name="Line 35"/>
                        <a:cNvSpPr>
                          <a:spLocks noChangeShapeType="1"/>
                        </a:cNvSpPr>
                      </a:nvSpPr>
                      <a:spPr bwMode="auto">
                        <a:xfrm>
                          <a:off x="373062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0" name="Rectangle 36"/>
                        <a:cNvSpPr>
                          <a:spLocks noChangeArrowheads="1"/>
                        </a:cNvSpPr>
                      </a:nvSpPr>
                      <a:spPr bwMode="auto">
                        <a:xfrm>
                          <a:off x="3746500" y="5721546"/>
                          <a:ext cx="176330"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61" name="Line 37"/>
                        <a:cNvSpPr>
                          <a:spLocks noChangeShapeType="1"/>
                        </a:cNvSpPr>
                      </a:nvSpPr>
                      <a:spPr bwMode="auto">
                        <a:xfrm>
                          <a:off x="3816350"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2" name="Line 38"/>
                        <a:cNvSpPr>
                          <a:spLocks noChangeShapeType="1"/>
                        </a:cNvSpPr>
                      </a:nvSpPr>
                      <a:spPr bwMode="auto">
                        <a:xfrm>
                          <a:off x="390366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3" name="Line 39"/>
                        <a:cNvSpPr>
                          <a:spLocks noChangeShapeType="1"/>
                        </a:cNvSpPr>
                      </a:nvSpPr>
                      <a:spPr bwMode="auto">
                        <a:xfrm>
                          <a:off x="39893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4" name="Line 40"/>
                        <a:cNvSpPr>
                          <a:spLocks noChangeShapeType="1"/>
                        </a:cNvSpPr>
                      </a:nvSpPr>
                      <a:spPr bwMode="auto">
                        <a:xfrm>
                          <a:off x="407511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5" name="Line 41"/>
                        <a:cNvSpPr>
                          <a:spLocks noChangeShapeType="1"/>
                        </a:cNvSpPr>
                      </a:nvSpPr>
                      <a:spPr bwMode="auto">
                        <a:xfrm>
                          <a:off x="416242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6" name="Rectangle 42"/>
                        <a:cNvSpPr>
                          <a:spLocks noChangeArrowheads="1"/>
                        </a:cNvSpPr>
                      </a:nvSpPr>
                      <a:spPr bwMode="auto">
                        <a:xfrm>
                          <a:off x="4178300" y="5721546"/>
                          <a:ext cx="176330"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67" name="Line 43"/>
                        <a:cNvSpPr>
                          <a:spLocks noChangeShapeType="1"/>
                        </a:cNvSpPr>
                      </a:nvSpPr>
                      <a:spPr bwMode="auto">
                        <a:xfrm>
                          <a:off x="4248150"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8" name="Line 44"/>
                        <a:cNvSpPr>
                          <a:spLocks noChangeShapeType="1"/>
                        </a:cNvSpPr>
                      </a:nvSpPr>
                      <a:spPr bwMode="auto">
                        <a:xfrm>
                          <a:off x="43338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69" name="Line 45"/>
                        <a:cNvSpPr>
                          <a:spLocks noChangeShapeType="1"/>
                        </a:cNvSpPr>
                      </a:nvSpPr>
                      <a:spPr bwMode="auto">
                        <a:xfrm>
                          <a:off x="44196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0" name="Line 46"/>
                        <a:cNvSpPr>
                          <a:spLocks noChangeShapeType="1"/>
                        </a:cNvSpPr>
                      </a:nvSpPr>
                      <a:spPr bwMode="auto">
                        <a:xfrm>
                          <a:off x="450691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1" name="Line 47"/>
                        <a:cNvSpPr>
                          <a:spLocks noChangeShapeType="1"/>
                        </a:cNvSpPr>
                      </a:nvSpPr>
                      <a:spPr bwMode="auto">
                        <a:xfrm>
                          <a:off x="45926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2" name="Rectangle 48"/>
                        <a:cNvSpPr>
                          <a:spLocks noChangeArrowheads="1"/>
                        </a:cNvSpPr>
                      </a:nvSpPr>
                      <a:spPr bwMode="auto">
                        <a:xfrm>
                          <a:off x="4608513" y="5721546"/>
                          <a:ext cx="176330"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73" name="Line 49"/>
                        <a:cNvSpPr>
                          <a:spLocks noChangeShapeType="1"/>
                        </a:cNvSpPr>
                      </a:nvSpPr>
                      <a:spPr bwMode="auto">
                        <a:xfrm>
                          <a:off x="4678363"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4" name="Line 50"/>
                        <a:cNvSpPr>
                          <a:spLocks noChangeShapeType="1"/>
                        </a:cNvSpPr>
                      </a:nvSpPr>
                      <a:spPr bwMode="auto">
                        <a:xfrm>
                          <a:off x="47640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5" name="Line 51"/>
                        <a:cNvSpPr>
                          <a:spLocks noChangeShapeType="1"/>
                        </a:cNvSpPr>
                      </a:nvSpPr>
                      <a:spPr bwMode="auto">
                        <a:xfrm>
                          <a:off x="48514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6" name="Line 52"/>
                        <a:cNvSpPr>
                          <a:spLocks noChangeShapeType="1"/>
                        </a:cNvSpPr>
                      </a:nvSpPr>
                      <a:spPr bwMode="auto">
                        <a:xfrm>
                          <a:off x="493712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7" name="Line 53"/>
                        <a:cNvSpPr>
                          <a:spLocks noChangeShapeType="1"/>
                        </a:cNvSpPr>
                      </a:nvSpPr>
                      <a:spPr bwMode="auto">
                        <a:xfrm>
                          <a:off x="50228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78" name="Rectangle 54"/>
                        <a:cNvSpPr>
                          <a:spLocks noChangeArrowheads="1"/>
                        </a:cNvSpPr>
                      </a:nvSpPr>
                      <a:spPr bwMode="auto">
                        <a:xfrm>
                          <a:off x="5019675"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79" name="Line 55"/>
                        <a:cNvSpPr>
                          <a:spLocks noChangeShapeType="1"/>
                        </a:cNvSpPr>
                      </a:nvSpPr>
                      <a:spPr bwMode="auto">
                        <a:xfrm>
                          <a:off x="5110163"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0" name="Line 56"/>
                        <a:cNvSpPr>
                          <a:spLocks noChangeShapeType="1"/>
                        </a:cNvSpPr>
                      </a:nvSpPr>
                      <a:spPr bwMode="auto">
                        <a:xfrm>
                          <a:off x="51958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1" name="Line 57"/>
                        <a:cNvSpPr>
                          <a:spLocks noChangeShapeType="1"/>
                        </a:cNvSpPr>
                      </a:nvSpPr>
                      <a:spPr bwMode="auto">
                        <a:xfrm>
                          <a:off x="528161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2" name="Line 58"/>
                        <a:cNvSpPr>
                          <a:spLocks noChangeShapeType="1"/>
                        </a:cNvSpPr>
                      </a:nvSpPr>
                      <a:spPr bwMode="auto">
                        <a:xfrm>
                          <a:off x="53673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3" name="Line 59"/>
                        <a:cNvSpPr>
                          <a:spLocks noChangeShapeType="1"/>
                        </a:cNvSpPr>
                      </a:nvSpPr>
                      <a:spPr bwMode="auto">
                        <a:xfrm>
                          <a:off x="54546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4" name="Rectangle 60"/>
                        <a:cNvSpPr>
                          <a:spLocks noChangeArrowheads="1"/>
                        </a:cNvSpPr>
                      </a:nvSpPr>
                      <a:spPr bwMode="auto">
                        <a:xfrm>
                          <a:off x="5449888"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11.3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85" name="Line 61"/>
                        <a:cNvSpPr>
                          <a:spLocks noChangeShapeType="1"/>
                        </a:cNvSpPr>
                      </a:nvSpPr>
                      <a:spPr bwMode="auto">
                        <a:xfrm>
                          <a:off x="5540375"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6" name="Line 62"/>
                        <a:cNvSpPr>
                          <a:spLocks noChangeShapeType="1"/>
                        </a:cNvSpPr>
                      </a:nvSpPr>
                      <a:spPr bwMode="auto">
                        <a:xfrm>
                          <a:off x="56261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7" name="Line 63"/>
                        <a:cNvSpPr>
                          <a:spLocks noChangeShapeType="1"/>
                        </a:cNvSpPr>
                      </a:nvSpPr>
                      <a:spPr bwMode="auto">
                        <a:xfrm>
                          <a:off x="571341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8" name="Line 64"/>
                        <a:cNvSpPr>
                          <a:spLocks noChangeShapeType="1"/>
                        </a:cNvSpPr>
                      </a:nvSpPr>
                      <a:spPr bwMode="auto">
                        <a:xfrm>
                          <a:off x="57991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89" name="Line 65"/>
                        <a:cNvSpPr>
                          <a:spLocks noChangeShapeType="1"/>
                        </a:cNvSpPr>
                      </a:nvSpPr>
                      <a:spPr bwMode="auto">
                        <a:xfrm>
                          <a:off x="588486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0" name="Rectangle 66"/>
                        <a:cNvSpPr>
                          <a:spLocks noChangeArrowheads="1"/>
                        </a:cNvSpPr>
                      </a:nvSpPr>
                      <a:spPr bwMode="auto">
                        <a:xfrm>
                          <a:off x="5880100"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91" name="Line 67"/>
                        <a:cNvSpPr>
                          <a:spLocks noChangeShapeType="1"/>
                        </a:cNvSpPr>
                      </a:nvSpPr>
                      <a:spPr bwMode="auto">
                        <a:xfrm>
                          <a:off x="5970588"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2" name="Line 68"/>
                        <a:cNvSpPr>
                          <a:spLocks noChangeShapeType="1"/>
                        </a:cNvSpPr>
                      </a:nvSpPr>
                      <a:spPr bwMode="auto">
                        <a:xfrm>
                          <a:off x="60579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3" name="Line 69"/>
                        <a:cNvSpPr>
                          <a:spLocks noChangeShapeType="1"/>
                        </a:cNvSpPr>
                      </a:nvSpPr>
                      <a:spPr bwMode="auto">
                        <a:xfrm>
                          <a:off x="614362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4" name="Line 70"/>
                        <a:cNvSpPr>
                          <a:spLocks noChangeShapeType="1"/>
                        </a:cNvSpPr>
                      </a:nvSpPr>
                      <a:spPr bwMode="auto">
                        <a:xfrm>
                          <a:off x="62293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5" name="Line 71"/>
                        <a:cNvSpPr>
                          <a:spLocks noChangeShapeType="1"/>
                        </a:cNvSpPr>
                      </a:nvSpPr>
                      <a:spPr bwMode="auto">
                        <a:xfrm>
                          <a:off x="63150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6" name="Rectangle 72"/>
                        <a:cNvSpPr>
                          <a:spLocks noChangeArrowheads="1"/>
                        </a:cNvSpPr>
                      </a:nvSpPr>
                      <a:spPr bwMode="auto">
                        <a:xfrm>
                          <a:off x="6311900"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097" name="Line 73"/>
                        <a:cNvSpPr>
                          <a:spLocks noChangeShapeType="1"/>
                        </a:cNvSpPr>
                      </a:nvSpPr>
                      <a:spPr bwMode="auto">
                        <a:xfrm>
                          <a:off x="6402388"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8" name="Line 74"/>
                        <a:cNvSpPr>
                          <a:spLocks noChangeShapeType="1"/>
                        </a:cNvSpPr>
                      </a:nvSpPr>
                      <a:spPr bwMode="auto">
                        <a:xfrm>
                          <a:off x="648811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99" name="Line 75"/>
                        <a:cNvSpPr>
                          <a:spLocks noChangeShapeType="1"/>
                        </a:cNvSpPr>
                      </a:nvSpPr>
                      <a:spPr bwMode="auto">
                        <a:xfrm>
                          <a:off x="65738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0" name="Line 76"/>
                        <a:cNvSpPr>
                          <a:spLocks noChangeShapeType="1"/>
                        </a:cNvSpPr>
                      </a:nvSpPr>
                      <a:spPr bwMode="auto">
                        <a:xfrm>
                          <a:off x="66611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1" name="Line 77"/>
                        <a:cNvSpPr>
                          <a:spLocks noChangeShapeType="1"/>
                        </a:cNvSpPr>
                      </a:nvSpPr>
                      <a:spPr bwMode="auto">
                        <a:xfrm>
                          <a:off x="67468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2" name="Rectangle 78"/>
                        <a:cNvSpPr>
                          <a:spLocks noChangeArrowheads="1"/>
                        </a:cNvSpPr>
                      </a:nvSpPr>
                      <a:spPr bwMode="auto">
                        <a:xfrm>
                          <a:off x="6742113"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03" name="Line 79"/>
                        <a:cNvSpPr>
                          <a:spLocks noChangeShapeType="1"/>
                        </a:cNvSpPr>
                      </a:nvSpPr>
                      <a:spPr bwMode="auto">
                        <a:xfrm>
                          <a:off x="6832600"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4" name="Line 80"/>
                        <a:cNvSpPr>
                          <a:spLocks noChangeShapeType="1"/>
                        </a:cNvSpPr>
                      </a:nvSpPr>
                      <a:spPr bwMode="auto">
                        <a:xfrm>
                          <a:off x="691832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5" name="Line 81"/>
                        <a:cNvSpPr>
                          <a:spLocks noChangeShapeType="1"/>
                        </a:cNvSpPr>
                      </a:nvSpPr>
                      <a:spPr bwMode="auto">
                        <a:xfrm>
                          <a:off x="70056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6" name="Line 82"/>
                        <a:cNvSpPr>
                          <a:spLocks noChangeShapeType="1"/>
                        </a:cNvSpPr>
                      </a:nvSpPr>
                      <a:spPr bwMode="auto">
                        <a:xfrm>
                          <a:off x="709136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7" name="Line 83"/>
                        <a:cNvSpPr>
                          <a:spLocks noChangeShapeType="1"/>
                        </a:cNvSpPr>
                      </a:nvSpPr>
                      <a:spPr bwMode="auto">
                        <a:xfrm>
                          <a:off x="71770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08" name="Rectangle 84"/>
                        <a:cNvSpPr>
                          <a:spLocks noChangeArrowheads="1"/>
                        </a:cNvSpPr>
                      </a:nvSpPr>
                      <a:spPr bwMode="auto">
                        <a:xfrm>
                          <a:off x="7172325"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09" name="Line 85"/>
                        <a:cNvSpPr>
                          <a:spLocks noChangeShapeType="1"/>
                        </a:cNvSpPr>
                      </a:nvSpPr>
                      <a:spPr bwMode="auto">
                        <a:xfrm>
                          <a:off x="7262813"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0" name="Line 86"/>
                        <a:cNvSpPr>
                          <a:spLocks noChangeShapeType="1"/>
                        </a:cNvSpPr>
                      </a:nvSpPr>
                      <a:spPr bwMode="auto">
                        <a:xfrm>
                          <a:off x="735012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1" name="Line 87"/>
                        <a:cNvSpPr>
                          <a:spLocks noChangeShapeType="1"/>
                        </a:cNvSpPr>
                      </a:nvSpPr>
                      <a:spPr bwMode="auto">
                        <a:xfrm>
                          <a:off x="743585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2" name="Line 88"/>
                        <a:cNvSpPr>
                          <a:spLocks noChangeShapeType="1"/>
                        </a:cNvSpPr>
                      </a:nvSpPr>
                      <a:spPr bwMode="auto">
                        <a:xfrm>
                          <a:off x="75215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3" name="Line 89"/>
                        <a:cNvSpPr>
                          <a:spLocks noChangeShapeType="1"/>
                        </a:cNvSpPr>
                      </a:nvSpPr>
                      <a:spPr bwMode="auto">
                        <a:xfrm>
                          <a:off x="76088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4" name="Rectangle 90"/>
                        <a:cNvSpPr>
                          <a:spLocks noChangeArrowheads="1"/>
                        </a:cNvSpPr>
                      </a:nvSpPr>
                      <a:spPr bwMode="auto">
                        <a:xfrm>
                          <a:off x="7604125"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15" name="Line 91"/>
                        <a:cNvSpPr>
                          <a:spLocks noChangeShapeType="1"/>
                        </a:cNvSpPr>
                      </a:nvSpPr>
                      <a:spPr bwMode="auto">
                        <a:xfrm>
                          <a:off x="7694613"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6" name="Line 92"/>
                        <a:cNvSpPr>
                          <a:spLocks noChangeShapeType="1"/>
                        </a:cNvSpPr>
                      </a:nvSpPr>
                      <a:spPr bwMode="auto">
                        <a:xfrm>
                          <a:off x="77803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7" name="Line 93"/>
                        <a:cNvSpPr>
                          <a:spLocks noChangeShapeType="1"/>
                        </a:cNvSpPr>
                      </a:nvSpPr>
                      <a:spPr bwMode="auto">
                        <a:xfrm>
                          <a:off x="786606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8" name="Line 94"/>
                        <a:cNvSpPr>
                          <a:spLocks noChangeShapeType="1"/>
                        </a:cNvSpPr>
                      </a:nvSpPr>
                      <a:spPr bwMode="auto">
                        <a:xfrm>
                          <a:off x="7953375"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19" name="Line 95"/>
                        <a:cNvSpPr>
                          <a:spLocks noChangeShapeType="1"/>
                        </a:cNvSpPr>
                      </a:nvSpPr>
                      <a:spPr bwMode="auto">
                        <a:xfrm>
                          <a:off x="8039100"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20" name="Rectangle 96"/>
                        <a:cNvSpPr>
                          <a:spLocks noChangeArrowheads="1"/>
                        </a:cNvSpPr>
                      </a:nvSpPr>
                      <a:spPr bwMode="auto">
                        <a:xfrm>
                          <a:off x="8034338"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21" name="Line 97"/>
                        <a:cNvSpPr>
                          <a:spLocks noChangeShapeType="1"/>
                        </a:cNvSpPr>
                      </a:nvSpPr>
                      <a:spPr bwMode="auto">
                        <a:xfrm>
                          <a:off x="8124825"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22" name="Line 98"/>
                        <a:cNvSpPr>
                          <a:spLocks noChangeShapeType="1"/>
                        </a:cNvSpPr>
                      </a:nvSpPr>
                      <a:spPr bwMode="auto">
                        <a:xfrm>
                          <a:off x="821213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23" name="Line 99"/>
                        <a:cNvSpPr>
                          <a:spLocks noChangeShapeType="1"/>
                        </a:cNvSpPr>
                      </a:nvSpPr>
                      <a:spPr bwMode="auto">
                        <a:xfrm>
                          <a:off x="829786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24" name="Line 100"/>
                        <a:cNvSpPr>
                          <a:spLocks noChangeShapeType="1"/>
                        </a:cNvSpPr>
                      </a:nvSpPr>
                      <a:spPr bwMode="auto">
                        <a:xfrm>
                          <a:off x="8383588"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25" name="Line 101"/>
                        <a:cNvSpPr>
                          <a:spLocks noChangeShapeType="1"/>
                        </a:cNvSpPr>
                      </a:nvSpPr>
                      <a:spPr bwMode="auto">
                        <a:xfrm>
                          <a:off x="8469313" y="5677483"/>
                          <a:ext cx="1588" cy="1823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26" name="Rectangle 102"/>
                        <a:cNvSpPr>
                          <a:spLocks noChangeArrowheads="1"/>
                        </a:cNvSpPr>
                      </a:nvSpPr>
                      <a:spPr bwMode="auto">
                        <a:xfrm>
                          <a:off x="8466138" y="5721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27" name="Line 103"/>
                        <a:cNvSpPr>
                          <a:spLocks noChangeShapeType="1"/>
                        </a:cNvSpPr>
                      </a:nvSpPr>
                      <a:spPr bwMode="auto">
                        <a:xfrm>
                          <a:off x="8556625" y="5677483"/>
                          <a:ext cx="1588" cy="44063"/>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28" name="Rectangle 104"/>
                        <a:cNvSpPr>
                          <a:spLocks noChangeArrowheads="1"/>
                        </a:cNvSpPr>
                      </a:nvSpPr>
                      <a:spPr bwMode="auto">
                        <a:xfrm>
                          <a:off x="1663700" y="4104906"/>
                          <a:ext cx="6892925" cy="1572578"/>
                        </a:xfrm>
                        <a:prstGeom prst="rect">
                          <a:avLst/>
                        </a:prstGeom>
                        <a:noFill/>
                        <a:ln w="3175">
                          <a:solidFill>
                            <a:srgbClr val="000000"/>
                          </a:solidFill>
                          <a:prstDash val="solid"/>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129" name="Rectangle 105"/>
                        <a:cNvSpPr>
                          <a:spLocks noChangeArrowheads="1"/>
                        </a:cNvSpPr>
                      </a:nvSpPr>
                      <a:spPr bwMode="auto">
                        <a:xfrm>
                          <a:off x="1371600" y="5674444"/>
                          <a:ext cx="21961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-5.0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130" name="Line 106"/>
                        <a:cNvSpPr>
                          <a:spLocks noChangeShapeType="1"/>
                        </a:cNvSpPr>
                      </a:nvSpPr>
                      <a:spPr bwMode="auto">
                        <a:xfrm flipH="1">
                          <a:off x="1617663" y="5677483"/>
                          <a:ext cx="460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1" name="Line 107"/>
                        <a:cNvSpPr>
                          <a:spLocks noChangeShapeType="1"/>
                        </a:cNvSpPr>
                      </a:nvSpPr>
                      <a:spPr bwMode="auto">
                        <a:xfrm flipH="1">
                          <a:off x="1643063" y="5565047"/>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2" name="Line 108"/>
                        <a:cNvSpPr>
                          <a:spLocks noChangeShapeType="1"/>
                        </a:cNvSpPr>
                      </a:nvSpPr>
                      <a:spPr bwMode="auto">
                        <a:xfrm flipH="1">
                          <a:off x="1617663" y="5452612"/>
                          <a:ext cx="460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3" name="Line 109"/>
                        <a:cNvSpPr>
                          <a:spLocks noChangeShapeType="1"/>
                        </a:cNvSpPr>
                      </a:nvSpPr>
                      <a:spPr bwMode="auto">
                        <a:xfrm flipH="1">
                          <a:off x="1643063" y="5340176"/>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4" name="Line 110"/>
                        <a:cNvSpPr>
                          <a:spLocks noChangeShapeType="1"/>
                        </a:cNvSpPr>
                      </a:nvSpPr>
                      <a:spPr bwMode="auto">
                        <a:xfrm flipH="1">
                          <a:off x="1643063" y="5227741"/>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5" name="Line 111"/>
                        <a:cNvSpPr>
                          <a:spLocks noChangeShapeType="1"/>
                        </a:cNvSpPr>
                      </a:nvSpPr>
                      <a:spPr bwMode="auto">
                        <a:xfrm flipH="1">
                          <a:off x="1643063" y="5115306"/>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6" name="Rectangle 112"/>
                        <a:cNvSpPr>
                          <a:spLocks noChangeArrowheads="1"/>
                        </a:cNvSpPr>
                      </a:nvSpPr>
                      <a:spPr bwMode="auto">
                        <a:xfrm>
                          <a:off x="1371600" y="4945133"/>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10.0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137" name="Line 113"/>
                        <a:cNvSpPr>
                          <a:spLocks noChangeShapeType="1"/>
                        </a:cNvSpPr>
                      </a:nvSpPr>
                      <a:spPr bwMode="auto">
                        <a:xfrm flipH="1">
                          <a:off x="1617663" y="5002870"/>
                          <a:ext cx="460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8" name="Line 114"/>
                        <a:cNvSpPr>
                          <a:spLocks noChangeShapeType="1"/>
                        </a:cNvSpPr>
                      </a:nvSpPr>
                      <a:spPr bwMode="auto">
                        <a:xfrm flipH="1">
                          <a:off x="1643063" y="4891954"/>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39" name="Line 115"/>
                        <a:cNvSpPr>
                          <a:spLocks noChangeShapeType="1"/>
                        </a:cNvSpPr>
                      </a:nvSpPr>
                      <a:spPr bwMode="auto">
                        <a:xfrm flipH="1">
                          <a:off x="1643063" y="4779519"/>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40" name="Line 116"/>
                        <a:cNvSpPr>
                          <a:spLocks noChangeShapeType="1"/>
                        </a:cNvSpPr>
                      </a:nvSpPr>
                      <a:spPr bwMode="auto">
                        <a:xfrm flipH="1">
                          <a:off x="1643063" y="4667083"/>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41" name="Rectangle 117"/>
                        <a:cNvSpPr>
                          <a:spLocks noChangeArrowheads="1"/>
                        </a:cNvSpPr>
                      </a:nvSpPr>
                      <a:spPr bwMode="auto">
                        <a:xfrm>
                          <a:off x="1371600" y="4507546"/>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20.0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142" name="Line 118"/>
                        <a:cNvSpPr>
                          <a:spLocks noChangeShapeType="1"/>
                        </a:cNvSpPr>
                      </a:nvSpPr>
                      <a:spPr bwMode="auto">
                        <a:xfrm flipH="1">
                          <a:off x="1617663" y="4554648"/>
                          <a:ext cx="460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43" name="Line 119"/>
                        <a:cNvSpPr>
                          <a:spLocks noChangeShapeType="1"/>
                        </a:cNvSpPr>
                      </a:nvSpPr>
                      <a:spPr bwMode="auto">
                        <a:xfrm flipH="1">
                          <a:off x="1643063" y="4442212"/>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44" name="Line 120"/>
                        <a:cNvSpPr>
                          <a:spLocks noChangeShapeType="1"/>
                        </a:cNvSpPr>
                      </a:nvSpPr>
                      <a:spPr bwMode="auto">
                        <a:xfrm flipH="1">
                          <a:off x="1643063" y="4329777"/>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45" name="Line 121"/>
                        <a:cNvSpPr>
                          <a:spLocks noChangeShapeType="1"/>
                        </a:cNvSpPr>
                      </a:nvSpPr>
                      <a:spPr bwMode="auto">
                        <a:xfrm flipH="1">
                          <a:off x="1643063" y="4217341"/>
                          <a:ext cx="206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46" name="Rectangle 122"/>
                        <a:cNvSpPr>
                          <a:spLocks noChangeArrowheads="1"/>
                        </a:cNvSpPr>
                      </a:nvSpPr>
                      <a:spPr bwMode="auto">
                        <a:xfrm>
                          <a:off x="1371600" y="4069959"/>
                          <a:ext cx="246862" cy="14728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30.0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pic>
                      <a:nvPicPr>
                        <a:cNvPr id="1147" name="Picture 123"/>
                        <a:cNvPicPr>
                          <a:picLocks noChangeAspect="1" noChangeArrowheads="1"/>
                        </a:cNvPicPr>
                      </a:nvPicPr>
                      <a:blipFill>
                        <a:blip r:embed="rId26"/>
                        <a:srcRect/>
                        <a:stretch>
                          <a:fillRect/>
                        </a:stretch>
                      </a:blipFill>
                      <a:spPr bwMode="auto">
                        <a:xfrm>
                          <a:off x="1663700" y="4059324"/>
                          <a:ext cx="3175" cy="4559"/>
                        </a:xfrm>
                        <a:prstGeom prst="rect">
                          <a:avLst/>
                        </a:prstGeom>
                        <a:noFill/>
                        <a:ln w="9525">
                          <a:noFill/>
                          <a:miter lim="800000"/>
                          <a:headEnd/>
                          <a:tailEnd/>
                        </a:ln>
                      </a:spPr>
                    </a:pic>
                    <a:pic>
                      <a:nvPicPr>
                        <a:cNvPr id="1148" name="Picture 124"/>
                        <a:cNvPicPr>
                          <a:picLocks noChangeAspect="1" noChangeArrowheads="1"/>
                        </a:cNvPicPr>
                      </a:nvPicPr>
                      <a:blipFill>
                        <a:blip r:embed="rId27"/>
                        <a:srcRect/>
                        <a:stretch>
                          <a:fillRect/>
                        </a:stretch>
                      </a:blipFill>
                      <a:spPr bwMode="auto">
                        <a:xfrm>
                          <a:off x="1663700" y="4059324"/>
                          <a:ext cx="3175" cy="4559"/>
                        </a:xfrm>
                        <a:prstGeom prst="rect">
                          <a:avLst/>
                        </a:prstGeom>
                        <a:noFill/>
                        <a:ln w="9525">
                          <a:noFill/>
                          <a:miter lim="800000"/>
                          <a:headEnd/>
                          <a:tailEnd/>
                        </a:ln>
                      </a:spPr>
                    </a:pic>
                    <a:sp>
                      <a:nvSpPr>
                        <a:cNvPr id="1152" name="Rectangle 128"/>
                        <a:cNvSpPr>
                          <a:spLocks noChangeArrowheads="1"/>
                        </a:cNvSpPr>
                      </a:nvSpPr>
                      <a:spPr bwMode="auto">
                        <a:xfrm>
                          <a:off x="1143000" y="4288753"/>
                          <a:ext cx="153888" cy="1244103"/>
                        </a:xfrm>
                        <a:prstGeom prst="rect">
                          <a:avLst/>
                        </a:prstGeom>
                        <a:noFill/>
                        <a:ln w="9525">
                          <a:noFill/>
                          <a:miter lim="800000"/>
                          <a:headEnd/>
                          <a:tailEnd/>
                        </a:ln>
                      </a:spPr>
                      <a:txSp>
                        <a:txBody>
                          <a:bodyPr vert="vert270"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000" b="1" i="0" u="none" strike="noStrike" cap="none" normalizeH="0" baseline="0" dirty="0" smtClean="0">
                                <a:ln>
                                  <a:noFill/>
                                </a:ln>
                                <a:solidFill>
                                  <a:srgbClr val="000000"/>
                                </a:solidFill>
                                <a:effectLst/>
                                <a:latin typeface="Arial" pitchFamily="34" charset="0"/>
                                <a:cs typeface="Arial" pitchFamily="34" charset="0"/>
                              </a:rPr>
                              <a:t>Absorbance (</a:t>
                            </a:r>
                            <a:r>
                              <a:rPr kumimoji="0" lang="en-US" sz="1000" b="1" i="0" u="none" strike="noStrike" cap="none" normalizeH="0" baseline="0" dirty="0" err="1" smtClean="0">
                                <a:ln>
                                  <a:noFill/>
                                </a:ln>
                                <a:solidFill>
                                  <a:srgbClr val="000000"/>
                                </a:solidFill>
                                <a:effectLst/>
                                <a:latin typeface="Arial" pitchFamily="34" charset="0"/>
                                <a:cs typeface="Arial" pitchFamily="34" charset="0"/>
                              </a:rPr>
                              <a:t>mAU</a:t>
                            </a:r>
                            <a:r>
                              <a:rPr kumimoji="0" lang="en-US" sz="1000" b="1" i="0" u="none" strike="noStrike" cap="none" normalizeH="0" baseline="0" dirty="0" smtClean="0">
                                <a:ln>
                                  <a:noFill/>
                                </a:ln>
                                <a:solidFill>
                                  <a:srgbClr val="000000"/>
                                </a:solidFill>
                                <a:effectLst/>
                                <a:latin typeface="Arial" pitchFamily="34" charset="0"/>
                                <a:cs typeface="Arial" pitchFamily="34" charset="0"/>
                              </a:rPr>
                              <a:t>)</a:t>
                            </a:r>
                            <a:endParaRPr kumimoji="0" lang="en-US" sz="1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153" name="Rectangle 129"/>
                        <a:cNvSpPr>
                          <a:spLocks noChangeArrowheads="1"/>
                        </a:cNvSpPr>
                      </a:nvSpPr>
                      <a:spPr bwMode="auto">
                        <a:xfrm>
                          <a:off x="4476564" y="5893238"/>
                          <a:ext cx="1502014"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1" i="0" u="none" strike="noStrike" cap="none" normalizeH="0" baseline="0" dirty="0" smtClean="0">
                                <a:ln>
                                  <a:noFill/>
                                </a:ln>
                                <a:solidFill>
                                  <a:srgbClr val="000000"/>
                                </a:solidFill>
                                <a:effectLst/>
                                <a:latin typeface="Arial" pitchFamily="34" charset="0"/>
                                <a:cs typeface="Arial" pitchFamily="34" charset="0"/>
                              </a:rPr>
                              <a:t>Retention time (</a:t>
                            </a:r>
                            <a:r>
                              <a:rPr lang="en-US" sz="1000" b="1" dirty="0">
                                <a:solidFill>
                                  <a:srgbClr val="000000"/>
                                </a:solidFill>
                                <a:latin typeface="Arial" pitchFamily="34" charset="0"/>
                                <a:cs typeface="Arial" pitchFamily="34" charset="0"/>
                              </a:rPr>
                              <a:t>m</a:t>
                            </a:r>
                            <a:r>
                              <a:rPr kumimoji="0" lang="en-US" sz="1000" b="1" i="0" u="none" strike="noStrike" cap="none" normalizeH="0" baseline="0" dirty="0" smtClean="0">
                                <a:ln>
                                  <a:noFill/>
                                </a:ln>
                                <a:solidFill>
                                  <a:srgbClr val="000000"/>
                                </a:solidFill>
                                <a:effectLst/>
                                <a:latin typeface="Arial" pitchFamily="34" charset="0"/>
                                <a:cs typeface="Arial" pitchFamily="34" charset="0"/>
                              </a:rPr>
                              <a:t>inutes)</a:t>
                            </a:r>
                            <a:endParaRPr kumimoji="0" lang="en-US" sz="1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154" name="Line 130"/>
                        <a:cNvSpPr>
                          <a:spLocks noChangeShapeType="1"/>
                        </a:cNvSpPr>
                      </a:nvSpPr>
                      <a:spPr bwMode="auto">
                        <a:xfrm flipH="1">
                          <a:off x="1617663" y="4104906"/>
                          <a:ext cx="46038" cy="152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55" name="Freeform 131"/>
                        <a:cNvSpPr>
                          <a:spLocks/>
                        </a:cNvSpPr>
                      </a:nvSpPr>
                      <a:spPr bwMode="auto">
                        <a:xfrm>
                          <a:off x="1663700" y="4635176"/>
                          <a:ext cx="412750" cy="817436"/>
                        </a:xfrm>
                        <a:custGeom>
                          <a:avLst/>
                          <a:gdLst/>
                          <a:ahLst/>
                          <a:cxnLst>
                            <a:cxn ang="0">
                              <a:pos x="11" y="538"/>
                            </a:cxn>
                            <a:cxn ang="0">
                              <a:pos x="41" y="537"/>
                            </a:cxn>
                            <a:cxn ang="0">
                              <a:pos x="78" y="538"/>
                            </a:cxn>
                            <a:cxn ang="0">
                              <a:pos x="105" y="537"/>
                            </a:cxn>
                            <a:cxn ang="0">
                              <a:pos x="119" y="538"/>
                            </a:cxn>
                            <a:cxn ang="0">
                              <a:pos x="130" y="537"/>
                            </a:cxn>
                            <a:cxn ang="0">
                              <a:pos x="143" y="537"/>
                            </a:cxn>
                            <a:cxn ang="0">
                              <a:pos x="147" y="537"/>
                            </a:cxn>
                            <a:cxn ang="0">
                              <a:pos x="149" y="536"/>
                            </a:cxn>
                            <a:cxn ang="0">
                              <a:pos x="150" y="536"/>
                            </a:cxn>
                            <a:cxn ang="0">
                              <a:pos x="151" y="535"/>
                            </a:cxn>
                            <a:cxn ang="0">
                              <a:pos x="154" y="533"/>
                            </a:cxn>
                            <a:cxn ang="0">
                              <a:pos x="155" y="530"/>
                            </a:cxn>
                            <a:cxn ang="0">
                              <a:pos x="157" y="527"/>
                            </a:cxn>
                            <a:cxn ang="0">
                              <a:pos x="159" y="523"/>
                            </a:cxn>
                            <a:cxn ang="0">
                              <a:pos x="161" y="518"/>
                            </a:cxn>
                            <a:cxn ang="0">
                              <a:pos x="162" y="512"/>
                            </a:cxn>
                            <a:cxn ang="0">
                              <a:pos x="164" y="504"/>
                            </a:cxn>
                            <a:cxn ang="0">
                              <a:pos x="166" y="493"/>
                            </a:cxn>
                            <a:cxn ang="0">
                              <a:pos x="169" y="471"/>
                            </a:cxn>
                            <a:cxn ang="0">
                              <a:pos x="173" y="448"/>
                            </a:cxn>
                            <a:cxn ang="0">
                              <a:pos x="175" y="437"/>
                            </a:cxn>
                            <a:cxn ang="0">
                              <a:pos x="178" y="428"/>
                            </a:cxn>
                            <a:cxn ang="0">
                              <a:pos x="182" y="420"/>
                            </a:cxn>
                            <a:cxn ang="0">
                              <a:pos x="184" y="412"/>
                            </a:cxn>
                            <a:cxn ang="0">
                              <a:pos x="185" y="402"/>
                            </a:cxn>
                            <a:cxn ang="0">
                              <a:pos x="185" y="396"/>
                            </a:cxn>
                            <a:cxn ang="0">
                              <a:pos x="186" y="386"/>
                            </a:cxn>
                            <a:cxn ang="0">
                              <a:pos x="187" y="366"/>
                            </a:cxn>
                            <a:cxn ang="0">
                              <a:pos x="189" y="340"/>
                            </a:cxn>
                            <a:cxn ang="0">
                              <a:pos x="190" y="295"/>
                            </a:cxn>
                            <a:cxn ang="0">
                              <a:pos x="192" y="214"/>
                            </a:cxn>
                            <a:cxn ang="0">
                              <a:pos x="195" y="99"/>
                            </a:cxn>
                            <a:cxn ang="0">
                              <a:pos x="198" y="35"/>
                            </a:cxn>
                            <a:cxn ang="0">
                              <a:pos x="200" y="4"/>
                            </a:cxn>
                            <a:cxn ang="0">
                              <a:pos x="202" y="2"/>
                            </a:cxn>
                            <a:cxn ang="0">
                              <a:pos x="204" y="29"/>
                            </a:cxn>
                            <a:cxn ang="0">
                              <a:pos x="207" y="94"/>
                            </a:cxn>
                            <a:cxn ang="0">
                              <a:pos x="211" y="221"/>
                            </a:cxn>
                            <a:cxn ang="0">
                              <a:pos x="214" y="300"/>
                            </a:cxn>
                            <a:cxn ang="0">
                              <a:pos x="216" y="352"/>
                            </a:cxn>
                            <a:cxn ang="0">
                              <a:pos x="218" y="387"/>
                            </a:cxn>
                            <a:cxn ang="0">
                              <a:pos x="221" y="419"/>
                            </a:cxn>
                            <a:cxn ang="0">
                              <a:pos x="223" y="442"/>
                            </a:cxn>
                            <a:cxn ang="0">
                              <a:pos x="223" y="451"/>
                            </a:cxn>
                            <a:cxn ang="0">
                              <a:pos x="224" y="457"/>
                            </a:cxn>
                            <a:cxn ang="0">
                              <a:pos x="226" y="473"/>
                            </a:cxn>
                            <a:cxn ang="0">
                              <a:pos x="228" y="487"/>
                            </a:cxn>
                            <a:cxn ang="0">
                              <a:pos x="229" y="495"/>
                            </a:cxn>
                            <a:cxn ang="0">
                              <a:pos x="231" y="501"/>
                            </a:cxn>
                            <a:cxn ang="0">
                              <a:pos x="232" y="506"/>
                            </a:cxn>
                            <a:cxn ang="0">
                              <a:pos x="234" y="509"/>
                            </a:cxn>
                            <a:cxn ang="0">
                              <a:pos x="235" y="511"/>
                            </a:cxn>
                            <a:cxn ang="0">
                              <a:pos x="237" y="511"/>
                            </a:cxn>
                            <a:cxn ang="0">
                              <a:pos x="239" y="510"/>
                            </a:cxn>
                            <a:cxn ang="0">
                              <a:pos x="240" y="507"/>
                            </a:cxn>
                            <a:cxn ang="0">
                              <a:pos x="243" y="502"/>
                            </a:cxn>
                            <a:cxn ang="0">
                              <a:pos x="245" y="493"/>
                            </a:cxn>
                            <a:cxn ang="0">
                              <a:pos x="251" y="476"/>
                            </a:cxn>
                            <a:cxn ang="0">
                              <a:pos x="254" y="466"/>
                            </a:cxn>
                            <a:cxn ang="0">
                              <a:pos x="256" y="462"/>
                            </a:cxn>
                            <a:cxn ang="0">
                              <a:pos x="258" y="462"/>
                            </a:cxn>
                            <a:cxn ang="0">
                              <a:pos x="259" y="465"/>
                            </a:cxn>
                          </a:cxnLst>
                          <a:rect l="0" t="0" r="r" b="b"/>
                          <a:pathLst>
                            <a:path w="260" h="538">
                              <a:moveTo>
                                <a:pt x="0" y="538"/>
                              </a:moveTo>
                              <a:lnTo>
                                <a:pt x="1" y="538"/>
                              </a:lnTo>
                              <a:lnTo>
                                <a:pt x="2" y="538"/>
                              </a:lnTo>
                              <a:lnTo>
                                <a:pt x="4" y="538"/>
                              </a:lnTo>
                              <a:lnTo>
                                <a:pt x="6" y="538"/>
                              </a:lnTo>
                              <a:lnTo>
                                <a:pt x="8" y="538"/>
                              </a:lnTo>
                              <a:lnTo>
                                <a:pt x="10" y="538"/>
                              </a:lnTo>
                              <a:lnTo>
                                <a:pt x="11" y="538"/>
                              </a:lnTo>
                              <a:lnTo>
                                <a:pt x="13" y="538"/>
                              </a:lnTo>
                              <a:lnTo>
                                <a:pt x="15" y="538"/>
                              </a:lnTo>
                              <a:lnTo>
                                <a:pt x="17" y="538"/>
                              </a:lnTo>
                              <a:lnTo>
                                <a:pt x="22" y="537"/>
                              </a:lnTo>
                              <a:lnTo>
                                <a:pt x="28" y="538"/>
                              </a:lnTo>
                              <a:lnTo>
                                <a:pt x="32" y="537"/>
                              </a:lnTo>
                              <a:lnTo>
                                <a:pt x="36" y="537"/>
                              </a:lnTo>
                              <a:lnTo>
                                <a:pt x="41" y="537"/>
                              </a:lnTo>
                              <a:lnTo>
                                <a:pt x="46" y="538"/>
                              </a:lnTo>
                              <a:lnTo>
                                <a:pt x="49" y="538"/>
                              </a:lnTo>
                              <a:lnTo>
                                <a:pt x="54" y="537"/>
                              </a:lnTo>
                              <a:lnTo>
                                <a:pt x="59" y="537"/>
                              </a:lnTo>
                              <a:lnTo>
                                <a:pt x="64" y="537"/>
                              </a:lnTo>
                              <a:lnTo>
                                <a:pt x="69" y="537"/>
                              </a:lnTo>
                              <a:lnTo>
                                <a:pt x="74" y="538"/>
                              </a:lnTo>
                              <a:lnTo>
                                <a:pt x="78" y="538"/>
                              </a:lnTo>
                              <a:lnTo>
                                <a:pt x="81" y="538"/>
                              </a:lnTo>
                              <a:lnTo>
                                <a:pt x="84" y="538"/>
                              </a:lnTo>
                              <a:lnTo>
                                <a:pt x="88" y="537"/>
                              </a:lnTo>
                              <a:lnTo>
                                <a:pt x="94" y="537"/>
                              </a:lnTo>
                              <a:lnTo>
                                <a:pt x="98" y="537"/>
                              </a:lnTo>
                              <a:lnTo>
                                <a:pt x="101" y="537"/>
                              </a:lnTo>
                              <a:lnTo>
                                <a:pt x="103" y="537"/>
                              </a:lnTo>
                              <a:lnTo>
                                <a:pt x="105" y="537"/>
                              </a:lnTo>
                              <a:lnTo>
                                <a:pt x="108" y="538"/>
                              </a:lnTo>
                              <a:lnTo>
                                <a:pt x="110" y="538"/>
                              </a:lnTo>
                              <a:lnTo>
                                <a:pt x="112" y="538"/>
                              </a:lnTo>
                              <a:lnTo>
                                <a:pt x="114" y="538"/>
                              </a:lnTo>
                              <a:lnTo>
                                <a:pt x="115" y="538"/>
                              </a:lnTo>
                              <a:lnTo>
                                <a:pt x="117" y="538"/>
                              </a:lnTo>
                              <a:lnTo>
                                <a:pt x="118" y="538"/>
                              </a:lnTo>
                              <a:lnTo>
                                <a:pt x="119" y="538"/>
                              </a:lnTo>
                              <a:lnTo>
                                <a:pt x="120" y="538"/>
                              </a:lnTo>
                              <a:lnTo>
                                <a:pt x="121" y="538"/>
                              </a:lnTo>
                              <a:lnTo>
                                <a:pt x="122" y="538"/>
                              </a:lnTo>
                              <a:lnTo>
                                <a:pt x="123" y="538"/>
                              </a:lnTo>
                              <a:lnTo>
                                <a:pt x="124" y="538"/>
                              </a:lnTo>
                              <a:lnTo>
                                <a:pt x="126" y="538"/>
                              </a:lnTo>
                              <a:lnTo>
                                <a:pt x="128" y="538"/>
                              </a:lnTo>
                              <a:lnTo>
                                <a:pt x="130" y="537"/>
                              </a:lnTo>
                              <a:lnTo>
                                <a:pt x="132" y="537"/>
                              </a:lnTo>
                              <a:lnTo>
                                <a:pt x="135" y="537"/>
                              </a:lnTo>
                              <a:lnTo>
                                <a:pt x="137" y="537"/>
                              </a:lnTo>
                              <a:lnTo>
                                <a:pt x="139" y="537"/>
                              </a:lnTo>
                              <a:lnTo>
                                <a:pt x="140" y="537"/>
                              </a:lnTo>
                              <a:lnTo>
                                <a:pt x="141" y="537"/>
                              </a:lnTo>
                              <a:lnTo>
                                <a:pt x="142" y="537"/>
                              </a:lnTo>
                              <a:lnTo>
                                <a:pt x="143" y="537"/>
                              </a:lnTo>
                              <a:lnTo>
                                <a:pt x="143" y="537"/>
                              </a:lnTo>
                              <a:lnTo>
                                <a:pt x="144" y="537"/>
                              </a:lnTo>
                              <a:lnTo>
                                <a:pt x="144" y="537"/>
                              </a:lnTo>
                              <a:lnTo>
                                <a:pt x="145" y="537"/>
                              </a:lnTo>
                              <a:lnTo>
                                <a:pt x="145" y="537"/>
                              </a:lnTo>
                              <a:lnTo>
                                <a:pt x="146" y="537"/>
                              </a:lnTo>
                              <a:lnTo>
                                <a:pt x="146" y="537"/>
                              </a:lnTo>
                              <a:lnTo>
                                <a:pt x="147" y="537"/>
                              </a:lnTo>
                              <a:lnTo>
                                <a:pt x="147" y="536"/>
                              </a:lnTo>
                              <a:lnTo>
                                <a:pt x="148" y="536"/>
                              </a:lnTo>
                              <a:lnTo>
                                <a:pt x="148" y="536"/>
                              </a:lnTo>
                              <a:lnTo>
                                <a:pt x="148" y="536"/>
                              </a:lnTo>
                              <a:lnTo>
                                <a:pt x="148" y="536"/>
                              </a:lnTo>
                              <a:lnTo>
                                <a:pt x="148" y="536"/>
                              </a:lnTo>
                              <a:lnTo>
                                <a:pt x="148" y="536"/>
                              </a:lnTo>
                              <a:lnTo>
                                <a:pt x="149" y="536"/>
                              </a:lnTo>
                              <a:lnTo>
                                <a:pt x="149" y="536"/>
                              </a:lnTo>
                              <a:lnTo>
                                <a:pt x="149" y="536"/>
                              </a:lnTo>
                              <a:lnTo>
                                <a:pt x="149" y="536"/>
                              </a:lnTo>
                              <a:lnTo>
                                <a:pt x="149" y="536"/>
                              </a:lnTo>
                              <a:lnTo>
                                <a:pt x="149" y="536"/>
                              </a:lnTo>
                              <a:lnTo>
                                <a:pt x="149" y="536"/>
                              </a:lnTo>
                              <a:lnTo>
                                <a:pt x="150" y="536"/>
                              </a:lnTo>
                              <a:lnTo>
                                <a:pt x="150" y="536"/>
                              </a:lnTo>
                              <a:lnTo>
                                <a:pt x="150" y="536"/>
                              </a:lnTo>
                              <a:lnTo>
                                <a:pt x="150" y="535"/>
                              </a:lnTo>
                              <a:lnTo>
                                <a:pt x="150" y="535"/>
                              </a:lnTo>
                              <a:lnTo>
                                <a:pt x="150" y="535"/>
                              </a:lnTo>
                              <a:lnTo>
                                <a:pt x="150" y="535"/>
                              </a:lnTo>
                              <a:lnTo>
                                <a:pt x="151" y="535"/>
                              </a:lnTo>
                              <a:lnTo>
                                <a:pt x="151" y="535"/>
                              </a:lnTo>
                              <a:lnTo>
                                <a:pt x="151" y="535"/>
                              </a:lnTo>
                              <a:lnTo>
                                <a:pt x="151" y="535"/>
                              </a:lnTo>
                              <a:lnTo>
                                <a:pt x="152" y="534"/>
                              </a:lnTo>
                              <a:lnTo>
                                <a:pt x="152" y="534"/>
                              </a:lnTo>
                              <a:lnTo>
                                <a:pt x="152" y="534"/>
                              </a:lnTo>
                              <a:lnTo>
                                <a:pt x="153" y="534"/>
                              </a:lnTo>
                              <a:lnTo>
                                <a:pt x="153" y="533"/>
                              </a:lnTo>
                              <a:lnTo>
                                <a:pt x="153" y="533"/>
                              </a:lnTo>
                              <a:lnTo>
                                <a:pt x="154" y="533"/>
                              </a:lnTo>
                              <a:lnTo>
                                <a:pt x="154" y="532"/>
                              </a:lnTo>
                              <a:lnTo>
                                <a:pt x="154" y="532"/>
                              </a:lnTo>
                              <a:lnTo>
                                <a:pt x="154" y="532"/>
                              </a:lnTo>
                              <a:lnTo>
                                <a:pt x="155" y="531"/>
                              </a:lnTo>
                              <a:lnTo>
                                <a:pt x="155" y="531"/>
                              </a:lnTo>
                              <a:lnTo>
                                <a:pt x="155" y="531"/>
                              </a:lnTo>
                              <a:lnTo>
                                <a:pt x="155" y="530"/>
                              </a:lnTo>
                              <a:lnTo>
                                <a:pt x="155" y="530"/>
                              </a:lnTo>
                              <a:lnTo>
                                <a:pt x="156" y="530"/>
                              </a:lnTo>
                              <a:lnTo>
                                <a:pt x="156" y="529"/>
                              </a:lnTo>
                              <a:lnTo>
                                <a:pt x="156" y="529"/>
                              </a:lnTo>
                              <a:lnTo>
                                <a:pt x="156" y="529"/>
                              </a:lnTo>
                              <a:lnTo>
                                <a:pt x="157" y="528"/>
                              </a:lnTo>
                              <a:lnTo>
                                <a:pt x="157" y="528"/>
                              </a:lnTo>
                              <a:lnTo>
                                <a:pt x="157" y="527"/>
                              </a:lnTo>
                              <a:lnTo>
                                <a:pt x="157" y="527"/>
                              </a:lnTo>
                              <a:lnTo>
                                <a:pt x="157" y="527"/>
                              </a:lnTo>
                              <a:lnTo>
                                <a:pt x="158" y="526"/>
                              </a:lnTo>
                              <a:lnTo>
                                <a:pt x="158" y="526"/>
                              </a:lnTo>
                              <a:lnTo>
                                <a:pt x="158" y="525"/>
                              </a:lnTo>
                              <a:lnTo>
                                <a:pt x="158" y="524"/>
                              </a:lnTo>
                              <a:lnTo>
                                <a:pt x="158" y="524"/>
                              </a:lnTo>
                              <a:lnTo>
                                <a:pt x="159" y="523"/>
                              </a:lnTo>
                              <a:lnTo>
                                <a:pt x="159" y="523"/>
                              </a:lnTo>
                              <a:lnTo>
                                <a:pt x="159" y="522"/>
                              </a:lnTo>
                              <a:lnTo>
                                <a:pt x="159" y="522"/>
                              </a:lnTo>
                              <a:lnTo>
                                <a:pt x="160" y="521"/>
                              </a:lnTo>
                              <a:lnTo>
                                <a:pt x="160" y="520"/>
                              </a:lnTo>
                              <a:lnTo>
                                <a:pt x="160" y="520"/>
                              </a:lnTo>
                              <a:lnTo>
                                <a:pt x="160" y="519"/>
                              </a:lnTo>
                              <a:lnTo>
                                <a:pt x="160" y="518"/>
                              </a:lnTo>
                              <a:lnTo>
                                <a:pt x="161" y="518"/>
                              </a:lnTo>
                              <a:lnTo>
                                <a:pt x="161" y="517"/>
                              </a:lnTo>
                              <a:lnTo>
                                <a:pt x="161" y="516"/>
                              </a:lnTo>
                              <a:lnTo>
                                <a:pt x="161" y="516"/>
                              </a:lnTo>
                              <a:lnTo>
                                <a:pt x="161" y="515"/>
                              </a:lnTo>
                              <a:lnTo>
                                <a:pt x="161" y="514"/>
                              </a:lnTo>
                              <a:lnTo>
                                <a:pt x="162" y="514"/>
                              </a:lnTo>
                              <a:lnTo>
                                <a:pt x="162" y="513"/>
                              </a:lnTo>
                              <a:lnTo>
                                <a:pt x="162" y="512"/>
                              </a:lnTo>
                              <a:lnTo>
                                <a:pt x="162" y="511"/>
                              </a:lnTo>
                              <a:lnTo>
                                <a:pt x="162" y="510"/>
                              </a:lnTo>
                              <a:lnTo>
                                <a:pt x="163" y="509"/>
                              </a:lnTo>
                              <a:lnTo>
                                <a:pt x="163" y="508"/>
                              </a:lnTo>
                              <a:lnTo>
                                <a:pt x="163" y="507"/>
                              </a:lnTo>
                              <a:lnTo>
                                <a:pt x="163" y="506"/>
                              </a:lnTo>
                              <a:lnTo>
                                <a:pt x="164" y="505"/>
                              </a:lnTo>
                              <a:lnTo>
                                <a:pt x="164" y="504"/>
                              </a:lnTo>
                              <a:lnTo>
                                <a:pt x="164" y="503"/>
                              </a:lnTo>
                              <a:lnTo>
                                <a:pt x="164" y="502"/>
                              </a:lnTo>
                              <a:lnTo>
                                <a:pt x="164" y="500"/>
                              </a:lnTo>
                              <a:lnTo>
                                <a:pt x="165" y="499"/>
                              </a:lnTo>
                              <a:lnTo>
                                <a:pt x="165" y="497"/>
                              </a:lnTo>
                              <a:lnTo>
                                <a:pt x="165" y="496"/>
                              </a:lnTo>
                              <a:lnTo>
                                <a:pt x="165" y="495"/>
                              </a:lnTo>
                              <a:lnTo>
                                <a:pt x="166" y="493"/>
                              </a:lnTo>
                              <a:lnTo>
                                <a:pt x="166" y="491"/>
                              </a:lnTo>
                              <a:lnTo>
                                <a:pt x="166" y="490"/>
                              </a:lnTo>
                              <a:lnTo>
                                <a:pt x="166" y="488"/>
                              </a:lnTo>
                              <a:lnTo>
                                <a:pt x="167" y="486"/>
                              </a:lnTo>
                              <a:lnTo>
                                <a:pt x="167" y="483"/>
                              </a:lnTo>
                              <a:lnTo>
                                <a:pt x="168" y="480"/>
                              </a:lnTo>
                              <a:lnTo>
                                <a:pt x="168" y="476"/>
                              </a:lnTo>
                              <a:lnTo>
                                <a:pt x="169" y="471"/>
                              </a:lnTo>
                              <a:lnTo>
                                <a:pt x="170" y="466"/>
                              </a:lnTo>
                              <a:lnTo>
                                <a:pt x="170" y="463"/>
                              </a:lnTo>
                              <a:lnTo>
                                <a:pt x="171" y="460"/>
                              </a:lnTo>
                              <a:lnTo>
                                <a:pt x="171" y="457"/>
                              </a:lnTo>
                              <a:lnTo>
                                <a:pt x="172" y="455"/>
                              </a:lnTo>
                              <a:lnTo>
                                <a:pt x="172" y="452"/>
                              </a:lnTo>
                              <a:lnTo>
                                <a:pt x="172" y="450"/>
                              </a:lnTo>
                              <a:lnTo>
                                <a:pt x="173" y="448"/>
                              </a:lnTo>
                              <a:lnTo>
                                <a:pt x="173" y="447"/>
                              </a:lnTo>
                              <a:lnTo>
                                <a:pt x="173" y="445"/>
                              </a:lnTo>
                              <a:lnTo>
                                <a:pt x="174" y="444"/>
                              </a:lnTo>
                              <a:lnTo>
                                <a:pt x="174" y="442"/>
                              </a:lnTo>
                              <a:lnTo>
                                <a:pt x="174" y="441"/>
                              </a:lnTo>
                              <a:lnTo>
                                <a:pt x="174" y="440"/>
                              </a:lnTo>
                              <a:lnTo>
                                <a:pt x="175" y="438"/>
                              </a:lnTo>
                              <a:lnTo>
                                <a:pt x="175" y="437"/>
                              </a:lnTo>
                              <a:lnTo>
                                <a:pt x="175" y="436"/>
                              </a:lnTo>
                              <a:lnTo>
                                <a:pt x="176" y="435"/>
                              </a:lnTo>
                              <a:lnTo>
                                <a:pt x="176" y="434"/>
                              </a:lnTo>
                              <a:lnTo>
                                <a:pt x="176" y="432"/>
                              </a:lnTo>
                              <a:lnTo>
                                <a:pt x="177" y="431"/>
                              </a:lnTo>
                              <a:lnTo>
                                <a:pt x="177" y="430"/>
                              </a:lnTo>
                              <a:lnTo>
                                <a:pt x="178" y="429"/>
                              </a:lnTo>
                              <a:lnTo>
                                <a:pt x="178" y="428"/>
                              </a:lnTo>
                              <a:lnTo>
                                <a:pt x="179" y="427"/>
                              </a:lnTo>
                              <a:lnTo>
                                <a:pt x="179" y="425"/>
                              </a:lnTo>
                              <a:lnTo>
                                <a:pt x="180" y="424"/>
                              </a:lnTo>
                              <a:lnTo>
                                <a:pt x="180" y="423"/>
                              </a:lnTo>
                              <a:lnTo>
                                <a:pt x="181" y="422"/>
                              </a:lnTo>
                              <a:lnTo>
                                <a:pt x="181" y="422"/>
                              </a:lnTo>
                              <a:lnTo>
                                <a:pt x="181" y="421"/>
                              </a:lnTo>
                              <a:lnTo>
                                <a:pt x="182" y="420"/>
                              </a:lnTo>
                              <a:lnTo>
                                <a:pt x="182" y="419"/>
                              </a:lnTo>
                              <a:lnTo>
                                <a:pt x="182" y="419"/>
                              </a:lnTo>
                              <a:lnTo>
                                <a:pt x="182" y="418"/>
                              </a:lnTo>
                              <a:lnTo>
                                <a:pt x="183" y="417"/>
                              </a:lnTo>
                              <a:lnTo>
                                <a:pt x="183" y="416"/>
                              </a:lnTo>
                              <a:lnTo>
                                <a:pt x="183" y="415"/>
                              </a:lnTo>
                              <a:lnTo>
                                <a:pt x="183" y="413"/>
                              </a:lnTo>
                              <a:lnTo>
                                <a:pt x="184" y="412"/>
                              </a:lnTo>
                              <a:lnTo>
                                <a:pt x="184" y="411"/>
                              </a:lnTo>
                              <a:lnTo>
                                <a:pt x="184" y="410"/>
                              </a:lnTo>
                              <a:lnTo>
                                <a:pt x="184" y="409"/>
                              </a:lnTo>
                              <a:lnTo>
                                <a:pt x="184" y="407"/>
                              </a:lnTo>
                              <a:lnTo>
                                <a:pt x="184" y="406"/>
                              </a:lnTo>
                              <a:lnTo>
                                <a:pt x="185" y="404"/>
                              </a:lnTo>
                              <a:lnTo>
                                <a:pt x="185" y="403"/>
                              </a:lnTo>
                              <a:lnTo>
                                <a:pt x="185" y="402"/>
                              </a:lnTo>
                              <a:lnTo>
                                <a:pt x="185" y="401"/>
                              </a:lnTo>
                              <a:lnTo>
                                <a:pt x="185" y="400"/>
                              </a:lnTo>
                              <a:lnTo>
                                <a:pt x="185" y="400"/>
                              </a:lnTo>
                              <a:lnTo>
                                <a:pt x="185" y="399"/>
                              </a:lnTo>
                              <a:lnTo>
                                <a:pt x="185" y="398"/>
                              </a:lnTo>
                              <a:lnTo>
                                <a:pt x="185" y="397"/>
                              </a:lnTo>
                              <a:lnTo>
                                <a:pt x="185" y="396"/>
                              </a:lnTo>
                              <a:lnTo>
                                <a:pt x="185" y="396"/>
                              </a:lnTo>
                              <a:lnTo>
                                <a:pt x="185" y="394"/>
                              </a:lnTo>
                              <a:lnTo>
                                <a:pt x="186" y="394"/>
                              </a:lnTo>
                              <a:lnTo>
                                <a:pt x="186" y="393"/>
                              </a:lnTo>
                              <a:lnTo>
                                <a:pt x="186" y="392"/>
                              </a:lnTo>
                              <a:lnTo>
                                <a:pt x="186" y="391"/>
                              </a:lnTo>
                              <a:lnTo>
                                <a:pt x="186" y="390"/>
                              </a:lnTo>
                              <a:lnTo>
                                <a:pt x="186" y="388"/>
                              </a:lnTo>
                              <a:lnTo>
                                <a:pt x="186" y="386"/>
                              </a:lnTo>
                              <a:lnTo>
                                <a:pt x="186" y="384"/>
                              </a:lnTo>
                              <a:lnTo>
                                <a:pt x="186" y="382"/>
                              </a:lnTo>
                              <a:lnTo>
                                <a:pt x="187" y="379"/>
                              </a:lnTo>
                              <a:lnTo>
                                <a:pt x="187" y="377"/>
                              </a:lnTo>
                              <a:lnTo>
                                <a:pt x="187" y="374"/>
                              </a:lnTo>
                              <a:lnTo>
                                <a:pt x="187" y="372"/>
                              </a:lnTo>
                              <a:lnTo>
                                <a:pt x="187" y="369"/>
                              </a:lnTo>
                              <a:lnTo>
                                <a:pt x="187" y="366"/>
                              </a:lnTo>
                              <a:lnTo>
                                <a:pt x="188" y="363"/>
                              </a:lnTo>
                              <a:lnTo>
                                <a:pt x="188" y="360"/>
                              </a:lnTo>
                              <a:lnTo>
                                <a:pt x="188" y="357"/>
                              </a:lnTo>
                              <a:lnTo>
                                <a:pt x="188" y="354"/>
                              </a:lnTo>
                              <a:lnTo>
                                <a:pt x="188" y="350"/>
                              </a:lnTo>
                              <a:lnTo>
                                <a:pt x="188" y="347"/>
                              </a:lnTo>
                              <a:lnTo>
                                <a:pt x="188" y="344"/>
                              </a:lnTo>
                              <a:lnTo>
                                <a:pt x="189" y="340"/>
                              </a:lnTo>
                              <a:lnTo>
                                <a:pt x="189" y="336"/>
                              </a:lnTo>
                              <a:lnTo>
                                <a:pt x="189" y="332"/>
                              </a:lnTo>
                              <a:lnTo>
                                <a:pt x="189" y="328"/>
                              </a:lnTo>
                              <a:lnTo>
                                <a:pt x="189" y="322"/>
                              </a:lnTo>
                              <a:lnTo>
                                <a:pt x="189" y="315"/>
                              </a:lnTo>
                              <a:lnTo>
                                <a:pt x="190" y="309"/>
                              </a:lnTo>
                              <a:lnTo>
                                <a:pt x="190" y="302"/>
                              </a:lnTo>
                              <a:lnTo>
                                <a:pt x="190" y="295"/>
                              </a:lnTo>
                              <a:lnTo>
                                <a:pt x="190" y="288"/>
                              </a:lnTo>
                              <a:lnTo>
                                <a:pt x="191" y="279"/>
                              </a:lnTo>
                              <a:lnTo>
                                <a:pt x="191" y="271"/>
                              </a:lnTo>
                              <a:lnTo>
                                <a:pt x="191" y="262"/>
                              </a:lnTo>
                              <a:lnTo>
                                <a:pt x="191" y="252"/>
                              </a:lnTo>
                              <a:lnTo>
                                <a:pt x="192" y="241"/>
                              </a:lnTo>
                              <a:lnTo>
                                <a:pt x="192" y="229"/>
                              </a:lnTo>
                              <a:lnTo>
                                <a:pt x="192" y="214"/>
                              </a:lnTo>
                              <a:lnTo>
                                <a:pt x="193" y="196"/>
                              </a:lnTo>
                              <a:lnTo>
                                <a:pt x="193" y="175"/>
                              </a:lnTo>
                              <a:lnTo>
                                <a:pt x="194" y="158"/>
                              </a:lnTo>
                              <a:lnTo>
                                <a:pt x="194" y="144"/>
                              </a:lnTo>
                              <a:lnTo>
                                <a:pt x="195" y="133"/>
                              </a:lnTo>
                              <a:lnTo>
                                <a:pt x="195" y="122"/>
                              </a:lnTo>
                              <a:lnTo>
                                <a:pt x="195" y="111"/>
                              </a:lnTo>
                              <a:lnTo>
                                <a:pt x="195" y="99"/>
                              </a:lnTo>
                              <a:lnTo>
                                <a:pt x="196" y="88"/>
                              </a:lnTo>
                              <a:lnTo>
                                <a:pt x="196" y="79"/>
                              </a:lnTo>
                              <a:lnTo>
                                <a:pt x="196" y="70"/>
                              </a:lnTo>
                              <a:lnTo>
                                <a:pt x="197" y="61"/>
                              </a:lnTo>
                              <a:lnTo>
                                <a:pt x="197" y="54"/>
                              </a:lnTo>
                              <a:lnTo>
                                <a:pt x="197" y="47"/>
                              </a:lnTo>
                              <a:lnTo>
                                <a:pt x="197" y="41"/>
                              </a:lnTo>
                              <a:lnTo>
                                <a:pt x="198" y="35"/>
                              </a:lnTo>
                              <a:lnTo>
                                <a:pt x="198" y="30"/>
                              </a:lnTo>
                              <a:lnTo>
                                <a:pt x="198" y="25"/>
                              </a:lnTo>
                              <a:lnTo>
                                <a:pt x="198" y="20"/>
                              </a:lnTo>
                              <a:lnTo>
                                <a:pt x="199" y="16"/>
                              </a:lnTo>
                              <a:lnTo>
                                <a:pt x="199" y="13"/>
                              </a:lnTo>
                              <a:lnTo>
                                <a:pt x="199" y="9"/>
                              </a:lnTo>
                              <a:lnTo>
                                <a:pt x="199" y="7"/>
                              </a:lnTo>
                              <a:lnTo>
                                <a:pt x="200" y="4"/>
                              </a:lnTo>
                              <a:lnTo>
                                <a:pt x="200" y="3"/>
                              </a:lnTo>
                              <a:lnTo>
                                <a:pt x="200" y="1"/>
                              </a:lnTo>
                              <a:lnTo>
                                <a:pt x="200" y="0"/>
                              </a:lnTo>
                              <a:lnTo>
                                <a:pt x="201" y="0"/>
                              </a:lnTo>
                              <a:lnTo>
                                <a:pt x="201" y="0"/>
                              </a:lnTo>
                              <a:lnTo>
                                <a:pt x="201" y="0"/>
                              </a:lnTo>
                              <a:lnTo>
                                <a:pt x="201" y="1"/>
                              </a:lnTo>
                              <a:lnTo>
                                <a:pt x="202" y="2"/>
                              </a:lnTo>
                              <a:lnTo>
                                <a:pt x="202" y="4"/>
                              </a:lnTo>
                              <a:lnTo>
                                <a:pt x="202" y="7"/>
                              </a:lnTo>
                              <a:lnTo>
                                <a:pt x="202" y="9"/>
                              </a:lnTo>
                              <a:lnTo>
                                <a:pt x="203" y="12"/>
                              </a:lnTo>
                              <a:lnTo>
                                <a:pt x="203" y="15"/>
                              </a:lnTo>
                              <a:lnTo>
                                <a:pt x="203" y="19"/>
                              </a:lnTo>
                              <a:lnTo>
                                <a:pt x="204" y="24"/>
                              </a:lnTo>
                              <a:lnTo>
                                <a:pt x="204" y="29"/>
                              </a:lnTo>
                              <a:lnTo>
                                <a:pt x="204" y="34"/>
                              </a:lnTo>
                              <a:lnTo>
                                <a:pt x="204" y="40"/>
                              </a:lnTo>
                              <a:lnTo>
                                <a:pt x="205" y="48"/>
                              </a:lnTo>
                              <a:lnTo>
                                <a:pt x="205" y="55"/>
                              </a:lnTo>
                              <a:lnTo>
                                <a:pt x="205" y="64"/>
                              </a:lnTo>
                              <a:lnTo>
                                <a:pt x="206" y="73"/>
                              </a:lnTo>
                              <a:lnTo>
                                <a:pt x="206" y="83"/>
                              </a:lnTo>
                              <a:lnTo>
                                <a:pt x="207" y="94"/>
                              </a:lnTo>
                              <a:lnTo>
                                <a:pt x="207" y="107"/>
                              </a:lnTo>
                              <a:lnTo>
                                <a:pt x="208" y="121"/>
                              </a:lnTo>
                              <a:lnTo>
                                <a:pt x="208" y="136"/>
                              </a:lnTo>
                              <a:lnTo>
                                <a:pt x="209" y="152"/>
                              </a:lnTo>
                              <a:lnTo>
                                <a:pt x="209" y="172"/>
                              </a:lnTo>
                              <a:lnTo>
                                <a:pt x="210" y="192"/>
                              </a:lnTo>
                              <a:lnTo>
                                <a:pt x="211" y="207"/>
                              </a:lnTo>
                              <a:lnTo>
                                <a:pt x="211" y="221"/>
                              </a:lnTo>
                              <a:lnTo>
                                <a:pt x="211" y="233"/>
                              </a:lnTo>
                              <a:lnTo>
                                <a:pt x="212" y="244"/>
                              </a:lnTo>
                              <a:lnTo>
                                <a:pt x="212" y="254"/>
                              </a:lnTo>
                              <a:lnTo>
                                <a:pt x="213" y="264"/>
                              </a:lnTo>
                              <a:lnTo>
                                <a:pt x="213" y="274"/>
                              </a:lnTo>
                              <a:lnTo>
                                <a:pt x="213" y="283"/>
                              </a:lnTo>
                              <a:lnTo>
                                <a:pt x="214" y="292"/>
                              </a:lnTo>
                              <a:lnTo>
                                <a:pt x="214" y="300"/>
                              </a:lnTo>
                              <a:lnTo>
                                <a:pt x="214" y="309"/>
                              </a:lnTo>
                              <a:lnTo>
                                <a:pt x="215" y="317"/>
                              </a:lnTo>
                              <a:lnTo>
                                <a:pt x="215" y="325"/>
                              </a:lnTo>
                              <a:lnTo>
                                <a:pt x="215" y="331"/>
                              </a:lnTo>
                              <a:lnTo>
                                <a:pt x="216" y="337"/>
                              </a:lnTo>
                              <a:lnTo>
                                <a:pt x="216" y="342"/>
                              </a:lnTo>
                              <a:lnTo>
                                <a:pt x="216" y="347"/>
                              </a:lnTo>
                              <a:lnTo>
                                <a:pt x="216" y="352"/>
                              </a:lnTo>
                              <a:lnTo>
                                <a:pt x="217" y="357"/>
                              </a:lnTo>
                              <a:lnTo>
                                <a:pt x="217" y="361"/>
                              </a:lnTo>
                              <a:lnTo>
                                <a:pt x="217" y="366"/>
                              </a:lnTo>
                              <a:lnTo>
                                <a:pt x="217" y="370"/>
                              </a:lnTo>
                              <a:lnTo>
                                <a:pt x="218" y="375"/>
                              </a:lnTo>
                              <a:lnTo>
                                <a:pt x="218" y="379"/>
                              </a:lnTo>
                              <a:lnTo>
                                <a:pt x="218" y="383"/>
                              </a:lnTo>
                              <a:lnTo>
                                <a:pt x="218" y="387"/>
                              </a:lnTo>
                              <a:lnTo>
                                <a:pt x="219" y="391"/>
                              </a:lnTo>
                              <a:lnTo>
                                <a:pt x="219" y="395"/>
                              </a:lnTo>
                              <a:lnTo>
                                <a:pt x="219" y="399"/>
                              </a:lnTo>
                              <a:lnTo>
                                <a:pt x="219" y="403"/>
                              </a:lnTo>
                              <a:lnTo>
                                <a:pt x="220" y="407"/>
                              </a:lnTo>
                              <a:lnTo>
                                <a:pt x="220" y="411"/>
                              </a:lnTo>
                              <a:lnTo>
                                <a:pt x="220" y="415"/>
                              </a:lnTo>
                              <a:lnTo>
                                <a:pt x="221" y="419"/>
                              </a:lnTo>
                              <a:lnTo>
                                <a:pt x="221" y="422"/>
                              </a:lnTo>
                              <a:lnTo>
                                <a:pt x="221" y="426"/>
                              </a:lnTo>
                              <a:lnTo>
                                <a:pt x="221" y="429"/>
                              </a:lnTo>
                              <a:lnTo>
                                <a:pt x="222" y="433"/>
                              </a:lnTo>
                              <a:lnTo>
                                <a:pt x="222" y="436"/>
                              </a:lnTo>
                              <a:lnTo>
                                <a:pt x="222" y="439"/>
                              </a:lnTo>
                              <a:lnTo>
                                <a:pt x="222" y="440"/>
                              </a:lnTo>
                              <a:lnTo>
                                <a:pt x="223" y="442"/>
                              </a:lnTo>
                              <a:lnTo>
                                <a:pt x="223" y="444"/>
                              </a:lnTo>
                              <a:lnTo>
                                <a:pt x="223" y="445"/>
                              </a:lnTo>
                              <a:lnTo>
                                <a:pt x="223" y="446"/>
                              </a:lnTo>
                              <a:lnTo>
                                <a:pt x="223" y="447"/>
                              </a:lnTo>
                              <a:lnTo>
                                <a:pt x="223" y="448"/>
                              </a:lnTo>
                              <a:lnTo>
                                <a:pt x="223" y="449"/>
                              </a:lnTo>
                              <a:lnTo>
                                <a:pt x="223" y="450"/>
                              </a:lnTo>
                              <a:lnTo>
                                <a:pt x="223" y="451"/>
                              </a:lnTo>
                              <a:lnTo>
                                <a:pt x="223" y="452"/>
                              </a:lnTo>
                              <a:lnTo>
                                <a:pt x="224" y="452"/>
                              </a:lnTo>
                              <a:lnTo>
                                <a:pt x="224" y="453"/>
                              </a:lnTo>
                              <a:lnTo>
                                <a:pt x="224" y="454"/>
                              </a:lnTo>
                              <a:lnTo>
                                <a:pt x="224" y="455"/>
                              </a:lnTo>
                              <a:lnTo>
                                <a:pt x="224" y="455"/>
                              </a:lnTo>
                              <a:lnTo>
                                <a:pt x="224" y="456"/>
                              </a:lnTo>
                              <a:lnTo>
                                <a:pt x="224" y="457"/>
                              </a:lnTo>
                              <a:lnTo>
                                <a:pt x="224" y="459"/>
                              </a:lnTo>
                              <a:lnTo>
                                <a:pt x="224" y="461"/>
                              </a:lnTo>
                              <a:lnTo>
                                <a:pt x="225" y="463"/>
                              </a:lnTo>
                              <a:lnTo>
                                <a:pt x="225" y="465"/>
                              </a:lnTo>
                              <a:lnTo>
                                <a:pt x="225" y="467"/>
                              </a:lnTo>
                              <a:lnTo>
                                <a:pt x="226" y="469"/>
                              </a:lnTo>
                              <a:lnTo>
                                <a:pt x="226" y="471"/>
                              </a:lnTo>
                              <a:lnTo>
                                <a:pt x="226" y="473"/>
                              </a:lnTo>
                              <a:lnTo>
                                <a:pt x="226" y="475"/>
                              </a:lnTo>
                              <a:lnTo>
                                <a:pt x="227" y="477"/>
                              </a:lnTo>
                              <a:lnTo>
                                <a:pt x="227" y="479"/>
                              </a:lnTo>
                              <a:lnTo>
                                <a:pt x="227" y="481"/>
                              </a:lnTo>
                              <a:lnTo>
                                <a:pt x="227" y="482"/>
                              </a:lnTo>
                              <a:lnTo>
                                <a:pt x="228" y="484"/>
                              </a:lnTo>
                              <a:lnTo>
                                <a:pt x="228" y="486"/>
                              </a:lnTo>
                              <a:lnTo>
                                <a:pt x="228" y="487"/>
                              </a:lnTo>
                              <a:lnTo>
                                <a:pt x="228" y="488"/>
                              </a:lnTo>
                              <a:lnTo>
                                <a:pt x="228" y="489"/>
                              </a:lnTo>
                              <a:lnTo>
                                <a:pt x="229" y="490"/>
                              </a:lnTo>
                              <a:lnTo>
                                <a:pt x="229" y="491"/>
                              </a:lnTo>
                              <a:lnTo>
                                <a:pt x="229" y="492"/>
                              </a:lnTo>
                              <a:lnTo>
                                <a:pt x="229" y="493"/>
                              </a:lnTo>
                              <a:lnTo>
                                <a:pt x="229" y="494"/>
                              </a:lnTo>
                              <a:lnTo>
                                <a:pt x="229" y="495"/>
                              </a:lnTo>
                              <a:lnTo>
                                <a:pt x="230" y="496"/>
                              </a:lnTo>
                              <a:lnTo>
                                <a:pt x="230" y="497"/>
                              </a:lnTo>
                              <a:lnTo>
                                <a:pt x="230" y="498"/>
                              </a:lnTo>
                              <a:lnTo>
                                <a:pt x="230" y="498"/>
                              </a:lnTo>
                              <a:lnTo>
                                <a:pt x="230" y="499"/>
                              </a:lnTo>
                              <a:lnTo>
                                <a:pt x="231" y="500"/>
                              </a:lnTo>
                              <a:lnTo>
                                <a:pt x="231" y="501"/>
                              </a:lnTo>
                              <a:lnTo>
                                <a:pt x="231" y="501"/>
                              </a:lnTo>
                              <a:lnTo>
                                <a:pt x="231" y="502"/>
                              </a:lnTo>
                              <a:lnTo>
                                <a:pt x="231" y="503"/>
                              </a:lnTo>
                              <a:lnTo>
                                <a:pt x="231" y="503"/>
                              </a:lnTo>
                              <a:lnTo>
                                <a:pt x="232" y="504"/>
                              </a:lnTo>
                              <a:lnTo>
                                <a:pt x="232" y="504"/>
                              </a:lnTo>
                              <a:lnTo>
                                <a:pt x="232" y="505"/>
                              </a:lnTo>
                              <a:lnTo>
                                <a:pt x="232" y="505"/>
                              </a:lnTo>
                              <a:lnTo>
                                <a:pt x="232" y="506"/>
                              </a:lnTo>
                              <a:lnTo>
                                <a:pt x="233" y="506"/>
                              </a:lnTo>
                              <a:lnTo>
                                <a:pt x="233" y="507"/>
                              </a:lnTo>
                              <a:lnTo>
                                <a:pt x="233" y="507"/>
                              </a:lnTo>
                              <a:lnTo>
                                <a:pt x="233" y="508"/>
                              </a:lnTo>
                              <a:lnTo>
                                <a:pt x="233" y="508"/>
                              </a:lnTo>
                              <a:lnTo>
                                <a:pt x="233" y="508"/>
                              </a:lnTo>
                              <a:lnTo>
                                <a:pt x="234" y="509"/>
                              </a:lnTo>
                              <a:lnTo>
                                <a:pt x="234" y="509"/>
                              </a:lnTo>
                              <a:lnTo>
                                <a:pt x="234" y="509"/>
                              </a:lnTo>
                              <a:lnTo>
                                <a:pt x="234" y="510"/>
                              </a:lnTo>
                              <a:lnTo>
                                <a:pt x="234" y="510"/>
                              </a:lnTo>
                              <a:lnTo>
                                <a:pt x="234" y="510"/>
                              </a:lnTo>
                              <a:lnTo>
                                <a:pt x="235" y="510"/>
                              </a:lnTo>
                              <a:lnTo>
                                <a:pt x="235" y="510"/>
                              </a:lnTo>
                              <a:lnTo>
                                <a:pt x="235" y="511"/>
                              </a:lnTo>
                              <a:lnTo>
                                <a:pt x="235" y="511"/>
                              </a:lnTo>
                              <a:lnTo>
                                <a:pt x="235" y="511"/>
                              </a:lnTo>
                              <a:lnTo>
                                <a:pt x="236" y="511"/>
                              </a:lnTo>
                              <a:lnTo>
                                <a:pt x="236" y="511"/>
                              </a:lnTo>
                              <a:lnTo>
                                <a:pt x="236" y="511"/>
                              </a:lnTo>
                              <a:lnTo>
                                <a:pt x="236" y="511"/>
                              </a:lnTo>
                              <a:lnTo>
                                <a:pt x="236" y="511"/>
                              </a:lnTo>
                              <a:lnTo>
                                <a:pt x="237" y="511"/>
                              </a:lnTo>
                              <a:lnTo>
                                <a:pt x="237" y="511"/>
                              </a:lnTo>
                              <a:lnTo>
                                <a:pt x="237" y="511"/>
                              </a:lnTo>
                              <a:lnTo>
                                <a:pt x="237" y="511"/>
                              </a:lnTo>
                              <a:lnTo>
                                <a:pt x="237" y="511"/>
                              </a:lnTo>
                              <a:lnTo>
                                <a:pt x="238" y="511"/>
                              </a:lnTo>
                              <a:lnTo>
                                <a:pt x="238" y="511"/>
                              </a:lnTo>
                              <a:lnTo>
                                <a:pt x="238" y="511"/>
                              </a:lnTo>
                              <a:lnTo>
                                <a:pt x="238" y="510"/>
                              </a:lnTo>
                              <a:lnTo>
                                <a:pt x="239" y="510"/>
                              </a:lnTo>
                              <a:lnTo>
                                <a:pt x="239" y="510"/>
                              </a:lnTo>
                              <a:lnTo>
                                <a:pt x="239" y="510"/>
                              </a:lnTo>
                              <a:lnTo>
                                <a:pt x="239" y="509"/>
                              </a:lnTo>
                              <a:lnTo>
                                <a:pt x="239" y="509"/>
                              </a:lnTo>
                              <a:lnTo>
                                <a:pt x="240" y="509"/>
                              </a:lnTo>
                              <a:lnTo>
                                <a:pt x="240" y="508"/>
                              </a:lnTo>
                              <a:lnTo>
                                <a:pt x="240" y="508"/>
                              </a:lnTo>
                              <a:lnTo>
                                <a:pt x="240" y="507"/>
                              </a:lnTo>
                              <a:lnTo>
                                <a:pt x="241" y="507"/>
                              </a:lnTo>
                              <a:lnTo>
                                <a:pt x="241" y="506"/>
                              </a:lnTo>
                              <a:lnTo>
                                <a:pt x="241" y="505"/>
                              </a:lnTo>
                              <a:lnTo>
                                <a:pt x="241" y="505"/>
                              </a:lnTo>
                              <a:lnTo>
                                <a:pt x="242" y="504"/>
                              </a:lnTo>
                              <a:lnTo>
                                <a:pt x="242" y="503"/>
                              </a:lnTo>
                              <a:lnTo>
                                <a:pt x="242" y="503"/>
                              </a:lnTo>
                              <a:lnTo>
                                <a:pt x="243" y="502"/>
                              </a:lnTo>
                              <a:lnTo>
                                <a:pt x="243" y="501"/>
                              </a:lnTo>
                              <a:lnTo>
                                <a:pt x="243" y="500"/>
                              </a:lnTo>
                              <a:lnTo>
                                <a:pt x="243" y="499"/>
                              </a:lnTo>
                              <a:lnTo>
                                <a:pt x="244" y="498"/>
                              </a:lnTo>
                              <a:lnTo>
                                <a:pt x="244" y="497"/>
                              </a:lnTo>
                              <a:lnTo>
                                <a:pt x="245" y="496"/>
                              </a:lnTo>
                              <a:lnTo>
                                <a:pt x="245" y="495"/>
                              </a:lnTo>
                              <a:lnTo>
                                <a:pt x="245" y="493"/>
                              </a:lnTo>
                              <a:lnTo>
                                <a:pt x="246" y="492"/>
                              </a:lnTo>
                              <a:lnTo>
                                <a:pt x="246" y="490"/>
                              </a:lnTo>
                              <a:lnTo>
                                <a:pt x="247" y="489"/>
                              </a:lnTo>
                              <a:lnTo>
                                <a:pt x="248" y="486"/>
                              </a:lnTo>
                              <a:lnTo>
                                <a:pt x="248" y="483"/>
                              </a:lnTo>
                              <a:lnTo>
                                <a:pt x="249" y="480"/>
                              </a:lnTo>
                              <a:lnTo>
                                <a:pt x="250" y="478"/>
                              </a:lnTo>
                              <a:lnTo>
                                <a:pt x="251" y="476"/>
                              </a:lnTo>
                              <a:lnTo>
                                <a:pt x="251" y="474"/>
                              </a:lnTo>
                              <a:lnTo>
                                <a:pt x="252" y="472"/>
                              </a:lnTo>
                              <a:lnTo>
                                <a:pt x="252" y="471"/>
                              </a:lnTo>
                              <a:lnTo>
                                <a:pt x="252" y="470"/>
                              </a:lnTo>
                              <a:lnTo>
                                <a:pt x="253" y="469"/>
                              </a:lnTo>
                              <a:lnTo>
                                <a:pt x="253" y="468"/>
                              </a:lnTo>
                              <a:lnTo>
                                <a:pt x="253" y="467"/>
                              </a:lnTo>
                              <a:lnTo>
                                <a:pt x="254" y="466"/>
                              </a:lnTo>
                              <a:lnTo>
                                <a:pt x="254" y="465"/>
                              </a:lnTo>
                              <a:lnTo>
                                <a:pt x="254" y="465"/>
                              </a:lnTo>
                              <a:lnTo>
                                <a:pt x="255" y="464"/>
                              </a:lnTo>
                              <a:lnTo>
                                <a:pt x="255" y="464"/>
                              </a:lnTo>
                              <a:lnTo>
                                <a:pt x="255" y="463"/>
                              </a:lnTo>
                              <a:lnTo>
                                <a:pt x="255" y="463"/>
                              </a:lnTo>
                              <a:lnTo>
                                <a:pt x="256" y="462"/>
                              </a:lnTo>
                              <a:lnTo>
                                <a:pt x="256" y="462"/>
                              </a:lnTo>
                              <a:lnTo>
                                <a:pt x="256" y="462"/>
                              </a:lnTo>
                              <a:lnTo>
                                <a:pt x="256" y="462"/>
                              </a:lnTo>
                              <a:lnTo>
                                <a:pt x="256" y="461"/>
                              </a:lnTo>
                              <a:lnTo>
                                <a:pt x="257" y="461"/>
                              </a:lnTo>
                              <a:lnTo>
                                <a:pt x="257" y="461"/>
                              </a:lnTo>
                              <a:lnTo>
                                <a:pt x="257" y="461"/>
                              </a:lnTo>
                              <a:lnTo>
                                <a:pt x="257" y="462"/>
                              </a:lnTo>
                              <a:lnTo>
                                <a:pt x="258" y="462"/>
                              </a:lnTo>
                              <a:lnTo>
                                <a:pt x="258" y="462"/>
                              </a:lnTo>
                              <a:lnTo>
                                <a:pt x="258" y="462"/>
                              </a:lnTo>
                              <a:lnTo>
                                <a:pt x="258" y="462"/>
                              </a:lnTo>
                              <a:lnTo>
                                <a:pt x="258" y="463"/>
                              </a:lnTo>
                              <a:lnTo>
                                <a:pt x="258" y="463"/>
                              </a:lnTo>
                              <a:lnTo>
                                <a:pt x="259" y="464"/>
                              </a:lnTo>
                              <a:lnTo>
                                <a:pt x="259" y="464"/>
                              </a:lnTo>
                              <a:lnTo>
                                <a:pt x="259" y="465"/>
                              </a:lnTo>
                              <a:lnTo>
                                <a:pt x="259" y="465"/>
                              </a:lnTo>
                              <a:lnTo>
                                <a:pt x="259" y="466"/>
                              </a:lnTo>
                              <a:lnTo>
                                <a:pt x="259" y="466"/>
                              </a:lnTo>
                              <a:lnTo>
                                <a:pt x="260" y="467"/>
                              </a:lnTo>
                              <a:lnTo>
                                <a:pt x="260" y="467"/>
                              </a:lnTo>
                              <a:lnTo>
                                <a:pt x="260" y="468"/>
                              </a:lnTo>
                              <a:lnTo>
                                <a:pt x="260" y="468"/>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156" name="Freeform 132"/>
                        <a:cNvSpPr>
                          <a:spLocks/>
                        </a:cNvSpPr>
                      </a:nvSpPr>
                      <a:spPr bwMode="auto">
                        <a:xfrm>
                          <a:off x="2076450" y="5346254"/>
                          <a:ext cx="1852613" cy="106358"/>
                        </a:xfrm>
                        <a:custGeom>
                          <a:avLst/>
                          <a:gdLst/>
                          <a:ahLst/>
                          <a:cxnLst>
                            <a:cxn ang="0">
                              <a:pos x="1" y="5"/>
                            </a:cxn>
                            <a:cxn ang="0">
                              <a:pos x="3" y="19"/>
                            </a:cxn>
                            <a:cxn ang="0">
                              <a:pos x="6" y="36"/>
                            </a:cxn>
                            <a:cxn ang="0">
                              <a:pos x="7" y="45"/>
                            </a:cxn>
                            <a:cxn ang="0">
                              <a:pos x="9" y="51"/>
                            </a:cxn>
                            <a:cxn ang="0">
                              <a:pos x="10" y="56"/>
                            </a:cxn>
                            <a:cxn ang="0">
                              <a:pos x="11" y="60"/>
                            </a:cxn>
                            <a:cxn ang="0">
                              <a:pos x="12" y="63"/>
                            </a:cxn>
                            <a:cxn ang="0">
                              <a:pos x="14" y="65"/>
                            </a:cxn>
                            <a:cxn ang="0">
                              <a:pos x="16" y="67"/>
                            </a:cxn>
                            <a:cxn ang="0">
                              <a:pos x="17" y="68"/>
                            </a:cxn>
                            <a:cxn ang="0">
                              <a:pos x="20" y="68"/>
                            </a:cxn>
                            <a:cxn ang="0">
                              <a:pos x="23" y="68"/>
                            </a:cxn>
                            <a:cxn ang="0">
                              <a:pos x="28" y="66"/>
                            </a:cxn>
                            <a:cxn ang="0">
                              <a:pos x="36" y="63"/>
                            </a:cxn>
                            <a:cxn ang="0">
                              <a:pos x="44" y="62"/>
                            </a:cxn>
                            <a:cxn ang="0">
                              <a:pos x="68" y="63"/>
                            </a:cxn>
                            <a:cxn ang="0">
                              <a:pos x="98" y="64"/>
                            </a:cxn>
                            <a:cxn ang="0">
                              <a:pos x="124" y="65"/>
                            </a:cxn>
                            <a:cxn ang="0">
                              <a:pos x="149" y="66"/>
                            </a:cxn>
                            <a:cxn ang="0">
                              <a:pos x="167" y="66"/>
                            </a:cxn>
                            <a:cxn ang="0">
                              <a:pos x="198" y="67"/>
                            </a:cxn>
                            <a:cxn ang="0">
                              <a:pos x="227" y="67"/>
                            </a:cxn>
                            <a:cxn ang="0">
                              <a:pos x="258" y="67"/>
                            </a:cxn>
                            <a:cxn ang="0">
                              <a:pos x="285" y="67"/>
                            </a:cxn>
                            <a:cxn ang="0">
                              <a:pos x="305" y="67"/>
                            </a:cxn>
                            <a:cxn ang="0">
                              <a:pos x="338" y="68"/>
                            </a:cxn>
                            <a:cxn ang="0">
                              <a:pos x="362" y="68"/>
                            </a:cxn>
                            <a:cxn ang="0">
                              <a:pos x="405" y="69"/>
                            </a:cxn>
                            <a:cxn ang="0">
                              <a:pos x="432" y="70"/>
                            </a:cxn>
                            <a:cxn ang="0">
                              <a:pos x="481" y="70"/>
                            </a:cxn>
                            <a:cxn ang="0">
                              <a:pos x="517" y="70"/>
                            </a:cxn>
                            <a:cxn ang="0">
                              <a:pos x="539" y="70"/>
                            </a:cxn>
                            <a:cxn ang="0">
                              <a:pos x="586" y="70"/>
                            </a:cxn>
                            <a:cxn ang="0">
                              <a:pos x="624" y="70"/>
                            </a:cxn>
                            <a:cxn ang="0">
                              <a:pos x="655" y="70"/>
                            </a:cxn>
                            <a:cxn ang="0">
                              <a:pos x="679" y="70"/>
                            </a:cxn>
                            <a:cxn ang="0">
                              <a:pos x="712" y="69"/>
                            </a:cxn>
                            <a:cxn ang="0">
                              <a:pos x="751" y="69"/>
                            </a:cxn>
                            <a:cxn ang="0">
                              <a:pos x="779" y="69"/>
                            </a:cxn>
                            <a:cxn ang="0">
                              <a:pos x="805" y="68"/>
                            </a:cxn>
                            <a:cxn ang="0">
                              <a:pos x="831" y="67"/>
                            </a:cxn>
                            <a:cxn ang="0">
                              <a:pos x="859" y="67"/>
                            </a:cxn>
                            <a:cxn ang="0">
                              <a:pos x="880" y="67"/>
                            </a:cxn>
                            <a:cxn ang="0">
                              <a:pos x="900" y="67"/>
                            </a:cxn>
                            <a:cxn ang="0">
                              <a:pos x="919" y="66"/>
                            </a:cxn>
                            <a:cxn ang="0">
                              <a:pos x="945" y="66"/>
                            </a:cxn>
                            <a:cxn ang="0">
                              <a:pos x="963" y="66"/>
                            </a:cxn>
                            <a:cxn ang="0">
                              <a:pos x="977" y="65"/>
                            </a:cxn>
                            <a:cxn ang="0">
                              <a:pos x="996" y="65"/>
                            </a:cxn>
                            <a:cxn ang="0">
                              <a:pos x="1007" y="65"/>
                            </a:cxn>
                            <a:cxn ang="0">
                              <a:pos x="1024" y="63"/>
                            </a:cxn>
                            <a:cxn ang="0">
                              <a:pos x="1044" y="62"/>
                            </a:cxn>
                            <a:cxn ang="0">
                              <a:pos x="1064" y="62"/>
                            </a:cxn>
                            <a:cxn ang="0">
                              <a:pos x="1078" y="62"/>
                            </a:cxn>
                            <a:cxn ang="0">
                              <a:pos x="1089" y="62"/>
                            </a:cxn>
                            <a:cxn ang="0">
                              <a:pos x="1100" y="61"/>
                            </a:cxn>
                            <a:cxn ang="0">
                              <a:pos x="1112" y="58"/>
                            </a:cxn>
                            <a:cxn ang="0">
                              <a:pos x="1119" y="57"/>
                            </a:cxn>
                            <a:cxn ang="0">
                              <a:pos x="1131" y="56"/>
                            </a:cxn>
                            <a:cxn ang="0">
                              <a:pos x="1140" y="55"/>
                            </a:cxn>
                            <a:cxn ang="0">
                              <a:pos x="1151" y="52"/>
                            </a:cxn>
                            <a:cxn ang="0">
                              <a:pos x="1158" y="51"/>
                            </a:cxn>
                          </a:cxnLst>
                          <a:rect l="0" t="0" r="r" b="b"/>
                          <a:pathLst>
                            <a:path w="1167" h="70">
                              <a:moveTo>
                                <a:pt x="0" y="0"/>
                              </a:moveTo>
                              <a:lnTo>
                                <a:pt x="0" y="1"/>
                              </a:lnTo>
                              <a:lnTo>
                                <a:pt x="0" y="1"/>
                              </a:lnTo>
                              <a:lnTo>
                                <a:pt x="0" y="1"/>
                              </a:lnTo>
                              <a:lnTo>
                                <a:pt x="0" y="2"/>
                              </a:lnTo>
                              <a:lnTo>
                                <a:pt x="0" y="3"/>
                              </a:lnTo>
                              <a:lnTo>
                                <a:pt x="1" y="4"/>
                              </a:lnTo>
                              <a:lnTo>
                                <a:pt x="1" y="5"/>
                              </a:lnTo>
                              <a:lnTo>
                                <a:pt x="1" y="6"/>
                              </a:lnTo>
                              <a:lnTo>
                                <a:pt x="1" y="7"/>
                              </a:lnTo>
                              <a:lnTo>
                                <a:pt x="2" y="9"/>
                              </a:lnTo>
                              <a:lnTo>
                                <a:pt x="2" y="10"/>
                              </a:lnTo>
                              <a:lnTo>
                                <a:pt x="2" y="12"/>
                              </a:lnTo>
                              <a:lnTo>
                                <a:pt x="2" y="14"/>
                              </a:lnTo>
                              <a:lnTo>
                                <a:pt x="3" y="16"/>
                              </a:lnTo>
                              <a:lnTo>
                                <a:pt x="3" y="19"/>
                              </a:lnTo>
                              <a:lnTo>
                                <a:pt x="4" y="22"/>
                              </a:lnTo>
                              <a:lnTo>
                                <a:pt x="4" y="25"/>
                              </a:lnTo>
                              <a:lnTo>
                                <a:pt x="5" y="28"/>
                              </a:lnTo>
                              <a:lnTo>
                                <a:pt x="5" y="30"/>
                              </a:lnTo>
                              <a:lnTo>
                                <a:pt x="5" y="32"/>
                              </a:lnTo>
                              <a:lnTo>
                                <a:pt x="5" y="33"/>
                              </a:lnTo>
                              <a:lnTo>
                                <a:pt x="6" y="35"/>
                              </a:lnTo>
                              <a:lnTo>
                                <a:pt x="6" y="36"/>
                              </a:lnTo>
                              <a:lnTo>
                                <a:pt x="6" y="37"/>
                              </a:lnTo>
                              <a:lnTo>
                                <a:pt x="6" y="39"/>
                              </a:lnTo>
                              <a:lnTo>
                                <a:pt x="7" y="40"/>
                              </a:lnTo>
                              <a:lnTo>
                                <a:pt x="7" y="41"/>
                              </a:lnTo>
                              <a:lnTo>
                                <a:pt x="7" y="43"/>
                              </a:lnTo>
                              <a:lnTo>
                                <a:pt x="7" y="43"/>
                              </a:lnTo>
                              <a:lnTo>
                                <a:pt x="7" y="44"/>
                              </a:lnTo>
                              <a:lnTo>
                                <a:pt x="7" y="45"/>
                              </a:lnTo>
                              <a:lnTo>
                                <a:pt x="8" y="46"/>
                              </a:lnTo>
                              <a:lnTo>
                                <a:pt x="8" y="47"/>
                              </a:lnTo>
                              <a:lnTo>
                                <a:pt x="8" y="48"/>
                              </a:lnTo>
                              <a:lnTo>
                                <a:pt x="8" y="48"/>
                              </a:lnTo>
                              <a:lnTo>
                                <a:pt x="8" y="49"/>
                              </a:lnTo>
                              <a:lnTo>
                                <a:pt x="8" y="50"/>
                              </a:lnTo>
                              <a:lnTo>
                                <a:pt x="8" y="50"/>
                              </a:lnTo>
                              <a:lnTo>
                                <a:pt x="9" y="51"/>
                              </a:lnTo>
                              <a:lnTo>
                                <a:pt x="9" y="52"/>
                              </a:lnTo>
                              <a:lnTo>
                                <a:pt x="9" y="52"/>
                              </a:lnTo>
                              <a:lnTo>
                                <a:pt x="9" y="53"/>
                              </a:lnTo>
                              <a:lnTo>
                                <a:pt x="9" y="53"/>
                              </a:lnTo>
                              <a:lnTo>
                                <a:pt x="9" y="54"/>
                              </a:lnTo>
                              <a:lnTo>
                                <a:pt x="9" y="54"/>
                              </a:lnTo>
                              <a:lnTo>
                                <a:pt x="10" y="55"/>
                              </a:lnTo>
                              <a:lnTo>
                                <a:pt x="10" y="56"/>
                              </a:lnTo>
                              <a:lnTo>
                                <a:pt x="10" y="56"/>
                              </a:lnTo>
                              <a:lnTo>
                                <a:pt x="10" y="57"/>
                              </a:lnTo>
                              <a:lnTo>
                                <a:pt x="10" y="58"/>
                              </a:lnTo>
                              <a:lnTo>
                                <a:pt x="11" y="58"/>
                              </a:lnTo>
                              <a:lnTo>
                                <a:pt x="11" y="58"/>
                              </a:lnTo>
                              <a:lnTo>
                                <a:pt x="11" y="59"/>
                              </a:lnTo>
                              <a:lnTo>
                                <a:pt x="11" y="59"/>
                              </a:lnTo>
                              <a:lnTo>
                                <a:pt x="11" y="60"/>
                              </a:lnTo>
                              <a:lnTo>
                                <a:pt x="11" y="60"/>
                              </a:lnTo>
                              <a:lnTo>
                                <a:pt x="11" y="60"/>
                              </a:lnTo>
                              <a:lnTo>
                                <a:pt x="12" y="61"/>
                              </a:lnTo>
                              <a:lnTo>
                                <a:pt x="12" y="61"/>
                              </a:lnTo>
                              <a:lnTo>
                                <a:pt x="12" y="62"/>
                              </a:lnTo>
                              <a:lnTo>
                                <a:pt x="12" y="62"/>
                              </a:lnTo>
                              <a:lnTo>
                                <a:pt x="12" y="62"/>
                              </a:lnTo>
                              <a:lnTo>
                                <a:pt x="12" y="63"/>
                              </a:lnTo>
                              <a:lnTo>
                                <a:pt x="13" y="63"/>
                              </a:lnTo>
                              <a:lnTo>
                                <a:pt x="13" y="63"/>
                              </a:lnTo>
                              <a:lnTo>
                                <a:pt x="13" y="64"/>
                              </a:lnTo>
                              <a:lnTo>
                                <a:pt x="13" y="64"/>
                              </a:lnTo>
                              <a:lnTo>
                                <a:pt x="13" y="64"/>
                              </a:lnTo>
                              <a:lnTo>
                                <a:pt x="14" y="65"/>
                              </a:lnTo>
                              <a:lnTo>
                                <a:pt x="14" y="65"/>
                              </a:lnTo>
                              <a:lnTo>
                                <a:pt x="14" y="65"/>
                              </a:lnTo>
                              <a:lnTo>
                                <a:pt x="14" y="65"/>
                              </a:lnTo>
                              <a:lnTo>
                                <a:pt x="14" y="66"/>
                              </a:lnTo>
                              <a:lnTo>
                                <a:pt x="14" y="66"/>
                              </a:lnTo>
                              <a:lnTo>
                                <a:pt x="15" y="66"/>
                              </a:lnTo>
                              <a:lnTo>
                                <a:pt x="15" y="66"/>
                              </a:lnTo>
                              <a:lnTo>
                                <a:pt x="15" y="67"/>
                              </a:lnTo>
                              <a:lnTo>
                                <a:pt x="15" y="67"/>
                              </a:lnTo>
                              <a:lnTo>
                                <a:pt x="16" y="67"/>
                              </a:lnTo>
                              <a:lnTo>
                                <a:pt x="16" y="67"/>
                              </a:lnTo>
                              <a:lnTo>
                                <a:pt x="16" y="67"/>
                              </a:lnTo>
                              <a:lnTo>
                                <a:pt x="16" y="67"/>
                              </a:lnTo>
                              <a:lnTo>
                                <a:pt x="16" y="68"/>
                              </a:lnTo>
                              <a:lnTo>
                                <a:pt x="17" y="68"/>
                              </a:lnTo>
                              <a:lnTo>
                                <a:pt x="17" y="68"/>
                              </a:lnTo>
                              <a:lnTo>
                                <a:pt x="17" y="68"/>
                              </a:lnTo>
                              <a:lnTo>
                                <a:pt x="17" y="68"/>
                              </a:lnTo>
                              <a:lnTo>
                                <a:pt x="18" y="68"/>
                              </a:lnTo>
                              <a:lnTo>
                                <a:pt x="18" y="68"/>
                              </a:lnTo>
                              <a:lnTo>
                                <a:pt x="18" y="68"/>
                              </a:lnTo>
                              <a:lnTo>
                                <a:pt x="19" y="68"/>
                              </a:lnTo>
                              <a:lnTo>
                                <a:pt x="19" y="68"/>
                              </a:lnTo>
                              <a:lnTo>
                                <a:pt x="19" y="68"/>
                              </a:lnTo>
                              <a:lnTo>
                                <a:pt x="19" y="68"/>
                              </a:lnTo>
                              <a:lnTo>
                                <a:pt x="20" y="68"/>
                              </a:lnTo>
                              <a:lnTo>
                                <a:pt x="20" y="68"/>
                              </a:lnTo>
                              <a:lnTo>
                                <a:pt x="20" y="68"/>
                              </a:lnTo>
                              <a:lnTo>
                                <a:pt x="21" y="68"/>
                              </a:lnTo>
                              <a:lnTo>
                                <a:pt x="21" y="68"/>
                              </a:lnTo>
                              <a:lnTo>
                                <a:pt x="21" y="68"/>
                              </a:lnTo>
                              <a:lnTo>
                                <a:pt x="22" y="68"/>
                              </a:lnTo>
                              <a:lnTo>
                                <a:pt x="22" y="68"/>
                              </a:lnTo>
                              <a:lnTo>
                                <a:pt x="23" y="68"/>
                              </a:lnTo>
                              <a:lnTo>
                                <a:pt x="23" y="68"/>
                              </a:lnTo>
                              <a:lnTo>
                                <a:pt x="24" y="68"/>
                              </a:lnTo>
                              <a:lnTo>
                                <a:pt x="24" y="67"/>
                              </a:lnTo>
                              <a:lnTo>
                                <a:pt x="25" y="67"/>
                              </a:lnTo>
                              <a:lnTo>
                                <a:pt x="25" y="67"/>
                              </a:lnTo>
                              <a:lnTo>
                                <a:pt x="26" y="67"/>
                              </a:lnTo>
                              <a:lnTo>
                                <a:pt x="27" y="66"/>
                              </a:lnTo>
                              <a:lnTo>
                                <a:pt x="28" y="66"/>
                              </a:lnTo>
                              <a:lnTo>
                                <a:pt x="29" y="65"/>
                              </a:lnTo>
                              <a:lnTo>
                                <a:pt x="30" y="65"/>
                              </a:lnTo>
                              <a:lnTo>
                                <a:pt x="31" y="64"/>
                              </a:lnTo>
                              <a:lnTo>
                                <a:pt x="32" y="64"/>
                              </a:lnTo>
                              <a:lnTo>
                                <a:pt x="33" y="64"/>
                              </a:lnTo>
                              <a:lnTo>
                                <a:pt x="34" y="64"/>
                              </a:lnTo>
                              <a:lnTo>
                                <a:pt x="35" y="63"/>
                              </a:lnTo>
                              <a:lnTo>
                                <a:pt x="36" y="63"/>
                              </a:lnTo>
                              <a:lnTo>
                                <a:pt x="37" y="63"/>
                              </a:lnTo>
                              <a:lnTo>
                                <a:pt x="38" y="63"/>
                              </a:lnTo>
                              <a:lnTo>
                                <a:pt x="39" y="63"/>
                              </a:lnTo>
                              <a:lnTo>
                                <a:pt x="40" y="63"/>
                              </a:lnTo>
                              <a:lnTo>
                                <a:pt x="41" y="62"/>
                              </a:lnTo>
                              <a:lnTo>
                                <a:pt x="42" y="62"/>
                              </a:lnTo>
                              <a:lnTo>
                                <a:pt x="43" y="62"/>
                              </a:lnTo>
                              <a:lnTo>
                                <a:pt x="44" y="62"/>
                              </a:lnTo>
                              <a:lnTo>
                                <a:pt x="45" y="62"/>
                              </a:lnTo>
                              <a:lnTo>
                                <a:pt x="46" y="62"/>
                              </a:lnTo>
                              <a:lnTo>
                                <a:pt x="48" y="62"/>
                              </a:lnTo>
                              <a:lnTo>
                                <a:pt x="50" y="62"/>
                              </a:lnTo>
                              <a:lnTo>
                                <a:pt x="53" y="63"/>
                              </a:lnTo>
                              <a:lnTo>
                                <a:pt x="58" y="63"/>
                              </a:lnTo>
                              <a:lnTo>
                                <a:pt x="63" y="63"/>
                              </a:lnTo>
                              <a:lnTo>
                                <a:pt x="68" y="63"/>
                              </a:lnTo>
                              <a:lnTo>
                                <a:pt x="72" y="63"/>
                              </a:lnTo>
                              <a:lnTo>
                                <a:pt x="77" y="63"/>
                              </a:lnTo>
                              <a:lnTo>
                                <a:pt x="83" y="63"/>
                              </a:lnTo>
                              <a:lnTo>
                                <a:pt x="87" y="64"/>
                              </a:lnTo>
                              <a:lnTo>
                                <a:pt x="90" y="64"/>
                              </a:lnTo>
                              <a:lnTo>
                                <a:pt x="93" y="64"/>
                              </a:lnTo>
                              <a:lnTo>
                                <a:pt x="96" y="64"/>
                              </a:lnTo>
                              <a:lnTo>
                                <a:pt x="98" y="64"/>
                              </a:lnTo>
                              <a:lnTo>
                                <a:pt x="101" y="64"/>
                              </a:lnTo>
                              <a:lnTo>
                                <a:pt x="104" y="65"/>
                              </a:lnTo>
                              <a:lnTo>
                                <a:pt x="107" y="65"/>
                              </a:lnTo>
                              <a:lnTo>
                                <a:pt x="111" y="65"/>
                              </a:lnTo>
                              <a:lnTo>
                                <a:pt x="115" y="65"/>
                              </a:lnTo>
                              <a:lnTo>
                                <a:pt x="118" y="65"/>
                              </a:lnTo>
                              <a:lnTo>
                                <a:pt x="121" y="65"/>
                              </a:lnTo>
                              <a:lnTo>
                                <a:pt x="124" y="65"/>
                              </a:lnTo>
                              <a:lnTo>
                                <a:pt x="127" y="65"/>
                              </a:lnTo>
                              <a:lnTo>
                                <a:pt x="130" y="65"/>
                              </a:lnTo>
                              <a:lnTo>
                                <a:pt x="134" y="65"/>
                              </a:lnTo>
                              <a:lnTo>
                                <a:pt x="137" y="65"/>
                              </a:lnTo>
                              <a:lnTo>
                                <a:pt x="139" y="65"/>
                              </a:lnTo>
                              <a:lnTo>
                                <a:pt x="142" y="65"/>
                              </a:lnTo>
                              <a:lnTo>
                                <a:pt x="145" y="65"/>
                              </a:lnTo>
                              <a:lnTo>
                                <a:pt x="149" y="66"/>
                              </a:lnTo>
                              <a:lnTo>
                                <a:pt x="151" y="66"/>
                              </a:lnTo>
                              <a:lnTo>
                                <a:pt x="153" y="66"/>
                              </a:lnTo>
                              <a:lnTo>
                                <a:pt x="155" y="66"/>
                              </a:lnTo>
                              <a:lnTo>
                                <a:pt x="158" y="66"/>
                              </a:lnTo>
                              <a:lnTo>
                                <a:pt x="160" y="66"/>
                              </a:lnTo>
                              <a:lnTo>
                                <a:pt x="161" y="66"/>
                              </a:lnTo>
                              <a:lnTo>
                                <a:pt x="164" y="66"/>
                              </a:lnTo>
                              <a:lnTo>
                                <a:pt x="167" y="66"/>
                              </a:lnTo>
                              <a:lnTo>
                                <a:pt x="169" y="66"/>
                              </a:lnTo>
                              <a:lnTo>
                                <a:pt x="173" y="66"/>
                              </a:lnTo>
                              <a:lnTo>
                                <a:pt x="178" y="66"/>
                              </a:lnTo>
                              <a:lnTo>
                                <a:pt x="182" y="66"/>
                              </a:lnTo>
                              <a:lnTo>
                                <a:pt x="186" y="66"/>
                              </a:lnTo>
                              <a:lnTo>
                                <a:pt x="190" y="67"/>
                              </a:lnTo>
                              <a:lnTo>
                                <a:pt x="193" y="67"/>
                              </a:lnTo>
                              <a:lnTo>
                                <a:pt x="198" y="67"/>
                              </a:lnTo>
                              <a:lnTo>
                                <a:pt x="203" y="67"/>
                              </a:lnTo>
                              <a:lnTo>
                                <a:pt x="207" y="67"/>
                              </a:lnTo>
                              <a:lnTo>
                                <a:pt x="210" y="67"/>
                              </a:lnTo>
                              <a:lnTo>
                                <a:pt x="213" y="67"/>
                              </a:lnTo>
                              <a:lnTo>
                                <a:pt x="217" y="67"/>
                              </a:lnTo>
                              <a:lnTo>
                                <a:pt x="222" y="67"/>
                              </a:lnTo>
                              <a:lnTo>
                                <a:pt x="225" y="67"/>
                              </a:lnTo>
                              <a:lnTo>
                                <a:pt x="227" y="67"/>
                              </a:lnTo>
                              <a:lnTo>
                                <a:pt x="229" y="67"/>
                              </a:lnTo>
                              <a:lnTo>
                                <a:pt x="233" y="67"/>
                              </a:lnTo>
                              <a:lnTo>
                                <a:pt x="236" y="67"/>
                              </a:lnTo>
                              <a:lnTo>
                                <a:pt x="239" y="67"/>
                              </a:lnTo>
                              <a:lnTo>
                                <a:pt x="243" y="67"/>
                              </a:lnTo>
                              <a:lnTo>
                                <a:pt x="247" y="67"/>
                              </a:lnTo>
                              <a:lnTo>
                                <a:pt x="252" y="67"/>
                              </a:lnTo>
                              <a:lnTo>
                                <a:pt x="258" y="67"/>
                              </a:lnTo>
                              <a:lnTo>
                                <a:pt x="262" y="67"/>
                              </a:lnTo>
                              <a:lnTo>
                                <a:pt x="266" y="67"/>
                              </a:lnTo>
                              <a:lnTo>
                                <a:pt x="270" y="67"/>
                              </a:lnTo>
                              <a:lnTo>
                                <a:pt x="273" y="67"/>
                              </a:lnTo>
                              <a:lnTo>
                                <a:pt x="276" y="67"/>
                              </a:lnTo>
                              <a:lnTo>
                                <a:pt x="279" y="67"/>
                              </a:lnTo>
                              <a:lnTo>
                                <a:pt x="282" y="67"/>
                              </a:lnTo>
                              <a:lnTo>
                                <a:pt x="285" y="67"/>
                              </a:lnTo>
                              <a:lnTo>
                                <a:pt x="288" y="67"/>
                              </a:lnTo>
                              <a:lnTo>
                                <a:pt x="291" y="68"/>
                              </a:lnTo>
                              <a:lnTo>
                                <a:pt x="294" y="68"/>
                              </a:lnTo>
                              <a:lnTo>
                                <a:pt x="297" y="68"/>
                              </a:lnTo>
                              <a:lnTo>
                                <a:pt x="299" y="68"/>
                              </a:lnTo>
                              <a:lnTo>
                                <a:pt x="302" y="67"/>
                              </a:lnTo>
                              <a:lnTo>
                                <a:pt x="304" y="67"/>
                              </a:lnTo>
                              <a:lnTo>
                                <a:pt x="305" y="67"/>
                              </a:lnTo>
                              <a:lnTo>
                                <a:pt x="308" y="68"/>
                              </a:lnTo>
                              <a:lnTo>
                                <a:pt x="311" y="68"/>
                              </a:lnTo>
                              <a:lnTo>
                                <a:pt x="315" y="68"/>
                              </a:lnTo>
                              <a:lnTo>
                                <a:pt x="319" y="68"/>
                              </a:lnTo>
                              <a:lnTo>
                                <a:pt x="324" y="68"/>
                              </a:lnTo>
                              <a:lnTo>
                                <a:pt x="329" y="68"/>
                              </a:lnTo>
                              <a:lnTo>
                                <a:pt x="334" y="68"/>
                              </a:lnTo>
                              <a:lnTo>
                                <a:pt x="338" y="68"/>
                              </a:lnTo>
                              <a:lnTo>
                                <a:pt x="340" y="68"/>
                              </a:lnTo>
                              <a:lnTo>
                                <a:pt x="342" y="68"/>
                              </a:lnTo>
                              <a:lnTo>
                                <a:pt x="345" y="68"/>
                              </a:lnTo>
                              <a:lnTo>
                                <a:pt x="348" y="68"/>
                              </a:lnTo>
                              <a:lnTo>
                                <a:pt x="351" y="68"/>
                              </a:lnTo>
                              <a:lnTo>
                                <a:pt x="354" y="68"/>
                              </a:lnTo>
                              <a:lnTo>
                                <a:pt x="358" y="68"/>
                              </a:lnTo>
                              <a:lnTo>
                                <a:pt x="362" y="68"/>
                              </a:lnTo>
                              <a:lnTo>
                                <a:pt x="368" y="68"/>
                              </a:lnTo>
                              <a:lnTo>
                                <a:pt x="375" y="69"/>
                              </a:lnTo>
                              <a:lnTo>
                                <a:pt x="382" y="69"/>
                              </a:lnTo>
                              <a:lnTo>
                                <a:pt x="386" y="69"/>
                              </a:lnTo>
                              <a:lnTo>
                                <a:pt x="391" y="69"/>
                              </a:lnTo>
                              <a:lnTo>
                                <a:pt x="395" y="69"/>
                              </a:lnTo>
                              <a:lnTo>
                                <a:pt x="399" y="69"/>
                              </a:lnTo>
                              <a:lnTo>
                                <a:pt x="405" y="69"/>
                              </a:lnTo>
                              <a:lnTo>
                                <a:pt x="409" y="70"/>
                              </a:lnTo>
                              <a:lnTo>
                                <a:pt x="411" y="70"/>
                              </a:lnTo>
                              <a:lnTo>
                                <a:pt x="414" y="70"/>
                              </a:lnTo>
                              <a:lnTo>
                                <a:pt x="417" y="70"/>
                              </a:lnTo>
                              <a:lnTo>
                                <a:pt x="421" y="70"/>
                              </a:lnTo>
                              <a:lnTo>
                                <a:pt x="425" y="70"/>
                              </a:lnTo>
                              <a:lnTo>
                                <a:pt x="429" y="70"/>
                              </a:lnTo>
                              <a:lnTo>
                                <a:pt x="432" y="70"/>
                              </a:lnTo>
                              <a:lnTo>
                                <a:pt x="435" y="70"/>
                              </a:lnTo>
                              <a:lnTo>
                                <a:pt x="438" y="70"/>
                              </a:lnTo>
                              <a:lnTo>
                                <a:pt x="443" y="70"/>
                              </a:lnTo>
                              <a:lnTo>
                                <a:pt x="449" y="70"/>
                              </a:lnTo>
                              <a:lnTo>
                                <a:pt x="457" y="70"/>
                              </a:lnTo>
                              <a:lnTo>
                                <a:pt x="463" y="70"/>
                              </a:lnTo>
                              <a:lnTo>
                                <a:pt x="472" y="70"/>
                              </a:lnTo>
                              <a:lnTo>
                                <a:pt x="481" y="70"/>
                              </a:lnTo>
                              <a:lnTo>
                                <a:pt x="488" y="70"/>
                              </a:lnTo>
                              <a:lnTo>
                                <a:pt x="494" y="70"/>
                              </a:lnTo>
                              <a:lnTo>
                                <a:pt x="499" y="70"/>
                              </a:lnTo>
                              <a:lnTo>
                                <a:pt x="504" y="70"/>
                              </a:lnTo>
                              <a:lnTo>
                                <a:pt x="508" y="70"/>
                              </a:lnTo>
                              <a:lnTo>
                                <a:pt x="511" y="70"/>
                              </a:lnTo>
                              <a:lnTo>
                                <a:pt x="514" y="70"/>
                              </a:lnTo>
                              <a:lnTo>
                                <a:pt x="517" y="70"/>
                              </a:lnTo>
                              <a:lnTo>
                                <a:pt x="520" y="70"/>
                              </a:lnTo>
                              <a:lnTo>
                                <a:pt x="523" y="70"/>
                              </a:lnTo>
                              <a:lnTo>
                                <a:pt x="526" y="70"/>
                              </a:lnTo>
                              <a:lnTo>
                                <a:pt x="529" y="70"/>
                              </a:lnTo>
                              <a:lnTo>
                                <a:pt x="531" y="70"/>
                              </a:lnTo>
                              <a:lnTo>
                                <a:pt x="534" y="70"/>
                              </a:lnTo>
                              <a:lnTo>
                                <a:pt x="536" y="70"/>
                              </a:lnTo>
                              <a:lnTo>
                                <a:pt x="539" y="70"/>
                              </a:lnTo>
                              <a:lnTo>
                                <a:pt x="543" y="70"/>
                              </a:lnTo>
                              <a:lnTo>
                                <a:pt x="548" y="70"/>
                              </a:lnTo>
                              <a:lnTo>
                                <a:pt x="554" y="70"/>
                              </a:lnTo>
                              <a:lnTo>
                                <a:pt x="560" y="70"/>
                              </a:lnTo>
                              <a:lnTo>
                                <a:pt x="568" y="70"/>
                              </a:lnTo>
                              <a:lnTo>
                                <a:pt x="576" y="70"/>
                              </a:lnTo>
                              <a:lnTo>
                                <a:pt x="582" y="70"/>
                              </a:lnTo>
                              <a:lnTo>
                                <a:pt x="586" y="70"/>
                              </a:lnTo>
                              <a:lnTo>
                                <a:pt x="590" y="70"/>
                              </a:lnTo>
                              <a:lnTo>
                                <a:pt x="596" y="70"/>
                              </a:lnTo>
                              <a:lnTo>
                                <a:pt x="601" y="70"/>
                              </a:lnTo>
                              <a:lnTo>
                                <a:pt x="605" y="70"/>
                              </a:lnTo>
                              <a:lnTo>
                                <a:pt x="608" y="70"/>
                              </a:lnTo>
                              <a:lnTo>
                                <a:pt x="612" y="70"/>
                              </a:lnTo>
                              <a:lnTo>
                                <a:pt x="617" y="70"/>
                              </a:lnTo>
                              <a:lnTo>
                                <a:pt x="624" y="70"/>
                              </a:lnTo>
                              <a:lnTo>
                                <a:pt x="629" y="70"/>
                              </a:lnTo>
                              <a:lnTo>
                                <a:pt x="633" y="70"/>
                              </a:lnTo>
                              <a:lnTo>
                                <a:pt x="635" y="70"/>
                              </a:lnTo>
                              <a:lnTo>
                                <a:pt x="638" y="70"/>
                              </a:lnTo>
                              <a:lnTo>
                                <a:pt x="642" y="70"/>
                              </a:lnTo>
                              <a:lnTo>
                                <a:pt x="647" y="70"/>
                              </a:lnTo>
                              <a:lnTo>
                                <a:pt x="652" y="70"/>
                              </a:lnTo>
                              <a:lnTo>
                                <a:pt x="655" y="70"/>
                              </a:lnTo>
                              <a:lnTo>
                                <a:pt x="658" y="70"/>
                              </a:lnTo>
                              <a:lnTo>
                                <a:pt x="661" y="70"/>
                              </a:lnTo>
                              <a:lnTo>
                                <a:pt x="666" y="70"/>
                              </a:lnTo>
                              <a:lnTo>
                                <a:pt x="670" y="70"/>
                              </a:lnTo>
                              <a:lnTo>
                                <a:pt x="672" y="70"/>
                              </a:lnTo>
                              <a:lnTo>
                                <a:pt x="674" y="70"/>
                              </a:lnTo>
                              <a:lnTo>
                                <a:pt x="677" y="70"/>
                              </a:lnTo>
                              <a:lnTo>
                                <a:pt x="679" y="70"/>
                              </a:lnTo>
                              <a:lnTo>
                                <a:pt x="681" y="70"/>
                              </a:lnTo>
                              <a:lnTo>
                                <a:pt x="683" y="70"/>
                              </a:lnTo>
                              <a:lnTo>
                                <a:pt x="687" y="70"/>
                              </a:lnTo>
                              <a:lnTo>
                                <a:pt x="692" y="70"/>
                              </a:lnTo>
                              <a:lnTo>
                                <a:pt x="697" y="70"/>
                              </a:lnTo>
                              <a:lnTo>
                                <a:pt x="701" y="70"/>
                              </a:lnTo>
                              <a:lnTo>
                                <a:pt x="706" y="69"/>
                              </a:lnTo>
                              <a:lnTo>
                                <a:pt x="712" y="69"/>
                              </a:lnTo>
                              <a:lnTo>
                                <a:pt x="716" y="69"/>
                              </a:lnTo>
                              <a:lnTo>
                                <a:pt x="721" y="69"/>
                              </a:lnTo>
                              <a:lnTo>
                                <a:pt x="725" y="69"/>
                              </a:lnTo>
                              <a:lnTo>
                                <a:pt x="729" y="69"/>
                              </a:lnTo>
                              <a:lnTo>
                                <a:pt x="734" y="69"/>
                              </a:lnTo>
                              <a:lnTo>
                                <a:pt x="739" y="69"/>
                              </a:lnTo>
                              <a:lnTo>
                                <a:pt x="745" y="69"/>
                              </a:lnTo>
                              <a:lnTo>
                                <a:pt x="751" y="69"/>
                              </a:lnTo>
                              <a:lnTo>
                                <a:pt x="754" y="69"/>
                              </a:lnTo>
                              <a:lnTo>
                                <a:pt x="757" y="69"/>
                              </a:lnTo>
                              <a:lnTo>
                                <a:pt x="760" y="69"/>
                              </a:lnTo>
                              <a:lnTo>
                                <a:pt x="764" y="69"/>
                              </a:lnTo>
                              <a:lnTo>
                                <a:pt x="769" y="69"/>
                              </a:lnTo>
                              <a:lnTo>
                                <a:pt x="773" y="69"/>
                              </a:lnTo>
                              <a:lnTo>
                                <a:pt x="776" y="69"/>
                              </a:lnTo>
                              <a:lnTo>
                                <a:pt x="779" y="69"/>
                              </a:lnTo>
                              <a:lnTo>
                                <a:pt x="781" y="69"/>
                              </a:lnTo>
                              <a:lnTo>
                                <a:pt x="784" y="69"/>
                              </a:lnTo>
                              <a:lnTo>
                                <a:pt x="786" y="69"/>
                              </a:lnTo>
                              <a:lnTo>
                                <a:pt x="788" y="69"/>
                              </a:lnTo>
                              <a:lnTo>
                                <a:pt x="792" y="69"/>
                              </a:lnTo>
                              <a:lnTo>
                                <a:pt x="797" y="68"/>
                              </a:lnTo>
                              <a:lnTo>
                                <a:pt x="801" y="68"/>
                              </a:lnTo>
                              <a:lnTo>
                                <a:pt x="805" y="68"/>
                              </a:lnTo>
                              <a:lnTo>
                                <a:pt x="808" y="68"/>
                              </a:lnTo>
                              <a:lnTo>
                                <a:pt x="812" y="68"/>
                              </a:lnTo>
                              <a:lnTo>
                                <a:pt x="816" y="68"/>
                              </a:lnTo>
                              <a:lnTo>
                                <a:pt x="818" y="68"/>
                              </a:lnTo>
                              <a:lnTo>
                                <a:pt x="820" y="68"/>
                              </a:lnTo>
                              <a:lnTo>
                                <a:pt x="822" y="68"/>
                              </a:lnTo>
                              <a:lnTo>
                                <a:pt x="826" y="68"/>
                              </a:lnTo>
                              <a:lnTo>
                                <a:pt x="831" y="67"/>
                              </a:lnTo>
                              <a:lnTo>
                                <a:pt x="836" y="67"/>
                              </a:lnTo>
                              <a:lnTo>
                                <a:pt x="839" y="67"/>
                              </a:lnTo>
                              <a:lnTo>
                                <a:pt x="842" y="67"/>
                              </a:lnTo>
                              <a:lnTo>
                                <a:pt x="846" y="67"/>
                              </a:lnTo>
                              <a:lnTo>
                                <a:pt x="850" y="67"/>
                              </a:lnTo>
                              <a:lnTo>
                                <a:pt x="854" y="67"/>
                              </a:lnTo>
                              <a:lnTo>
                                <a:pt x="857" y="67"/>
                              </a:lnTo>
                              <a:lnTo>
                                <a:pt x="859" y="67"/>
                              </a:lnTo>
                              <a:lnTo>
                                <a:pt x="861" y="66"/>
                              </a:lnTo>
                              <a:lnTo>
                                <a:pt x="863" y="66"/>
                              </a:lnTo>
                              <a:lnTo>
                                <a:pt x="865" y="66"/>
                              </a:lnTo>
                              <a:lnTo>
                                <a:pt x="867" y="66"/>
                              </a:lnTo>
                              <a:lnTo>
                                <a:pt x="870" y="67"/>
                              </a:lnTo>
                              <a:lnTo>
                                <a:pt x="873" y="67"/>
                              </a:lnTo>
                              <a:lnTo>
                                <a:pt x="876" y="67"/>
                              </a:lnTo>
                              <a:lnTo>
                                <a:pt x="880" y="67"/>
                              </a:lnTo>
                              <a:lnTo>
                                <a:pt x="884" y="67"/>
                              </a:lnTo>
                              <a:lnTo>
                                <a:pt x="887" y="67"/>
                              </a:lnTo>
                              <a:lnTo>
                                <a:pt x="890" y="67"/>
                              </a:lnTo>
                              <a:lnTo>
                                <a:pt x="892" y="67"/>
                              </a:lnTo>
                              <a:lnTo>
                                <a:pt x="893" y="67"/>
                              </a:lnTo>
                              <a:lnTo>
                                <a:pt x="895" y="67"/>
                              </a:lnTo>
                              <a:lnTo>
                                <a:pt x="898" y="67"/>
                              </a:lnTo>
                              <a:lnTo>
                                <a:pt x="900" y="67"/>
                              </a:lnTo>
                              <a:lnTo>
                                <a:pt x="902" y="67"/>
                              </a:lnTo>
                              <a:lnTo>
                                <a:pt x="904" y="67"/>
                              </a:lnTo>
                              <a:lnTo>
                                <a:pt x="906" y="67"/>
                              </a:lnTo>
                              <a:lnTo>
                                <a:pt x="908" y="67"/>
                              </a:lnTo>
                              <a:lnTo>
                                <a:pt x="910" y="67"/>
                              </a:lnTo>
                              <a:lnTo>
                                <a:pt x="913" y="66"/>
                              </a:lnTo>
                              <a:lnTo>
                                <a:pt x="916" y="66"/>
                              </a:lnTo>
                              <a:lnTo>
                                <a:pt x="919" y="66"/>
                              </a:lnTo>
                              <a:lnTo>
                                <a:pt x="922" y="66"/>
                              </a:lnTo>
                              <a:lnTo>
                                <a:pt x="925" y="66"/>
                              </a:lnTo>
                              <a:lnTo>
                                <a:pt x="928" y="66"/>
                              </a:lnTo>
                              <a:lnTo>
                                <a:pt x="932" y="66"/>
                              </a:lnTo>
                              <a:lnTo>
                                <a:pt x="936" y="66"/>
                              </a:lnTo>
                              <a:lnTo>
                                <a:pt x="940" y="66"/>
                              </a:lnTo>
                              <a:lnTo>
                                <a:pt x="943" y="66"/>
                              </a:lnTo>
                              <a:lnTo>
                                <a:pt x="945" y="66"/>
                              </a:lnTo>
                              <a:lnTo>
                                <a:pt x="948" y="66"/>
                              </a:lnTo>
                              <a:lnTo>
                                <a:pt x="951" y="66"/>
                              </a:lnTo>
                              <a:lnTo>
                                <a:pt x="953" y="66"/>
                              </a:lnTo>
                              <a:lnTo>
                                <a:pt x="955" y="66"/>
                              </a:lnTo>
                              <a:lnTo>
                                <a:pt x="957" y="66"/>
                              </a:lnTo>
                              <a:lnTo>
                                <a:pt x="958" y="66"/>
                              </a:lnTo>
                              <a:lnTo>
                                <a:pt x="960" y="66"/>
                              </a:lnTo>
                              <a:lnTo>
                                <a:pt x="963" y="66"/>
                              </a:lnTo>
                              <a:lnTo>
                                <a:pt x="965" y="65"/>
                              </a:lnTo>
                              <a:lnTo>
                                <a:pt x="967" y="65"/>
                              </a:lnTo>
                              <a:lnTo>
                                <a:pt x="969" y="65"/>
                              </a:lnTo>
                              <a:lnTo>
                                <a:pt x="970" y="65"/>
                              </a:lnTo>
                              <a:lnTo>
                                <a:pt x="972" y="65"/>
                              </a:lnTo>
                              <a:lnTo>
                                <a:pt x="973" y="65"/>
                              </a:lnTo>
                              <a:lnTo>
                                <a:pt x="975" y="65"/>
                              </a:lnTo>
                              <a:lnTo>
                                <a:pt x="977" y="65"/>
                              </a:lnTo>
                              <a:lnTo>
                                <a:pt x="979" y="65"/>
                              </a:lnTo>
                              <a:lnTo>
                                <a:pt x="981" y="65"/>
                              </a:lnTo>
                              <a:lnTo>
                                <a:pt x="985" y="65"/>
                              </a:lnTo>
                              <a:lnTo>
                                <a:pt x="987" y="65"/>
                              </a:lnTo>
                              <a:lnTo>
                                <a:pt x="990" y="65"/>
                              </a:lnTo>
                              <a:lnTo>
                                <a:pt x="992" y="65"/>
                              </a:lnTo>
                              <a:lnTo>
                                <a:pt x="994" y="65"/>
                              </a:lnTo>
                              <a:lnTo>
                                <a:pt x="996" y="65"/>
                              </a:lnTo>
                              <a:lnTo>
                                <a:pt x="998" y="65"/>
                              </a:lnTo>
                              <a:lnTo>
                                <a:pt x="1000" y="65"/>
                              </a:lnTo>
                              <a:lnTo>
                                <a:pt x="1001" y="65"/>
                              </a:lnTo>
                              <a:lnTo>
                                <a:pt x="1002" y="65"/>
                              </a:lnTo>
                              <a:lnTo>
                                <a:pt x="1003" y="65"/>
                              </a:lnTo>
                              <a:lnTo>
                                <a:pt x="1004" y="65"/>
                              </a:lnTo>
                              <a:lnTo>
                                <a:pt x="1005" y="65"/>
                              </a:lnTo>
                              <a:lnTo>
                                <a:pt x="1007" y="65"/>
                              </a:lnTo>
                              <a:lnTo>
                                <a:pt x="1009" y="65"/>
                              </a:lnTo>
                              <a:lnTo>
                                <a:pt x="1011" y="64"/>
                              </a:lnTo>
                              <a:lnTo>
                                <a:pt x="1013" y="64"/>
                              </a:lnTo>
                              <a:lnTo>
                                <a:pt x="1015" y="64"/>
                              </a:lnTo>
                              <a:lnTo>
                                <a:pt x="1017" y="64"/>
                              </a:lnTo>
                              <a:lnTo>
                                <a:pt x="1020" y="64"/>
                              </a:lnTo>
                              <a:lnTo>
                                <a:pt x="1022" y="63"/>
                              </a:lnTo>
                              <a:lnTo>
                                <a:pt x="1024" y="63"/>
                              </a:lnTo>
                              <a:lnTo>
                                <a:pt x="1027" y="63"/>
                              </a:lnTo>
                              <a:lnTo>
                                <a:pt x="1031" y="63"/>
                              </a:lnTo>
                              <a:lnTo>
                                <a:pt x="1035" y="63"/>
                              </a:lnTo>
                              <a:lnTo>
                                <a:pt x="1037" y="63"/>
                              </a:lnTo>
                              <a:lnTo>
                                <a:pt x="1039" y="62"/>
                              </a:lnTo>
                              <a:lnTo>
                                <a:pt x="1040" y="62"/>
                              </a:lnTo>
                              <a:lnTo>
                                <a:pt x="1042" y="62"/>
                              </a:lnTo>
                              <a:lnTo>
                                <a:pt x="1044" y="62"/>
                              </a:lnTo>
                              <a:lnTo>
                                <a:pt x="1046" y="62"/>
                              </a:lnTo>
                              <a:lnTo>
                                <a:pt x="1049" y="62"/>
                              </a:lnTo>
                              <a:lnTo>
                                <a:pt x="1051" y="62"/>
                              </a:lnTo>
                              <a:lnTo>
                                <a:pt x="1053" y="62"/>
                              </a:lnTo>
                              <a:lnTo>
                                <a:pt x="1055" y="62"/>
                              </a:lnTo>
                              <a:lnTo>
                                <a:pt x="1058" y="62"/>
                              </a:lnTo>
                              <a:lnTo>
                                <a:pt x="1061" y="62"/>
                              </a:lnTo>
                              <a:lnTo>
                                <a:pt x="1064" y="62"/>
                              </a:lnTo>
                              <a:lnTo>
                                <a:pt x="1066" y="62"/>
                              </a:lnTo>
                              <a:lnTo>
                                <a:pt x="1068" y="62"/>
                              </a:lnTo>
                              <a:lnTo>
                                <a:pt x="1071" y="62"/>
                              </a:lnTo>
                              <a:lnTo>
                                <a:pt x="1073" y="62"/>
                              </a:lnTo>
                              <a:lnTo>
                                <a:pt x="1075" y="62"/>
                              </a:lnTo>
                              <a:lnTo>
                                <a:pt x="1076" y="62"/>
                              </a:lnTo>
                              <a:lnTo>
                                <a:pt x="1077" y="62"/>
                              </a:lnTo>
                              <a:lnTo>
                                <a:pt x="1078" y="62"/>
                              </a:lnTo>
                              <a:lnTo>
                                <a:pt x="1079" y="62"/>
                              </a:lnTo>
                              <a:lnTo>
                                <a:pt x="1081" y="62"/>
                              </a:lnTo>
                              <a:lnTo>
                                <a:pt x="1082" y="62"/>
                              </a:lnTo>
                              <a:lnTo>
                                <a:pt x="1084" y="62"/>
                              </a:lnTo>
                              <a:lnTo>
                                <a:pt x="1085" y="62"/>
                              </a:lnTo>
                              <a:lnTo>
                                <a:pt x="1086" y="62"/>
                              </a:lnTo>
                              <a:lnTo>
                                <a:pt x="1088" y="62"/>
                              </a:lnTo>
                              <a:lnTo>
                                <a:pt x="1089" y="62"/>
                              </a:lnTo>
                              <a:lnTo>
                                <a:pt x="1090" y="62"/>
                              </a:lnTo>
                              <a:lnTo>
                                <a:pt x="1092" y="62"/>
                              </a:lnTo>
                              <a:lnTo>
                                <a:pt x="1093" y="62"/>
                              </a:lnTo>
                              <a:lnTo>
                                <a:pt x="1094" y="61"/>
                              </a:lnTo>
                              <a:lnTo>
                                <a:pt x="1096" y="61"/>
                              </a:lnTo>
                              <a:lnTo>
                                <a:pt x="1097" y="61"/>
                              </a:lnTo>
                              <a:lnTo>
                                <a:pt x="1098" y="61"/>
                              </a:lnTo>
                              <a:lnTo>
                                <a:pt x="1100" y="61"/>
                              </a:lnTo>
                              <a:lnTo>
                                <a:pt x="1101" y="61"/>
                              </a:lnTo>
                              <a:lnTo>
                                <a:pt x="1102" y="60"/>
                              </a:lnTo>
                              <a:lnTo>
                                <a:pt x="1104" y="60"/>
                              </a:lnTo>
                              <a:lnTo>
                                <a:pt x="1105" y="59"/>
                              </a:lnTo>
                              <a:lnTo>
                                <a:pt x="1108" y="59"/>
                              </a:lnTo>
                              <a:lnTo>
                                <a:pt x="1110" y="59"/>
                              </a:lnTo>
                              <a:lnTo>
                                <a:pt x="1111" y="58"/>
                              </a:lnTo>
                              <a:lnTo>
                                <a:pt x="1112" y="58"/>
                              </a:lnTo>
                              <a:lnTo>
                                <a:pt x="1113" y="58"/>
                              </a:lnTo>
                              <a:lnTo>
                                <a:pt x="1113" y="58"/>
                              </a:lnTo>
                              <a:lnTo>
                                <a:pt x="1114" y="58"/>
                              </a:lnTo>
                              <a:lnTo>
                                <a:pt x="1114" y="58"/>
                              </a:lnTo>
                              <a:lnTo>
                                <a:pt x="1115" y="57"/>
                              </a:lnTo>
                              <a:lnTo>
                                <a:pt x="1116" y="57"/>
                              </a:lnTo>
                              <a:lnTo>
                                <a:pt x="1118" y="57"/>
                              </a:lnTo>
                              <a:lnTo>
                                <a:pt x="1119" y="57"/>
                              </a:lnTo>
                              <a:lnTo>
                                <a:pt x="1120" y="57"/>
                              </a:lnTo>
                              <a:lnTo>
                                <a:pt x="1122" y="56"/>
                              </a:lnTo>
                              <a:lnTo>
                                <a:pt x="1123" y="56"/>
                              </a:lnTo>
                              <a:lnTo>
                                <a:pt x="1124" y="56"/>
                              </a:lnTo>
                              <a:lnTo>
                                <a:pt x="1126" y="56"/>
                              </a:lnTo>
                              <a:lnTo>
                                <a:pt x="1128" y="56"/>
                              </a:lnTo>
                              <a:lnTo>
                                <a:pt x="1130" y="56"/>
                              </a:lnTo>
                              <a:lnTo>
                                <a:pt x="1131" y="56"/>
                              </a:lnTo>
                              <a:lnTo>
                                <a:pt x="1132" y="56"/>
                              </a:lnTo>
                              <a:lnTo>
                                <a:pt x="1134" y="56"/>
                              </a:lnTo>
                              <a:lnTo>
                                <a:pt x="1135" y="56"/>
                              </a:lnTo>
                              <a:lnTo>
                                <a:pt x="1136" y="56"/>
                              </a:lnTo>
                              <a:lnTo>
                                <a:pt x="1137" y="55"/>
                              </a:lnTo>
                              <a:lnTo>
                                <a:pt x="1138" y="55"/>
                              </a:lnTo>
                              <a:lnTo>
                                <a:pt x="1139" y="55"/>
                              </a:lnTo>
                              <a:lnTo>
                                <a:pt x="1140" y="55"/>
                              </a:lnTo>
                              <a:lnTo>
                                <a:pt x="1142" y="54"/>
                              </a:lnTo>
                              <a:lnTo>
                                <a:pt x="1143" y="54"/>
                              </a:lnTo>
                              <a:lnTo>
                                <a:pt x="1145" y="53"/>
                              </a:lnTo>
                              <a:lnTo>
                                <a:pt x="1148" y="53"/>
                              </a:lnTo>
                              <a:lnTo>
                                <a:pt x="1149" y="52"/>
                              </a:lnTo>
                              <a:lnTo>
                                <a:pt x="1150" y="52"/>
                              </a:lnTo>
                              <a:lnTo>
                                <a:pt x="1151" y="52"/>
                              </a:lnTo>
                              <a:lnTo>
                                <a:pt x="1151" y="52"/>
                              </a:lnTo>
                              <a:lnTo>
                                <a:pt x="1152" y="52"/>
                              </a:lnTo>
                              <a:lnTo>
                                <a:pt x="1152" y="51"/>
                              </a:lnTo>
                              <a:lnTo>
                                <a:pt x="1153" y="51"/>
                              </a:lnTo>
                              <a:lnTo>
                                <a:pt x="1154" y="51"/>
                              </a:lnTo>
                              <a:lnTo>
                                <a:pt x="1155" y="51"/>
                              </a:lnTo>
                              <a:lnTo>
                                <a:pt x="1156" y="51"/>
                              </a:lnTo>
                              <a:lnTo>
                                <a:pt x="1157" y="51"/>
                              </a:lnTo>
                              <a:lnTo>
                                <a:pt x="1158" y="51"/>
                              </a:lnTo>
                              <a:lnTo>
                                <a:pt x="1159" y="51"/>
                              </a:lnTo>
                              <a:lnTo>
                                <a:pt x="1160" y="51"/>
                              </a:lnTo>
                              <a:lnTo>
                                <a:pt x="1161" y="51"/>
                              </a:lnTo>
                              <a:lnTo>
                                <a:pt x="1163" y="51"/>
                              </a:lnTo>
                              <a:lnTo>
                                <a:pt x="1165" y="51"/>
                              </a:lnTo>
                              <a:lnTo>
                                <a:pt x="1166" y="51"/>
                              </a:lnTo>
                              <a:lnTo>
                                <a:pt x="1167" y="50"/>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157" name="Freeform 133"/>
                        <a:cNvSpPr>
                          <a:spLocks/>
                        </a:cNvSpPr>
                      </a:nvSpPr>
                      <a:spPr bwMode="auto">
                        <a:xfrm>
                          <a:off x="3929063" y="4221899"/>
                          <a:ext cx="646113" cy="1200325"/>
                        </a:xfrm>
                        <a:custGeom>
                          <a:avLst/>
                          <a:gdLst/>
                          <a:ahLst/>
                          <a:cxnLst>
                            <a:cxn ang="0">
                              <a:pos x="10" y="789"/>
                            </a:cxn>
                            <a:cxn ang="0">
                              <a:pos x="21" y="787"/>
                            </a:cxn>
                            <a:cxn ang="0">
                              <a:pos x="32" y="787"/>
                            </a:cxn>
                            <a:cxn ang="0">
                              <a:pos x="40" y="786"/>
                            </a:cxn>
                            <a:cxn ang="0">
                              <a:pos x="47" y="785"/>
                            </a:cxn>
                            <a:cxn ang="0">
                              <a:pos x="56" y="780"/>
                            </a:cxn>
                            <a:cxn ang="0">
                              <a:pos x="59" y="779"/>
                            </a:cxn>
                            <a:cxn ang="0">
                              <a:pos x="68" y="777"/>
                            </a:cxn>
                            <a:cxn ang="0">
                              <a:pos x="76" y="775"/>
                            </a:cxn>
                            <a:cxn ang="0">
                              <a:pos x="86" y="771"/>
                            </a:cxn>
                            <a:cxn ang="0">
                              <a:pos x="93" y="770"/>
                            </a:cxn>
                            <a:cxn ang="0">
                              <a:pos x="95" y="769"/>
                            </a:cxn>
                            <a:cxn ang="0">
                              <a:pos x="101" y="768"/>
                            </a:cxn>
                            <a:cxn ang="0">
                              <a:pos x="105" y="765"/>
                            </a:cxn>
                            <a:cxn ang="0">
                              <a:pos x="110" y="760"/>
                            </a:cxn>
                            <a:cxn ang="0">
                              <a:pos x="115" y="754"/>
                            </a:cxn>
                            <a:cxn ang="0">
                              <a:pos x="118" y="748"/>
                            </a:cxn>
                            <a:cxn ang="0">
                              <a:pos x="120" y="741"/>
                            </a:cxn>
                            <a:cxn ang="0">
                              <a:pos x="122" y="734"/>
                            </a:cxn>
                            <a:cxn ang="0">
                              <a:pos x="123" y="725"/>
                            </a:cxn>
                            <a:cxn ang="0">
                              <a:pos x="124" y="715"/>
                            </a:cxn>
                            <a:cxn ang="0">
                              <a:pos x="126" y="701"/>
                            </a:cxn>
                            <a:cxn ang="0">
                              <a:pos x="127" y="679"/>
                            </a:cxn>
                            <a:cxn ang="0">
                              <a:pos x="129" y="650"/>
                            </a:cxn>
                            <a:cxn ang="0">
                              <a:pos x="129" y="636"/>
                            </a:cxn>
                            <a:cxn ang="0">
                              <a:pos x="130" y="622"/>
                            </a:cxn>
                            <a:cxn ang="0">
                              <a:pos x="132" y="574"/>
                            </a:cxn>
                            <a:cxn ang="0">
                              <a:pos x="134" y="501"/>
                            </a:cxn>
                            <a:cxn ang="0">
                              <a:pos x="136" y="403"/>
                            </a:cxn>
                            <a:cxn ang="0">
                              <a:pos x="141" y="194"/>
                            </a:cxn>
                            <a:cxn ang="0">
                              <a:pos x="143" y="89"/>
                            </a:cxn>
                            <a:cxn ang="0">
                              <a:pos x="145" y="33"/>
                            </a:cxn>
                            <a:cxn ang="0">
                              <a:pos x="147" y="4"/>
                            </a:cxn>
                            <a:cxn ang="0">
                              <a:pos x="150" y="2"/>
                            </a:cxn>
                            <a:cxn ang="0">
                              <a:pos x="152" y="28"/>
                            </a:cxn>
                            <a:cxn ang="0">
                              <a:pos x="155" y="92"/>
                            </a:cxn>
                            <a:cxn ang="0">
                              <a:pos x="161" y="257"/>
                            </a:cxn>
                            <a:cxn ang="0">
                              <a:pos x="166" y="379"/>
                            </a:cxn>
                            <a:cxn ang="0">
                              <a:pos x="167" y="406"/>
                            </a:cxn>
                            <a:cxn ang="0">
                              <a:pos x="168" y="417"/>
                            </a:cxn>
                            <a:cxn ang="0">
                              <a:pos x="170" y="459"/>
                            </a:cxn>
                            <a:cxn ang="0">
                              <a:pos x="173" y="506"/>
                            </a:cxn>
                            <a:cxn ang="0">
                              <a:pos x="177" y="546"/>
                            </a:cxn>
                            <a:cxn ang="0">
                              <a:pos x="182" y="582"/>
                            </a:cxn>
                            <a:cxn ang="0">
                              <a:pos x="189" y="617"/>
                            </a:cxn>
                            <a:cxn ang="0">
                              <a:pos x="196" y="650"/>
                            </a:cxn>
                            <a:cxn ang="0">
                              <a:pos x="204" y="676"/>
                            </a:cxn>
                            <a:cxn ang="0">
                              <a:pos x="208" y="687"/>
                            </a:cxn>
                            <a:cxn ang="0">
                              <a:pos x="218" y="712"/>
                            </a:cxn>
                            <a:cxn ang="0">
                              <a:pos x="228" y="733"/>
                            </a:cxn>
                            <a:cxn ang="0">
                              <a:pos x="237" y="747"/>
                            </a:cxn>
                            <a:cxn ang="0">
                              <a:pos x="244" y="756"/>
                            </a:cxn>
                            <a:cxn ang="0">
                              <a:pos x="250" y="762"/>
                            </a:cxn>
                            <a:cxn ang="0">
                              <a:pos x="258" y="767"/>
                            </a:cxn>
                            <a:cxn ang="0">
                              <a:pos x="268" y="772"/>
                            </a:cxn>
                            <a:cxn ang="0">
                              <a:pos x="280" y="776"/>
                            </a:cxn>
                            <a:cxn ang="0">
                              <a:pos x="290" y="778"/>
                            </a:cxn>
                            <a:cxn ang="0">
                              <a:pos x="308" y="781"/>
                            </a:cxn>
                            <a:cxn ang="0">
                              <a:pos x="327" y="783"/>
                            </a:cxn>
                            <a:cxn ang="0">
                              <a:pos x="344" y="783"/>
                            </a:cxn>
                            <a:cxn ang="0">
                              <a:pos x="363" y="783"/>
                            </a:cxn>
                            <a:cxn ang="0">
                              <a:pos x="380" y="781"/>
                            </a:cxn>
                            <a:cxn ang="0">
                              <a:pos x="392" y="778"/>
                            </a:cxn>
                          </a:cxnLst>
                          <a:rect l="0" t="0" r="r" b="b"/>
                          <a:pathLst>
                            <a:path w="407" h="790">
                              <a:moveTo>
                                <a:pt x="0" y="790"/>
                              </a:moveTo>
                              <a:lnTo>
                                <a:pt x="1" y="790"/>
                              </a:lnTo>
                              <a:lnTo>
                                <a:pt x="2" y="790"/>
                              </a:lnTo>
                              <a:lnTo>
                                <a:pt x="3" y="790"/>
                              </a:lnTo>
                              <a:lnTo>
                                <a:pt x="5" y="790"/>
                              </a:lnTo>
                              <a:lnTo>
                                <a:pt x="6" y="790"/>
                              </a:lnTo>
                              <a:lnTo>
                                <a:pt x="8" y="789"/>
                              </a:lnTo>
                              <a:lnTo>
                                <a:pt x="10" y="789"/>
                              </a:lnTo>
                              <a:lnTo>
                                <a:pt x="12" y="788"/>
                              </a:lnTo>
                              <a:lnTo>
                                <a:pt x="13" y="788"/>
                              </a:lnTo>
                              <a:lnTo>
                                <a:pt x="15" y="788"/>
                              </a:lnTo>
                              <a:lnTo>
                                <a:pt x="16" y="788"/>
                              </a:lnTo>
                              <a:lnTo>
                                <a:pt x="17" y="787"/>
                              </a:lnTo>
                              <a:lnTo>
                                <a:pt x="19" y="787"/>
                              </a:lnTo>
                              <a:lnTo>
                                <a:pt x="20" y="787"/>
                              </a:lnTo>
                              <a:lnTo>
                                <a:pt x="21" y="787"/>
                              </a:lnTo>
                              <a:lnTo>
                                <a:pt x="21" y="787"/>
                              </a:lnTo>
                              <a:lnTo>
                                <a:pt x="22" y="787"/>
                              </a:lnTo>
                              <a:lnTo>
                                <a:pt x="23" y="787"/>
                              </a:lnTo>
                              <a:lnTo>
                                <a:pt x="25" y="787"/>
                              </a:lnTo>
                              <a:lnTo>
                                <a:pt x="27" y="787"/>
                              </a:lnTo>
                              <a:lnTo>
                                <a:pt x="29" y="787"/>
                              </a:lnTo>
                              <a:lnTo>
                                <a:pt x="31" y="787"/>
                              </a:lnTo>
                              <a:lnTo>
                                <a:pt x="32" y="787"/>
                              </a:lnTo>
                              <a:lnTo>
                                <a:pt x="34" y="787"/>
                              </a:lnTo>
                              <a:lnTo>
                                <a:pt x="35" y="787"/>
                              </a:lnTo>
                              <a:lnTo>
                                <a:pt x="36" y="787"/>
                              </a:lnTo>
                              <a:lnTo>
                                <a:pt x="37" y="787"/>
                              </a:lnTo>
                              <a:lnTo>
                                <a:pt x="38" y="787"/>
                              </a:lnTo>
                              <a:lnTo>
                                <a:pt x="39" y="787"/>
                              </a:lnTo>
                              <a:lnTo>
                                <a:pt x="39" y="787"/>
                              </a:lnTo>
                              <a:lnTo>
                                <a:pt x="40" y="786"/>
                              </a:lnTo>
                              <a:lnTo>
                                <a:pt x="41" y="786"/>
                              </a:lnTo>
                              <a:lnTo>
                                <a:pt x="42" y="786"/>
                              </a:lnTo>
                              <a:lnTo>
                                <a:pt x="43" y="786"/>
                              </a:lnTo>
                              <a:lnTo>
                                <a:pt x="43" y="786"/>
                              </a:lnTo>
                              <a:lnTo>
                                <a:pt x="44" y="786"/>
                              </a:lnTo>
                              <a:lnTo>
                                <a:pt x="45" y="785"/>
                              </a:lnTo>
                              <a:lnTo>
                                <a:pt x="46" y="785"/>
                              </a:lnTo>
                              <a:lnTo>
                                <a:pt x="47" y="785"/>
                              </a:lnTo>
                              <a:lnTo>
                                <a:pt x="47" y="784"/>
                              </a:lnTo>
                              <a:lnTo>
                                <a:pt x="48" y="784"/>
                              </a:lnTo>
                              <a:lnTo>
                                <a:pt x="49" y="783"/>
                              </a:lnTo>
                              <a:lnTo>
                                <a:pt x="51" y="783"/>
                              </a:lnTo>
                              <a:lnTo>
                                <a:pt x="52" y="782"/>
                              </a:lnTo>
                              <a:lnTo>
                                <a:pt x="54" y="781"/>
                              </a:lnTo>
                              <a:lnTo>
                                <a:pt x="55" y="780"/>
                              </a:lnTo>
                              <a:lnTo>
                                <a:pt x="56" y="780"/>
                              </a:lnTo>
                              <a:lnTo>
                                <a:pt x="56" y="780"/>
                              </a:lnTo>
                              <a:lnTo>
                                <a:pt x="57" y="780"/>
                              </a:lnTo>
                              <a:lnTo>
                                <a:pt x="57" y="779"/>
                              </a:lnTo>
                              <a:lnTo>
                                <a:pt x="58" y="779"/>
                              </a:lnTo>
                              <a:lnTo>
                                <a:pt x="58" y="779"/>
                              </a:lnTo>
                              <a:lnTo>
                                <a:pt x="58" y="779"/>
                              </a:lnTo>
                              <a:lnTo>
                                <a:pt x="59" y="779"/>
                              </a:lnTo>
                              <a:lnTo>
                                <a:pt x="59" y="779"/>
                              </a:lnTo>
                              <a:lnTo>
                                <a:pt x="60" y="778"/>
                              </a:lnTo>
                              <a:lnTo>
                                <a:pt x="61" y="778"/>
                              </a:lnTo>
                              <a:lnTo>
                                <a:pt x="62" y="778"/>
                              </a:lnTo>
                              <a:lnTo>
                                <a:pt x="63" y="778"/>
                              </a:lnTo>
                              <a:lnTo>
                                <a:pt x="64" y="777"/>
                              </a:lnTo>
                              <a:lnTo>
                                <a:pt x="65" y="777"/>
                              </a:lnTo>
                              <a:lnTo>
                                <a:pt x="66" y="777"/>
                              </a:lnTo>
                              <a:lnTo>
                                <a:pt x="68" y="777"/>
                              </a:lnTo>
                              <a:lnTo>
                                <a:pt x="69" y="777"/>
                              </a:lnTo>
                              <a:lnTo>
                                <a:pt x="70" y="777"/>
                              </a:lnTo>
                              <a:lnTo>
                                <a:pt x="71" y="776"/>
                              </a:lnTo>
                              <a:lnTo>
                                <a:pt x="72" y="776"/>
                              </a:lnTo>
                              <a:lnTo>
                                <a:pt x="73" y="776"/>
                              </a:lnTo>
                              <a:lnTo>
                                <a:pt x="74" y="776"/>
                              </a:lnTo>
                              <a:lnTo>
                                <a:pt x="75" y="775"/>
                              </a:lnTo>
                              <a:lnTo>
                                <a:pt x="76" y="775"/>
                              </a:lnTo>
                              <a:lnTo>
                                <a:pt x="77" y="775"/>
                              </a:lnTo>
                              <a:lnTo>
                                <a:pt x="79" y="774"/>
                              </a:lnTo>
                              <a:lnTo>
                                <a:pt x="80" y="774"/>
                              </a:lnTo>
                              <a:lnTo>
                                <a:pt x="82" y="773"/>
                              </a:lnTo>
                              <a:lnTo>
                                <a:pt x="83" y="772"/>
                              </a:lnTo>
                              <a:lnTo>
                                <a:pt x="85" y="772"/>
                              </a:lnTo>
                              <a:lnTo>
                                <a:pt x="86" y="771"/>
                              </a:lnTo>
                              <a:lnTo>
                                <a:pt x="86" y="771"/>
                              </a:lnTo>
                              <a:lnTo>
                                <a:pt x="87" y="771"/>
                              </a:lnTo>
                              <a:lnTo>
                                <a:pt x="88" y="770"/>
                              </a:lnTo>
                              <a:lnTo>
                                <a:pt x="89" y="770"/>
                              </a:lnTo>
                              <a:lnTo>
                                <a:pt x="91" y="770"/>
                              </a:lnTo>
                              <a:lnTo>
                                <a:pt x="92" y="770"/>
                              </a:lnTo>
                              <a:lnTo>
                                <a:pt x="92" y="770"/>
                              </a:lnTo>
                              <a:lnTo>
                                <a:pt x="92" y="770"/>
                              </a:lnTo>
                              <a:lnTo>
                                <a:pt x="93" y="770"/>
                              </a:lnTo>
                              <a:lnTo>
                                <a:pt x="93" y="770"/>
                              </a:lnTo>
                              <a:lnTo>
                                <a:pt x="93" y="770"/>
                              </a:lnTo>
                              <a:lnTo>
                                <a:pt x="94" y="769"/>
                              </a:lnTo>
                              <a:lnTo>
                                <a:pt x="94" y="769"/>
                              </a:lnTo>
                              <a:lnTo>
                                <a:pt x="94" y="769"/>
                              </a:lnTo>
                              <a:lnTo>
                                <a:pt x="94" y="769"/>
                              </a:lnTo>
                              <a:lnTo>
                                <a:pt x="95" y="769"/>
                              </a:lnTo>
                              <a:lnTo>
                                <a:pt x="95" y="769"/>
                              </a:lnTo>
                              <a:lnTo>
                                <a:pt x="95" y="769"/>
                              </a:lnTo>
                              <a:lnTo>
                                <a:pt x="96" y="769"/>
                              </a:lnTo>
                              <a:lnTo>
                                <a:pt x="97" y="769"/>
                              </a:lnTo>
                              <a:lnTo>
                                <a:pt x="98" y="769"/>
                              </a:lnTo>
                              <a:lnTo>
                                <a:pt x="99" y="768"/>
                              </a:lnTo>
                              <a:lnTo>
                                <a:pt x="99" y="768"/>
                              </a:lnTo>
                              <a:lnTo>
                                <a:pt x="100" y="768"/>
                              </a:lnTo>
                              <a:lnTo>
                                <a:pt x="101" y="768"/>
                              </a:lnTo>
                              <a:lnTo>
                                <a:pt x="101" y="767"/>
                              </a:lnTo>
                              <a:lnTo>
                                <a:pt x="102" y="767"/>
                              </a:lnTo>
                              <a:lnTo>
                                <a:pt x="102" y="767"/>
                              </a:lnTo>
                              <a:lnTo>
                                <a:pt x="103" y="766"/>
                              </a:lnTo>
                              <a:lnTo>
                                <a:pt x="104" y="766"/>
                              </a:lnTo>
                              <a:lnTo>
                                <a:pt x="104" y="766"/>
                              </a:lnTo>
                              <a:lnTo>
                                <a:pt x="105" y="765"/>
                              </a:lnTo>
                              <a:lnTo>
                                <a:pt x="105" y="765"/>
                              </a:lnTo>
                              <a:lnTo>
                                <a:pt x="106" y="764"/>
                              </a:lnTo>
                              <a:lnTo>
                                <a:pt x="107" y="764"/>
                              </a:lnTo>
                              <a:lnTo>
                                <a:pt x="107" y="763"/>
                              </a:lnTo>
                              <a:lnTo>
                                <a:pt x="108" y="763"/>
                              </a:lnTo>
                              <a:lnTo>
                                <a:pt x="108" y="762"/>
                              </a:lnTo>
                              <a:lnTo>
                                <a:pt x="109" y="761"/>
                              </a:lnTo>
                              <a:lnTo>
                                <a:pt x="110" y="761"/>
                              </a:lnTo>
                              <a:lnTo>
                                <a:pt x="110" y="760"/>
                              </a:lnTo>
                              <a:lnTo>
                                <a:pt x="111" y="759"/>
                              </a:lnTo>
                              <a:lnTo>
                                <a:pt x="111" y="759"/>
                              </a:lnTo>
                              <a:lnTo>
                                <a:pt x="112" y="758"/>
                              </a:lnTo>
                              <a:lnTo>
                                <a:pt x="113" y="757"/>
                              </a:lnTo>
                              <a:lnTo>
                                <a:pt x="113" y="756"/>
                              </a:lnTo>
                              <a:lnTo>
                                <a:pt x="114" y="755"/>
                              </a:lnTo>
                              <a:lnTo>
                                <a:pt x="115" y="755"/>
                              </a:lnTo>
                              <a:lnTo>
                                <a:pt x="115" y="754"/>
                              </a:lnTo>
                              <a:lnTo>
                                <a:pt x="116" y="753"/>
                              </a:lnTo>
                              <a:lnTo>
                                <a:pt x="116" y="752"/>
                              </a:lnTo>
                              <a:lnTo>
                                <a:pt x="116" y="751"/>
                              </a:lnTo>
                              <a:lnTo>
                                <a:pt x="117" y="751"/>
                              </a:lnTo>
                              <a:lnTo>
                                <a:pt x="117" y="750"/>
                              </a:lnTo>
                              <a:lnTo>
                                <a:pt x="118" y="749"/>
                              </a:lnTo>
                              <a:lnTo>
                                <a:pt x="118" y="748"/>
                              </a:lnTo>
                              <a:lnTo>
                                <a:pt x="118" y="748"/>
                              </a:lnTo>
                              <a:lnTo>
                                <a:pt x="119" y="747"/>
                              </a:lnTo>
                              <a:lnTo>
                                <a:pt x="119" y="746"/>
                              </a:lnTo>
                              <a:lnTo>
                                <a:pt x="119" y="745"/>
                              </a:lnTo>
                              <a:lnTo>
                                <a:pt x="119" y="745"/>
                              </a:lnTo>
                              <a:lnTo>
                                <a:pt x="120" y="744"/>
                              </a:lnTo>
                              <a:lnTo>
                                <a:pt x="120" y="743"/>
                              </a:lnTo>
                              <a:lnTo>
                                <a:pt x="120" y="742"/>
                              </a:lnTo>
                              <a:lnTo>
                                <a:pt x="120" y="741"/>
                              </a:lnTo>
                              <a:lnTo>
                                <a:pt x="121" y="740"/>
                              </a:lnTo>
                              <a:lnTo>
                                <a:pt x="121" y="740"/>
                              </a:lnTo>
                              <a:lnTo>
                                <a:pt x="121" y="739"/>
                              </a:lnTo>
                              <a:lnTo>
                                <a:pt x="121" y="738"/>
                              </a:lnTo>
                              <a:lnTo>
                                <a:pt x="121" y="737"/>
                              </a:lnTo>
                              <a:lnTo>
                                <a:pt x="122" y="736"/>
                              </a:lnTo>
                              <a:lnTo>
                                <a:pt x="122" y="735"/>
                              </a:lnTo>
                              <a:lnTo>
                                <a:pt x="122" y="734"/>
                              </a:lnTo>
                              <a:lnTo>
                                <a:pt x="122" y="733"/>
                              </a:lnTo>
                              <a:lnTo>
                                <a:pt x="122" y="732"/>
                              </a:lnTo>
                              <a:lnTo>
                                <a:pt x="122" y="731"/>
                              </a:lnTo>
                              <a:lnTo>
                                <a:pt x="123" y="730"/>
                              </a:lnTo>
                              <a:lnTo>
                                <a:pt x="123" y="729"/>
                              </a:lnTo>
                              <a:lnTo>
                                <a:pt x="123" y="728"/>
                              </a:lnTo>
                              <a:lnTo>
                                <a:pt x="123" y="727"/>
                              </a:lnTo>
                              <a:lnTo>
                                <a:pt x="123" y="725"/>
                              </a:lnTo>
                              <a:lnTo>
                                <a:pt x="123" y="724"/>
                              </a:lnTo>
                              <a:lnTo>
                                <a:pt x="124" y="723"/>
                              </a:lnTo>
                              <a:lnTo>
                                <a:pt x="124" y="722"/>
                              </a:lnTo>
                              <a:lnTo>
                                <a:pt x="124" y="721"/>
                              </a:lnTo>
                              <a:lnTo>
                                <a:pt x="124" y="719"/>
                              </a:lnTo>
                              <a:lnTo>
                                <a:pt x="124" y="718"/>
                              </a:lnTo>
                              <a:lnTo>
                                <a:pt x="124" y="717"/>
                              </a:lnTo>
                              <a:lnTo>
                                <a:pt x="124" y="715"/>
                              </a:lnTo>
                              <a:lnTo>
                                <a:pt x="125" y="714"/>
                              </a:lnTo>
                              <a:lnTo>
                                <a:pt x="125" y="712"/>
                              </a:lnTo>
                              <a:lnTo>
                                <a:pt x="125" y="711"/>
                              </a:lnTo>
                              <a:lnTo>
                                <a:pt x="125" y="709"/>
                              </a:lnTo>
                              <a:lnTo>
                                <a:pt x="125" y="708"/>
                              </a:lnTo>
                              <a:lnTo>
                                <a:pt x="125" y="706"/>
                              </a:lnTo>
                              <a:lnTo>
                                <a:pt x="126" y="703"/>
                              </a:lnTo>
                              <a:lnTo>
                                <a:pt x="126" y="701"/>
                              </a:lnTo>
                              <a:lnTo>
                                <a:pt x="126" y="699"/>
                              </a:lnTo>
                              <a:lnTo>
                                <a:pt x="126" y="696"/>
                              </a:lnTo>
                              <a:lnTo>
                                <a:pt x="126" y="693"/>
                              </a:lnTo>
                              <a:lnTo>
                                <a:pt x="126" y="691"/>
                              </a:lnTo>
                              <a:lnTo>
                                <a:pt x="127" y="688"/>
                              </a:lnTo>
                              <a:lnTo>
                                <a:pt x="127" y="685"/>
                              </a:lnTo>
                              <a:lnTo>
                                <a:pt x="127" y="682"/>
                              </a:lnTo>
                              <a:lnTo>
                                <a:pt x="127" y="679"/>
                              </a:lnTo>
                              <a:lnTo>
                                <a:pt x="127" y="676"/>
                              </a:lnTo>
                              <a:lnTo>
                                <a:pt x="127" y="672"/>
                              </a:lnTo>
                              <a:lnTo>
                                <a:pt x="128" y="669"/>
                              </a:lnTo>
                              <a:lnTo>
                                <a:pt x="128" y="665"/>
                              </a:lnTo>
                              <a:lnTo>
                                <a:pt x="128" y="662"/>
                              </a:lnTo>
                              <a:lnTo>
                                <a:pt x="128" y="658"/>
                              </a:lnTo>
                              <a:lnTo>
                                <a:pt x="128" y="654"/>
                              </a:lnTo>
                              <a:lnTo>
                                <a:pt x="129" y="650"/>
                              </a:lnTo>
                              <a:lnTo>
                                <a:pt x="129" y="648"/>
                              </a:lnTo>
                              <a:lnTo>
                                <a:pt x="129" y="647"/>
                              </a:lnTo>
                              <a:lnTo>
                                <a:pt x="129" y="645"/>
                              </a:lnTo>
                              <a:lnTo>
                                <a:pt x="129" y="643"/>
                              </a:lnTo>
                              <a:lnTo>
                                <a:pt x="129" y="642"/>
                              </a:lnTo>
                              <a:lnTo>
                                <a:pt x="129" y="640"/>
                              </a:lnTo>
                              <a:lnTo>
                                <a:pt x="129" y="638"/>
                              </a:lnTo>
                              <a:lnTo>
                                <a:pt x="129" y="636"/>
                              </a:lnTo>
                              <a:lnTo>
                                <a:pt x="129" y="635"/>
                              </a:lnTo>
                              <a:lnTo>
                                <a:pt x="129" y="633"/>
                              </a:lnTo>
                              <a:lnTo>
                                <a:pt x="130" y="631"/>
                              </a:lnTo>
                              <a:lnTo>
                                <a:pt x="130" y="629"/>
                              </a:lnTo>
                              <a:lnTo>
                                <a:pt x="130" y="627"/>
                              </a:lnTo>
                              <a:lnTo>
                                <a:pt x="130" y="625"/>
                              </a:lnTo>
                              <a:lnTo>
                                <a:pt x="130" y="624"/>
                              </a:lnTo>
                              <a:lnTo>
                                <a:pt x="130" y="622"/>
                              </a:lnTo>
                              <a:lnTo>
                                <a:pt x="130" y="618"/>
                              </a:lnTo>
                              <a:lnTo>
                                <a:pt x="130" y="614"/>
                              </a:lnTo>
                              <a:lnTo>
                                <a:pt x="130" y="609"/>
                              </a:lnTo>
                              <a:lnTo>
                                <a:pt x="131" y="604"/>
                              </a:lnTo>
                              <a:lnTo>
                                <a:pt x="131" y="597"/>
                              </a:lnTo>
                              <a:lnTo>
                                <a:pt x="131" y="590"/>
                              </a:lnTo>
                              <a:lnTo>
                                <a:pt x="131" y="582"/>
                              </a:lnTo>
                              <a:lnTo>
                                <a:pt x="132" y="574"/>
                              </a:lnTo>
                              <a:lnTo>
                                <a:pt x="132" y="566"/>
                              </a:lnTo>
                              <a:lnTo>
                                <a:pt x="132" y="558"/>
                              </a:lnTo>
                              <a:lnTo>
                                <a:pt x="132" y="550"/>
                              </a:lnTo>
                              <a:lnTo>
                                <a:pt x="133" y="541"/>
                              </a:lnTo>
                              <a:lnTo>
                                <a:pt x="133" y="532"/>
                              </a:lnTo>
                              <a:lnTo>
                                <a:pt x="133" y="522"/>
                              </a:lnTo>
                              <a:lnTo>
                                <a:pt x="133" y="511"/>
                              </a:lnTo>
                              <a:lnTo>
                                <a:pt x="134" y="501"/>
                              </a:lnTo>
                              <a:lnTo>
                                <a:pt x="134" y="490"/>
                              </a:lnTo>
                              <a:lnTo>
                                <a:pt x="134" y="479"/>
                              </a:lnTo>
                              <a:lnTo>
                                <a:pt x="135" y="468"/>
                              </a:lnTo>
                              <a:lnTo>
                                <a:pt x="135" y="456"/>
                              </a:lnTo>
                              <a:lnTo>
                                <a:pt x="135" y="444"/>
                              </a:lnTo>
                              <a:lnTo>
                                <a:pt x="135" y="430"/>
                              </a:lnTo>
                              <a:lnTo>
                                <a:pt x="136" y="417"/>
                              </a:lnTo>
                              <a:lnTo>
                                <a:pt x="136" y="403"/>
                              </a:lnTo>
                              <a:lnTo>
                                <a:pt x="137" y="385"/>
                              </a:lnTo>
                              <a:lnTo>
                                <a:pt x="137" y="361"/>
                              </a:lnTo>
                              <a:lnTo>
                                <a:pt x="138" y="334"/>
                              </a:lnTo>
                              <a:lnTo>
                                <a:pt x="138" y="300"/>
                              </a:lnTo>
                              <a:lnTo>
                                <a:pt x="139" y="264"/>
                              </a:lnTo>
                              <a:lnTo>
                                <a:pt x="140" y="235"/>
                              </a:lnTo>
                              <a:lnTo>
                                <a:pt x="140" y="213"/>
                              </a:lnTo>
                              <a:lnTo>
                                <a:pt x="141" y="194"/>
                              </a:lnTo>
                              <a:lnTo>
                                <a:pt x="141" y="177"/>
                              </a:lnTo>
                              <a:lnTo>
                                <a:pt x="141" y="162"/>
                              </a:lnTo>
                              <a:lnTo>
                                <a:pt x="142" y="147"/>
                              </a:lnTo>
                              <a:lnTo>
                                <a:pt x="142" y="134"/>
                              </a:lnTo>
                              <a:lnTo>
                                <a:pt x="142" y="121"/>
                              </a:lnTo>
                              <a:lnTo>
                                <a:pt x="143" y="110"/>
                              </a:lnTo>
                              <a:lnTo>
                                <a:pt x="143" y="99"/>
                              </a:lnTo>
                              <a:lnTo>
                                <a:pt x="143" y="89"/>
                              </a:lnTo>
                              <a:lnTo>
                                <a:pt x="144" y="81"/>
                              </a:lnTo>
                              <a:lnTo>
                                <a:pt x="144" y="73"/>
                              </a:lnTo>
                              <a:lnTo>
                                <a:pt x="144" y="65"/>
                              </a:lnTo>
                              <a:lnTo>
                                <a:pt x="144" y="58"/>
                              </a:lnTo>
                              <a:lnTo>
                                <a:pt x="145" y="51"/>
                              </a:lnTo>
                              <a:lnTo>
                                <a:pt x="145" y="45"/>
                              </a:lnTo>
                              <a:lnTo>
                                <a:pt x="145" y="39"/>
                              </a:lnTo>
                              <a:lnTo>
                                <a:pt x="145" y="33"/>
                              </a:lnTo>
                              <a:lnTo>
                                <a:pt x="146" y="28"/>
                              </a:lnTo>
                              <a:lnTo>
                                <a:pt x="146" y="23"/>
                              </a:lnTo>
                              <a:lnTo>
                                <a:pt x="146" y="19"/>
                              </a:lnTo>
                              <a:lnTo>
                                <a:pt x="146" y="15"/>
                              </a:lnTo>
                              <a:lnTo>
                                <a:pt x="147" y="11"/>
                              </a:lnTo>
                              <a:lnTo>
                                <a:pt x="147" y="8"/>
                              </a:lnTo>
                              <a:lnTo>
                                <a:pt x="147" y="6"/>
                              </a:lnTo>
                              <a:lnTo>
                                <a:pt x="147" y="4"/>
                              </a:lnTo>
                              <a:lnTo>
                                <a:pt x="148" y="2"/>
                              </a:lnTo>
                              <a:lnTo>
                                <a:pt x="148" y="1"/>
                              </a:lnTo>
                              <a:lnTo>
                                <a:pt x="148" y="0"/>
                              </a:lnTo>
                              <a:lnTo>
                                <a:pt x="149" y="0"/>
                              </a:lnTo>
                              <a:lnTo>
                                <a:pt x="149" y="0"/>
                              </a:lnTo>
                              <a:lnTo>
                                <a:pt x="149" y="0"/>
                              </a:lnTo>
                              <a:lnTo>
                                <a:pt x="149" y="1"/>
                              </a:lnTo>
                              <a:lnTo>
                                <a:pt x="150" y="2"/>
                              </a:lnTo>
                              <a:lnTo>
                                <a:pt x="150" y="4"/>
                              </a:lnTo>
                              <a:lnTo>
                                <a:pt x="150" y="6"/>
                              </a:lnTo>
                              <a:lnTo>
                                <a:pt x="150" y="8"/>
                              </a:lnTo>
                              <a:lnTo>
                                <a:pt x="151" y="11"/>
                              </a:lnTo>
                              <a:lnTo>
                                <a:pt x="151" y="15"/>
                              </a:lnTo>
                              <a:lnTo>
                                <a:pt x="151" y="19"/>
                              </a:lnTo>
                              <a:lnTo>
                                <a:pt x="152" y="23"/>
                              </a:lnTo>
                              <a:lnTo>
                                <a:pt x="152" y="28"/>
                              </a:lnTo>
                              <a:lnTo>
                                <a:pt x="152" y="34"/>
                              </a:lnTo>
                              <a:lnTo>
                                <a:pt x="152" y="40"/>
                              </a:lnTo>
                              <a:lnTo>
                                <a:pt x="153" y="47"/>
                              </a:lnTo>
                              <a:lnTo>
                                <a:pt x="153" y="54"/>
                              </a:lnTo>
                              <a:lnTo>
                                <a:pt x="154" y="62"/>
                              </a:lnTo>
                              <a:lnTo>
                                <a:pt x="154" y="71"/>
                              </a:lnTo>
                              <a:lnTo>
                                <a:pt x="154" y="81"/>
                              </a:lnTo>
                              <a:lnTo>
                                <a:pt x="155" y="92"/>
                              </a:lnTo>
                              <a:lnTo>
                                <a:pt x="155" y="104"/>
                              </a:lnTo>
                              <a:lnTo>
                                <a:pt x="156" y="117"/>
                              </a:lnTo>
                              <a:lnTo>
                                <a:pt x="156" y="133"/>
                              </a:lnTo>
                              <a:lnTo>
                                <a:pt x="157" y="150"/>
                              </a:lnTo>
                              <a:lnTo>
                                <a:pt x="158" y="172"/>
                              </a:lnTo>
                              <a:lnTo>
                                <a:pt x="159" y="203"/>
                              </a:lnTo>
                              <a:lnTo>
                                <a:pt x="160" y="234"/>
                              </a:lnTo>
                              <a:lnTo>
                                <a:pt x="161" y="257"/>
                              </a:lnTo>
                              <a:lnTo>
                                <a:pt x="161" y="276"/>
                              </a:lnTo>
                              <a:lnTo>
                                <a:pt x="162" y="294"/>
                              </a:lnTo>
                              <a:lnTo>
                                <a:pt x="163" y="311"/>
                              </a:lnTo>
                              <a:lnTo>
                                <a:pt x="163" y="327"/>
                              </a:lnTo>
                              <a:lnTo>
                                <a:pt x="164" y="341"/>
                              </a:lnTo>
                              <a:lnTo>
                                <a:pt x="164" y="355"/>
                              </a:lnTo>
                              <a:lnTo>
                                <a:pt x="165" y="368"/>
                              </a:lnTo>
                              <a:lnTo>
                                <a:pt x="166" y="379"/>
                              </a:lnTo>
                              <a:lnTo>
                                <a:pt x="166" y="386"/>
                              </a:lnTo>
                              <a:lnTo>
                                <a:pt x="166" y="391"/>
                              </a:lnTo>
                              <a:lnTo>
                                <a:pt x="166" y="395"/>
                              </a:lnTo>
                              <a:lnTo>
                                <a:pt x="166" y="397"/>
                              </a:lnTo>
                              <a:lnTo>
                                <a:pt x="166" y="400"/>
                              </a:lnTo>
                              <a:lnTo>
                                <a:pt x="167" y="402"/>
                              </a:lnTo>
                              <a:lnTo>
                                <a:pt x="167" y="404"/>
                              </a:lnTo>
                              <a:lnTo>
                                <a:pt x="167" y="406"/>
                              </a:lnTo>
                              <a:lnTo>
                                <a:pt x="167" y="407"/>
                              </a:lnTo>
                              <a:lnTo>
                                <a:pt x="167" y="409"/>
                              </a:lnTo>
                              <a:lnTo>
                                <a:pt x="167" y="410"/>
                              </a:lnTo>
                              <a:lnTo>
                                <a:pt x="167" y="412"/>
                              </a:lnTo>
                              <a:lnTo>
                                <a:pt x="167" y="413"/>
                              </a:lnTo>
                              <a:lnTo>
                                <a:pt x="167" y="414"/>
                              </a:lnTo>
                              <a:lnTo>
                                <a:pt x="167" y="416"/>
                              </a:lnTo>
                              <a:lnTo>
                                <a:pt x="168" y="417"/>
                              </a:lnTo>
                              <a:lnTo>
                                <a:pt x="168" y="419"/>
                              </a:lnTo>
                              <a:lnTo>
                                <a:pt x="168" y="420"/>
                              </a:lnTo>
                              <a:lnTo>
                                <a:pt x="168" y="424"/>
                              </a:lnTo>
                              <a:lnTo>
                                <a:pt x="168" y="432"/>
                              </a:lnTo>
                              <a:lnTo>
                                <a:pt x="169" y="439"/>
                              </a:lnTo>
                              <a:lnTo>
                                <a:pt x="169" y="446"/>
                              </a:lnTo>
                              <a:lnTo>
                                <a:pt x="169" y="453"/>
                              </a:lnTo>
                              <a:lnTo>
                                <a:pt x="170" y="459"/>
                              </a:lnTo>
                              <a:lnTo>
                                <a:pt x="170" y="466"/>
                              </a:lnTo>
                              <a:lnTo>
                                <a:pt x="171" y="472"/>
                              </a:lnTo>
                              <a:lnTo>
                                <a:pt x="171" y="478"/>
                              </a:lnTo>
                              <a:lnTo>
                                <a:pt x="171" y="483"/>
                              </a:lnTo>
                              <a:lnTo>
                                <a:pt x="172" y="489"/>
                              </a:lnTo>
                              <a:lnTo>
                                <a:pt x="172" y="495"/>
                              </a:lnTo>
                              <a:lnTo>
                                <a:pt x="173" y="501"/>
                              </a:lnTo>
                              <a:lnTo>
                                <a:pt x="173" y="506"/>
                              </a:lnTo>
                              <a:lnTo>
                                <a:pt x="174" y="511"/>
                              </a:lnTo>
                              <a:lnTo>
                                <a:pt x="174" y="516"/>
                              </a:lnTo>
                              <a:lnTo>
                                <a:pt x="174" y="522"/>
                              </a:lnTo>
                              <a:lnTo>
                                <a:pt x="175" y="526"/>
                              </a:lnTo>
                              <a:lnTo>
                                <a:pt x="175" y="531"/>
                              </a:lnTo>
                              <a:lnTo>
                                <a:pt x="176" y="536"/>
                              </a:lnTo>
                              <a:lnTo>
                                <a:pt x="176" y="541"/>
                              </a:lnTo>
                              <a:lnTo>
                                <a:pt x="177" y="546"/>
                              </a:lnTo>
                              <a:lnTo>
                                <a:pt x="178" y="550"/>
                              </a:lnTo>
                              <a:lnTo>
                                <a:pt x="178" y="555"/>
                              </a:lnTo>
                              <a:lnTo>
                                <a:pt x="179" y="559"/>
                              </a:lnTo>
                              <a:lnTo>
                                <a:pt x="179" y="564"/>
                              </a:lnTo>
                              <a:lnTo>
                                <a:pt x="180" y="568"/>
                              </a:lnTo>
                              <a:lnTo>
                                <a:pt x="181" y="573"/>
                              </a:lnTo>
                              <a:lnTo>
                                <a:pt x="181" y="577"/>
                              </a:lnTo>
                              <a:lnTo>
                                <a:pt x="182" y="582"/>
                              </a:lnTo>
                              <a:lnTo>
                                <a:pt x="183" y="587"/>
                              </a:lnTo>
                              <a:lnTo>
                                <a:pt x="184" y="591"/>
                              </a:lnTo>
                              <a:lnTo>
                                <a:pt x="184" y="596"/>
                              </a:lnTo>
                              <a:lnTo>
                                <a:pt x="185" y="601"/>
                              </a:lnTo>
                              <a:lnTo>
                                <a:pt x="186" y="605"/>
                              </a:lnTo>
                              <a:lnTo>
                                <a:pt x="187" y="609"/>
                              </a:lnTo>
                              <a:lnTo>
                                <a:pt x="188" y="613"/>
                              </a:lnTo>
                              <a:lnTo>
                                <a:pt x="189" y="617"/>
                              </a:lnTo>
                              <a:lnTo>
                                <a:pt x="190" y="621"/>
                              </a:lnTo>
                              <a:lnTo>
                                <a:pt x="191" y="625"/>
                              </a:lnTo>
                              <a:lnTo>
                                <a:pt x="191" y="629"/>
                              </a:lnTo>
                              <a:lnTo>
                                <a:pt x="192" y="634"/>
                              </a:lnTo>
                              <a:lnTo>
                                <a:pt x="193" y="638"/>
                              </a:lnTo>
                              <a:lnTo>
                                <a:pt x="194" y="642"/>
                              </a:lnTo>
                              <a:lnTo>
                                <a:pt x="195" y="646"/>
                              </a:lnTo>
                              <a:lnTo>
                                <a:pt x="196" y="650"/>
                              </a:lnTo>
                              <a:lnTo>
                                <a:pt x="197" y="654"/>
                              </a:lnTo>
                              <a:lnTo>
                                <a:pt x="198" y="657"/>
                              </a:lnTo>
                              <a:lnTo>
                                <a:pt x="199" y="661"/>
                              </a:lnTo>
                              <a:lnTo>
                                <a:pt x="200" y="665"/>
                              </a:lnTo>
                              <a:lnTo>
                                <a:pt x="201" y="668"/>
                              </a:lnTo>
                              <a:lnTo>
                                <a:pt x="202" y="672"/>
                              </a:lnTo>
                              <a:lnTo>
                                <a:pt x="203" y="674"/>
                              </a:lnTo>
                              <a:lnTo>
                                <a:pt x="204" y="676"/>
                              </a:lnTo>
                              <a:lnTo>
                                <a:pt x="205" y="678"/>
                              </a:lnTo>
                              <a:lnTo>
                                <a:pt x="205" y="680"/>
                              </a:lnTo>
                              <a:lnTo>
                                <a:pt x="206" y="681"/>
                              </a:lnTo>
                              <a:lnTo>
                                <a:pt x="206" y="682"/>
                              </a:lnTo>
                              <a:lnTo>
                                <a:pt x="206" y="683"/>
                              </a:lnTo>
                              <a:lnTo>
                                <a:pt x="207" y="684"/>
                              </a:lnTo>
                              <a:lnTo>
                                <a:pt x="207" y="685"/>
                              </a:lnTo>
                              <a:lnTo>
                                <a:pt x="208" y="687"/>
                              </a:lnTo>
                              <a:lnTo>
                                <a:pt x="209" y="690"/>
                              </a:lnTo>
                              <a:lnTo>
                                <a:pt x="210" y="694"/>
                              </a:lnTo>
                              <a:lnTo>
                                <a:pt x="211" y="697"/>
                              </a:lnTo>
                              <a:lnTo>
                                <a:pt x="213" y="700"/>
                              </a:lnTo>
                              <a:lnTo>
                                <a:pt x="214" y="704"/>
                              </a:lnTo>
                              <a:lnTo>
                                <a:pt x="216" y="707"/>
                              </a:lnTo>
                              <a:lnTo>
                                <a:pt x="217" y="709"/>
                              </a:lnTo>
                              <a:lnTo>
                                <a:pt x="218" y="712"/>
                              </a:lnTo>
                              <a:lnTo>
                                <a:pt x="219" y="715"/>
                              </a:lnTo>
                              <a:lnTo>
                                <a:pt x="221" y="718"/>
                              </a:lnTo>
                              <a:lnTo>
                                <a:pt x="222" y="720"/>
                              </a:lnTo>
                              <a:lnTo>
                                <a:pt x="223" y="723"/>
                              </a:lnTo>
                              <a:lnTo>
                                <a:pt x="225" y="726"/>
                              </a:lnTo>
                              <a:lnTo>
                                <a:pt x="226" y="728"/>
                              </a:lnTo>
                              <a:lnTo>
                                <a:pt x="227" y="731"/>
                              </a:lnTo>
                              <a:lnTo>
                                <a:pt x="228" y="733"/>
                              </a:lnTo>
                              <a:lnTo>
                                <a:pt x="229" y="735"/>
                              </a:lnTo>
                              <a:lnTo>
                                <a:pt x="230" y="737"/>
                              </a:lnTo>
                              <a:lnTo>
                                <a:pt x="231" y="739"/>
                              </a:lnTo>
                              <a:lnTo>
                                <a:pt x="233" y="740"/>
                              </a:lnTo>
                              <a:lnTo>
                                <a:pt x="234" y="742"/>
                              </a:lnTo>
                              <a:lnTo>
                                <a:pt x="235" y="744"/>
                              </a:lnTo>
                              <a:lnTo>
                                <a:pt x="236" y="745"/>
                              </a:lnTo>
                              <a:lnTo>
                                <a:pt x="237" y="747"/>
                              </a:lnTo>
                              <a:lnTo>
                                <a:pt x="238" y="748"/>
                              </a:lnTo>
                              <a:lnTo>
                                <a:pt x="239" y="750"/>
                              </a:lnTo>
                              <a:lnTo>
                                <a:pt x="240" y="751"/>
                              </a:lnTo>
                              <a:lnTo>
                                <a:pt x="241" y="752"/>
                              </a:lnTo>
                              <a:lnTo>
                                <a:pt x="242" y="754"/>
                              </a:lnTo>
                              <a:lnTo>
                                <a:pt x="243" y="754"/>
                              </a:lnTo>
                              <a:lnTo>
                                <a:pt x="243" y="755"/>
                              </a:lnTo>
                              <a:lnTo>
                                <a:pt x="244" y="756"/>
                              </a:lnTo>
                              <a:lnTo>
                                <a:pt x="245" y="756"/>
                              </a:lnTo>
                              <a:lnTo>
                                <a:pt x="245" y="757"/>
                              </a:lnTo>
                              <a:lnTo>
                                <a:pt x="246" y="757"/>
                              </a:lnTo>
                              <a:lnTo>
                                <a:pt x="247" y="758"/>
                              </a:lnTo>
                              <a:lnTo>
                                <a:pt x="248" y="759"/>
                              </a:lnTo>
                              <a:lnTo>
                                <a:pt x="249" y="760"/>
                              </a:lnTo>
                              <a:lnTo>
                                <a:pt x="249" y="761"/>
                              </a:lnTo>
                              <a:lnTo>
                                <a:pt x="250" y="762"/>
                              </a:lnTo>
                              <a:lnTo>
                                <a:pt x="251" y="762"/>
                              </a:lnTo>
                              <a:lnTo>
                                <a:pt x="252" y="763"/>
                              </a:lnTo>
                              <a:lnTo>
                                <a:pt x="253" y="764"/>
                              </a:lnTo>
                              <a:lnTo>
                                <a:pt x="254" y="764"/>
                              </a:lnTo>
                              <a:lnTo>
                                <a:pt x="255" y="765"/>
                              </a:lnTo>
                              <a:lnTo>
                                <a:pt x="256" y="766"/>
                              </a:lnTo>
                              <a:lnTo>
                                <a:pt x="257" y="766"/>
                              </a:lnTo>
                              <a:lnTo>
                                <a:pt x="258" y="767"/>
                              </a:lnTo>
                              <a:lnTo>
                                <a:pt x="259" y="768"/>
                              </a:lnTo>
                              <a:lnTo>
                                <a:pt x="261" y="768"/>
                              </a:lnTo>
                              <a:lnTo>
                                <a:pt x="262" y="769"/>
                              </a:lnTo>
                              <a:lnTo>
                                <a:pt x="263" y="770"/>
                              </a:lnTo>
                              <a:lnTo>
                                <a:pt x="264" y="770"/>
                              </a:lnTo>
                              <a:lnTo>
                                <a:pt x="266" y="771"/>
                              </a:lnTo>
                              <a:lnTo>
                                <a:pt x="267" y="771"/>
                              </a:lnTo>
                              <a:lnTo>
                                <a:pt x="268" y="772"/>
                              </a:lnTo>
                              <a:lnTo>
                                <a:pt x="270" y="772"/>
                              </a:lnTo>
                              <a:lnTo>
                                <a:pt x="271" y="773"/>
                              </a:lnTo>
                              <a:lnTo>
                                <a:pt x="273" y="774"/>
                              </a:lnTo>
                              <a:lnTo>
                                <a:pt x="274" y="774"/>
                              </a:lnTo>
                              <a:lnTo>
                                <a:pt x="276" y="775"/>
                              </a:lnTo>
                              <a:lnTo>
                                <a:pt x="278" y="775"/>
                              </a:lnTo>
                              <a:lnTo>
                                <a:pt x="279" y="776"/>
                              </a:lnTo>
                              <a:lnTo>
                                <a:pt x="280" y="776"/>
                              </a:lnTo>
                              <a:lnTo>
                                <a:pt x="281" y="776"/>
                              </a:lnTo>
                              <a:lnTo>
                                <a:pt x="282" y="776"/>
                              </a:lnTo>
                              <a:lnTo>
                                <a:pt x="282" y="777"/>
                              </a:lnTo>
                              <a:lnTo>
                                <a:pt x="283" y="777"/>
                              </a:lnTo>
                              <a:lnTo>
                                <a:pt x="285" y="777"/>
                              </a:lnTo>
                              <a:lnTo>
                                <a:pt x="286" y="778"/>
                              </a:lnTo>
                              <a:lnTo>
                                <a:pt x="288" y="778"/>
                              </a:lnTo>
                              <a:lnTo>
                                <a:pt x="290" y="778"/>
                              </a:lnTo>
                              <a:lnTo>
                                <a:pt x="292" y="779"/>
                              </a:lnTo>
                              <a:lnTo>
                                <a:pt x="294" y="779"/>
                              </a:lnTo>
                              <a:lnTo>
                                <a:pt x="296" y="780"/>
                              </a:lnTo>
                              <a:lnTo>
                                <a:pt x="298" y="780"/>
                              </a:lnTo>
                              <a:lnTo>
                                <a:pt x="300" y="780"/>
                              </a:lnTo>
                              <a:lnTo>
                                <a:pt x="302" y="781"/>
                              </a:lnTo>
                              <a:lnTo>
                                <a:pt x="305" y="781"/>
                              </a:lnTo>
                              <a:lnTo>
                                <a:pt x="308" y="781"/>
                              </a:lnTo>
                              <a:lnTo>
                                <a:pt x="312" y="782"/>
                              </a:lnTo>
                              <a:lnTo>
                                <a:pt x="315" y="782"/>
                              </a:lnTo>
                              <a:lnTo>
                                <a:pt x="317" y="782"/>
                              </a:lnTo>
                              <a:lnTo>
                                <a:pt x="319" y="782"/>
                              </a:lnTo>
                              <a:lnTo>
                                <a:pt x="321" y="783"/>
                              </a:lnTo>
                              <a:lnTo>
                                <a:pt x="323" y="783"/>
                              </a:lnTo>
                              <a:lnTo>
                                <a:pt x="325" y="783"/>
                              </a:lnTo>
                              <a:lnTo>
                                <a:pt x="327" y="783"/>
                              </a:lnTo>
                              <a:lnTo>
                                <a:pt x="329" y="783"/>
                              </a:lnTo>
                              <a:lnTo>
                                <a:pt x="331" y="783"/>
                              </a:lnTo>
                              <a:lnTo>
                                <a:pt x="332" y="784"/>
                              </a:lnTo>
                              <a:lnTo>
                                <a:pt x="334" y="784"/>
                              </a:lnTo>
                              <a:lnTo>
                                <a:pt x="336" y="784"/>
                              </a:lnTo>
                              <a:lnTo>
                                <a:pt x="338" y="784"/>
                              </a:lnTo>
                              <a:lnTo>
                                <a:pt x="341" y="783"/>
                              </a:lnTo>
                              <a:lnTo>
                                <a:pt x="344" y="783"/>
                              </a:lnTo>
                              <a:lnTo>
                                <a:pt x="348" y="783"/>
                              </a:lnTo>
                              <a:lnTo>
                                <a:pt x="353" y="783"/>
                              </a:lnTo>
                              <a:lnTo>
                                <a:pt x="355" y="783"/>
                              </a:lnTo>
                              <a:lnTo>
                                <a:pt x="356" y="783"/>
                              </a:lnTo>
                              <a:lnTo>
                                <a:pt x="358" y="783"/>
                              </a:lnTo>
                              <a:lnTo>
                                <a:pt x="359" y="783"/>
                              </a:lnTo>
                              <a:lnTo>
                                <a:pt x="361" y="783"/>
                              </a:lnTo>
                              <a:lnTo>
                                <a:pt x="363" y="783"/>
                              </a:lnTo>
                              <a:lnTo>
                                <a:pt x="365" y="783"/>
                              </a:lnTo>
                              <a:lnTo>
                                <a:pt x="367" y="782"/>
                              </a:lnTo>
                              <a:lnTo>
                                <a:pt x="369" y="782"/>
                              </a:lnTo>
                              <a:lnTo>
                                <a:pt x="372" y="782"/>
                              </a:lnTo>
                              <a:lnTo>
                                <a:pt x="374" y="782"/>
                              </a:lnTo>
                              <a:lnTo>
                                <a:pt x="376" y="781"/>
                              </a:lnTo>
                              <a:lnTo>
                                <a:pt x="378" y="781"/>
                              </a:lnTo>
                              <a:lnTo>
                                <a:pt x="380" y="781"/>
                              </a:lnTo>
                              <a:lnTo>
                                <a:pt x="382" y="780"/>
                              </a:lnTo>
                              <a:lnTo>
                                <a:pt x="384" y="780"/>
                              </a:lnTo>
                              <a:lnTo>
                                <a:pt x="387" y="779"/>
                              </a:lnTo>
                              <a:lnTo>
                                <a:pt x="388" y="779"/>
                              </a:lnTo>
                              <a:lnTo>
                                <a:pt x="390" y="778"/>
                              </a:lnTo>
                              <a:lnTo>
                                <a:pt x="391" y="778"/>
                              </a:lnTo>
                              <a:lnTo>
                                <a:pt x="392" y="778"/>
                              </a:lnTo>
                              <a:lnTo>
                                <a:pt x="392" y="778"/>
                              </a:lnTo>
                              <a:lnTo>
                                <a:pt x="393" y="777"/>
                              </a:lnTo>
                              <a:lnTo>
                                <a:pt x="393" y="777"/>
                              </a:lnTo>
                              <a:lnTo>
                                <a:pt x="396" y="777"/>
                              </a:lnTo>
                              <a:lnTo>
                                <a:pt x="399" y="776"/>
                              </a:lnTo>
                              <a:lnTo>
                                <a:pt x="402" y="775"/>
                              </a:lnTo>
                              <a:lnTo>
                                <a:pt x="404" y="775"/>
                              </a:lnTo>
                              <a:lnTo>
                                <a:pt x="407" y="774"/>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158" name="Freeform 134"/>
                        <a:cNvSpPr>
                          <a:spLocks/>
                        </a:cNvSpPr>
                      </a:nvSpPr>
                      <a:spPr bwMode="auto">
                        <a:xfrm>
                          <a:off x="4575175" y="5083399"/>
                          <a:ext cx="1614488" cy="355539"/>
                        </a:xfrm>
                        <a:custGeom>
                          <a:avLst/>
                          <a:gdLst/>
                          <a:ahLst/>
                          <a:cxnLst>
                            <a:cxn ang="0">
                              <a:pos x="9" y="205"/>
                            </a:cxn>
                            <a:cxn ang="0">
                              <a:pos x="18" y="204"/>
                            </a:cxn>
                            <a:cxn ang="0">
                              <a:pos x="29" y="206"/>
                            </a:cxn>
                            <a:cxn ang="0">
                              <a:pos x="46" y="208"/>
                            </a:cxn>
                            <a:cxn ang="0">
                              <a:pos x="55" y="208"/>
                            </a:cxn>
                            <a:cxn ang="0">
                              <a:pos x="57" y="208"/>
                            </a:cxn>
                            <a:cxn ang="0">
                              <a:pos x="59" y="208"/>
                            </a:cxn>
                            <a:cxn ang="0">
                              <a:pos x="62" y="206"/>
                            </a:cxn>
                            <a:cxn ang="0">
                              <a:pos x="66" y="204"/>
                            </a:cxn>
                            <a:cxn ang="0">
                              <a:pos x="68" y="201"/>
                            </a:cxn>
                            <a:cxn ang="0">
                              <a:pos x="70" y="198"/>
                            </a:cxn>
                            <a:cxn ang="0">
                              <a:pos x="72" y="193"/>
                            </a:cxn>
                            <a:cxn ang="0">
                              <a:pos x="74" y="186"/>
                            </a:cxn>
                            <a:cxn ang="0">
                              <a:pos x="77" y="175"/>
                            </a:cxn>
                            <a:cxn ang="0">
                              <a:pos x="79" y="160"/>
                            </a:cxn>
                            <a:cxn ang="0">
                              <a:pos x="81" y="141"/>
                            </a:cxn>
                            <a:cxn ang="0">
                              <a:pos x="86" y="98"/>
                            </a:cxn>
                            <a:cxn ang="0">
                              <a:pos x="92" y="49"/>
                            </a:cxn>
                            <a:cxn ang="0">
                              <a:pos x="94" y="30"/>
                            </a:cxn>
                            <a:cxn ang="0">
                              <a:pos x="98" y="10"/>
                            </a:cxn>
                            <a:cxn ang="0">
                              <a:pos x="102" y="0"/>
                            </a:cxn>
                            <a:cxn ang="0">
                              <a:pos x="107" y="4"/>
                            </a:cxn>
                            <a:cxn ang="0">
                              <a:pos x="114" y="25"/>
                            </a:cxn>
                            <a:cxn ang="0">
                              <a:pos x="125" y="71"/>
                            </a:cxn>
                            <a:cxn ang="0">
                              <a:pos x="131" y="91"/>
                            </a:cxn>
                            <a:cxn ang="0">
                              <a:pos x="134" y="101"/>
                            </a:cxn>
                            <a:cxn ang="0">
                              <a:pos x="145" y="125"/>
                            </a:cxn>
                            <a:cxn ang="0">
                              <a:pos x="156" y="147"/>
                            </a:cxn>
                            <a:cxn ang="0">
                              <a:pos x="167" y="163"/>
                            </a:cxn>
                            <a:cxn ang="0">
                              <a:pos x="171" y="168"/>
                            </a:cxn>
                            <a:cxn ang="0">
                              <a:pos x="185" y="184"/>
                            </a:cxn>
                            <a:cxn ang="0">
                              <a:pos x="197" y="194"/>
                            </a:cxn>
                            <a:cxn ang="0">
                              <a:pos x="206" y="200"/>
                            </a:cxn>
                            <a:cxn ang="0">
                              <a:pos x="212" y="203"/>
                            </a:cxn>
                            <a:cxn ang="0">
                              <a:pos x="224" y="208"/>
                            </a:cxn>
                            <a:cxn ang="0">
                              <a:pos x="238" y="211"/>
                            </a:cxn>
                            <a:cxn ang="0">
                              <a:pos x="253" y="214"/>
                            </a:cxn>
                            <a:cxn ang="0">
                              <a:pos x="273" y="215"/>
                            </a:cxn>
                            <a:cxn ang="0">
                              <a:pos x="288" y="215"/>
                            </a:cxn>
                            <a:cxn ang="0">
                              <a:pos x="310" y="214"/>
                            </a:cxn>
                            <a:cxn ang="0">
                              <a:pos x="328" y="212"/>
                            </a:cxn>
                            <a:cxn ang="0">
                              <a:pos x="353" y="212"/>
                            </a:cxn>
                            <a:cxn ang="0">
                              <a:pos x="378" y="211"/>
                            </a:cxn>
                            <a:cxn ang="0">
                              <a:pos x="390" y="212"/>
                            </a:cxn>
                            <a:cxn ang="0">
                              <a:pos x="404" y="214"/>
                            </a:cxn>
                            <a:cxn ang="0">
                              <a:pos x="427" y="219"/>
                            </a:cxn>
                            <a:cxn ang="0">
                              <a:pos x="440" y="221"/>
                            </a:cxn>
                            <a:cxn ang="0">
                              <a:pos x="462" y="223"/>
                            </a:cxn>
                            <a:cxn ang="0">
                              <a:pos x="477" y="224"/>
                            </a:cxn>
                            <a:cxn ang="0">
                              <a:pos x="503" y="225"/>
                            </a:cxn>
                            <a:cxn ang="0">
                              <a:pos x="528" y="227"/>
                            </a:cxn>
                            <a:cxn ang="0">
                              <a:pos x="555" y="227"/>
                            </a:cxn>
                            <a:cxn ang="0">
                              <a:pos x="581" y="229"/>
                            </a:cxn>
                            <a:cxn ang="0">
                              <a:pos x="611" y="229"/>
                            </a:cxn>
                            <a:cxn ang="0">
                              <a:pos x="645" y="230"/>
                            </a:cxn>
                            <a:cxn ang="0">
                              <a:pos x="679" y="231"/>
                            </a:cxn>
                            <a:cxn ang="0">
                              <a:pos x="721" y="232"/>
                            </a:cxn>
                            <a:cxn ang="0">
                              <a:pos x="753" y="232"/>
                            </a:cxn>
                            <a:cxn ang="0">
                              <a:pos x="787" y="233"/>
                            </a:cxn>
                            <a:cxn ang="0">
                              <a:pos x="838" y="233"/>
                            </a:cxn>
                            <a:cxn ang="0">
                              <a:pos x="885" y="233"/>
                            </a:cxn>
                            <a:cxn ang="0">
                              <a:pos x="926" y="234"/>
                            </a:cxn>
                            <a:cxn ang="0">
                              <a:pos x="977" y="234"/>
                            </a:cxn>
                          </a:cxnLst>
                          <a:rect l="0" t="0" r="r" b="b"/>
                          <a:pathLst>
                            <a:path w="1017" h="234">
                              <a:moveTo>
                                <a:pt x="0" y="207"/>
                              </a:moveTo>
                              <a:lnTo>
                                <a:pt x="1" y="206"/>
                              </a:lnTo>
                              <a:lnTo>
                                <a:pt x="3" y="206"/>
                              </a:lnTo>
                              <a:lnTo>
                                <a:pt x="4" y="205"/>
                              </a:lnTo>
                              <a:lnTo>
                                <a:pt x="5" y="205"/>
                              </a:lnTo>
                              <a:lnTo>
                                <a:pt x="7" y="205"/>
                              </a:lnTo>
                              <a:lnTo>
                                <a:pt x="8" y="205"/>
                              </a:lnTo>
                              <a:lnTo>
                                <a:pt x="9" y="205"/>
                              </a:lnTo>
                              <a:lnTo>
                                <a:pt x="10" y="204"/>
                              </a:lnTo>
                              <a:lnTo>
                                <a:pt x="11" y="204"/>
                              </a:lnTo>
                              <a:lnTo>
                                <a:pt x="12" y="204"/>
                              </a:lnTo>
                              <a:lnTo>
                                <a:pt x="13" y="204"/>
                              </a:lnTo>
                              <a:lnTo>
                                <a:pt x="15" y="204"/>
                              </a:lnTo>
                              <a:lnTo>
                                <a:pt x="16" y="204"/>
                              </a:lnTo>
                              <a:lnTo>
                                <a:pt x="17" y="204"/>
                              </a:lnTo>
                              <a:lnTo>
                                <a:pt x="18" y="204"/>
                              </a:lnTo>
                              <a:lnTo>
                                <a:pt x="19" y="204"/>
                              </a:lnTo>
                              <a:lnTo>
                                <a:pt x="20" y="204"/>
                              </a:lnTo>
                              <a:lnTo>
                                <a:pt x="21" y="205"/>
                              </a:lnTo>
                              <a:lnTo>
                                <a:pt x="22" y="205"/>
                              </a:lnTo>
                              <a:lnTo>
                                <a:pt x="23" y="205"/>
                              </a:lnTo>
                              <a:lnTo>
                                <a:pt x="24" y="205"/>
                              </a:lnTo>
                              <a:lnTo>
                                <a:pt x="26" y="205"/>
                              </a:lnTo>
                              <a:lnTo>
                                <a:pt x="29" y="206"/>
                              </a:lnTo>
                              <a:lnTo>
                                <a:pt x="32" y="206"/>
                              </a:lnTo>
                              <a:lnTo>
                                <a:pt x="35" y="207"/>
                              </a:lnTo>
                              <a:lnTo>
                                <a:pt x="37" y="207"/>
                              </a:lnTo>
                              <a:lnTo>
                                <a:pt x="39" y="207"/>
                              </a:lnTo>
                              <a:lnTo>
                                <a:pt x="41" y="207"/>
                              </a:lnTo>
                              <a:lnTo>
                                <a:pt x="43" y="208"/>
                              </a:lnTo>
                              <a:lnTo>
                                <a:pt x="45" y="208"/>
                              </a:lnTo>
                              <a:lnTo>
                                <a:pt x="46" y="208"/>
                              </a:lnTo>
                              <a:lnTo>
                                <a:pt x="48" y="208"/>
                              </a:lnTo>
                              <a:lnTo>
                                <a:pt x="49" y="208"/>
                              </a:lnTo>
                              <a:lnTo>
                                <a:pt x="50" y="208"/>
                              </a:lnTo>
                              <a:lnTo>
                                <a:pt x="51" y="208"/>
                              </a:lnTo>
                              <a:lnTo>
                                <a:pt x="52" y="208"/>
                              </a:lnTo>
                              <a:lnTo>
                                <a:pt x="53" y="208"/>
                              </a:lnTo>
                              <a:lnTo>
                                <a:pt x="54" y="208"/>
                              </a:lnTo>
                              <a:lnTo>
                                <a:pt x="55" y="208"/>
                              </a:lnTo>
                              <a:lnTo>
                                <a:pt x="55" y="208"/>
                              </a:lnTo>
                              <a:lnTo>
                                <a:pt x="56" y="208"/>
                              </a:lnTo>
                              <a:lnTo>
                                <a:pt x="56" y="208"/>
                              </a:lnTo>
                              <a:lnTo>
                                <a:pt x="56" y="208"/>
                              </a:lnTo>
                              <a:lnTo>
                                <a:pt x="57" y="208"/>
                              </a:lnTo>
                              <a:lnTo>
                                <a:pt x="57" y="208"/>
                              </a:lnTo>
                              <a:lnTo>
                                <a:pt x="57" y="208"/>
                              </a:lnTo>
                              <a:lnTo>
                                <a:pt x="57" y="208"/>
                              </a:lnTo>
                              <a:lnTo>
                                <a:pt x="58" y="208"/>
                              </a:lnTo>
                              <a:lnTo>
                                <a:pt x="58" y="208"/>
                              </a:lnTo>
                              <a:lnTo>
                                <a:pt x="58" y="208"/>
                              </a:lnTo>
                              <a:lnTo>
                                <a:pt x="58" y="208"/>
                              </a:lnTo>
                              <a:lnTo>
                                <a:pt x="58" y="208"/>
                              </a:lnTo>
                              <a:lnTo>
                                <a:pt x="58" y="208"/>
                              </a:lnTo>
                              <a:lnTo>
                                <a:pt x="59" y="208"/>
                              </a:lnTo>
                              <a:lnTo>
                                <a:pt x="59" y="208"/>
                              </a:lnTo>
                              <a:lnTo>
                                <a:pt x="59" y="207"/>
                              </a:lnTo>
                              <a:lnTo>
                                <a:pt x="59" y="207"/>
                              </a:lnTo>
                              <a:lnTo>
                                <a:pt x="59" y="207"/>
                              </a:lnTo>
                              <a:lnTo>
                                <a:pt x="59" y="207"/>
                              </a:lnTo>
                              <a:lnTo>
                                <a:pt x="60" y="207"/>
                              </a:lnTo>
                              <a:lnTo>
                                <a:pt x="61" y="207"/>
                              </a:lnTo>
                              <a:lnTo>
                                <a:pt x="61" y="207"/>
                              </a:lnTo>
                              <a:lnTo>
                                <a:pt x="62" y="206"/>
                              </a:lnTo>
                              <a:lnTo>
                                <a:pt x="62" y="206"/>
                              </a:lnTo>
                              <a:lnTo>
                                <a:pt x="63" y="206"/>
                              </a:lnTo>
                              <a:lnTo>
                                <a:pt x="63" y="206"/>
                              </a:lnTo>
                              <a:lnTo>
                                <a:pt x="64" y="205"/>
                              </a:lnTo>
                              <a:lnTo>
                                <a:pt x="64" y="205"/>
                              </a:lnTo>
                              <a:lnTo>
                                <a:pt x="65" y="205"/>
                              </a:lnTo>
                              <a:lnTo>
                                <a:pt x="65" y="205"/>
                              </a:lnTo>
                              <a:lnTo>
                                <a:pt x="66" y="204"/>
                              </a:lnTo>
                              <a:lnTo>
                                <a:pt x="66" y="204"/>
                              </a:lnTo>
                              <a:lnTo>
                                <a:pt x="66" y="204"/>
                              </a:lnTo>
                              <a:lnTo>
                                <a:pt x="67" y="203"/>
                              </a:lnTo>
                              <a:lnTo>
                                <a:pt x="67" y="203"/>
                              </a:lnTo>
                              <a:lnTo>
                                <a:pt x="67" y="203"/>
                              </a:lnTo>
                              <a:lnTo>
                                <a:pt x="68" y="202"/>
                              </a:lnTo>
                              <a:lnTo>
                                <a:pt x="68" y="202"/>
                              </a:lnTo>
                              <a:lnTo>
                                <a:pt x="68" y="201"/>
                              </a:lnTo>
                              <a:lnTo>
                                <a:pt x="68" y="201"/>
                              </a:lnTo>
                              <a:lnTo>
                                <a:pt x="69" y="201"/>
                              </a:lnTo>
                              <a:lnTo>
                                <a:pt x="69" y="200"/>
                              </a:lnTo>
                              <a:lnTo>
                                <a:pt x="69" y="200"/>
                              </a:lnTo>
                              <a:lnTo>
                                <a:pt x="70" y="199"/>
                              </a:lnTo>
                              <a:lnTo>
                                <a:pt x="70" y="199"/>
                              </a:lnTo>
                              <a:lnTo>
                                <a:pt x="70" y="198"/>
                              </a:lnTo>
                              <a:lnTo>
                                <a:pt x="70" y="198"/>
                              </a:lnTo>
                              <a:lnTo>
                                <a:pt x="71" y="197"/>
                              </a:lnTo>
                              <a:lnTo>
                                <a:pt x="71" y="197"/>
                              </a:lnTo>
                              <a:lnTo>
                                <a:pt x="71" y="196"/>
                              </a:lnTo>
                              <a:lnTo>
                                <a:pt x="71" y="195"/>
                              </a:lnTo>
                              <a:lnTo>
                                <a:pt x="72" y="195"/>
                              </a:lnTo>
                              <a:lnTo>
                                <a:pt x="72" y="194"/>
                              </a:lnTo>
                              <a:lnTo>
                                <a:pt x="72" y="194"/>
                              </a:lnTo>
                              <a:lnTo>
                                <a:pt x="72" y="193"/>
                              </a:lnTo>
                              <a:lnTo>
                                <a:pt x="73" y="192"/>
                              </a:lnTo>
                              <a:lnTo>
                                <a:pt x="73" y="192"/>
                              </a:lnTo>
                              <a:lnTo>
                                <a:pt x="73" y="191"/>
                              </a:lnTo>
                              <a:lnTo>
                                <a:pt x="73" y="190"/>
                              </a:lnTo>
                              <a:lnTo>
                                <a:pt x="74" y="189"/>
                              </a:lnTo>
                              <a:lnTo>
                                <a:pt x="74" y="188"/>
                              </a:lnTo>
                              <a:lnTo>
                                <a:pt x="74" y="187"/>
                              </a:lnTo>
                              <a:lnTo>
                                <a:pt x="74" y="186"/>
                              </a:lnTo>
                              <a:lnTo>
                                <a:pt x="75" y="185"/>
                              </a:lnTo>
                              <a:lnTo>
                                <a:pt x="75" y="183"/>
                              </a:lnTo>
                              <a:lnTo>
                                <a:pt x="75" y="182"/>
                              </a:lnTo>
                              <a:lnTo>
                                <a:pt x="76" y="181"/>
                              </a:lnTo>
                              <a:lnTo>
                                <a:pt x="76" y="179"/>
                              </a:lnTo>
                              <a:lnTo>
                                <a:pt x="76" y="178"/>
                              </a:lnTo>
                              <a:lnTo>
                                <a:pt x="76" y="176"/>
                              </a:lnTo>
                              <a:lnTo>
                                <a:pt x="77" y="175"/>
                              </a:lnTo>
                              <a:lnTo>
                                <a:pt x="77" y="173"/>
                              </a:lnTo>
                              <a:lnTo>
                                <a:pt x="77" y="171"/>
                              </a:lnTo>
                              <a:lnTo>
                                <a:pt x="78" y="170"/>
                              </a:lnTo>
                              <a:lnTo>
                                <a:pt x="78" y="168"/>
                              </a:lnTo>
                              <a:lnTo>
                                <a:pt x="78" y="166"/>
                              </a:lnTo>
                              <a:lnTo>
                                <a:pt x="78" y="164"/>
                              </a:lnTo>
                              <a:lnTo>
                                <a:pt x="79" y="162"/>
                              </a:lnTo>
                              <a:lnTo>
                                <a:pt x="79" y="160"/>
                              </a:lnTo>
                              <a:lnTo>
                                <a:pt x="79" y="158"/>
                              </a:lnTo>
                              <a:lnTo>
                                <a:pt x="80" y="156"/>
                              </a:lnTo>
                              <a:lnTo>
                                <a:pt x="80" y="154"/>
                              </a:lnTo>
                              <a:lnTo>
                                <a:pt x="80" y="151"/>
                              </a:lnTo>
                              <a:lnTo>
                                <a:pt x="81" y="149"/>
                              </a:lnTo>
                              <a:lnTo>
                                <a:pt x="81" y="146"/>
                              </a:lnTo>
                              <a:lnTo>
                                <a:pt x="81" y="144"/>
                              </a:lnTo>
                              <a:lnTo>
                                <a:pt x="81" y="141"/>
                              </a:lnTo>
                              <a:lnTo>
                                <a:pt x="82" y="138"/>
                              </a:lnTo>
                              <a:lnTo>
                                <a:pt x="82" y="135"/>
                              </a:lnTo>
                              <a:lnTo>
                                <a:pt x="83" y="130"/>
                              </a:lnTo>
                              <a:lnTo>
                                <a:pt x="83" y="125"/>
                              </a:lnTo>
                              <a:lnTo>
                                <a:pt x="84" y="120"/>
                              </a:lnTo>
                              <a:lnTo>
                                <a:pt x="85" y="114"/>
                              </a:lnTo>
                              <a:lnTo>
                                <a:pt x="85" y="107"/>
                              </a:lnTo>
                              <a:lnTo>
                                <a:pt x="86" y="98"/>
                              </a:lnTo>
                              <a:lnTo>
                                <a:pt x="87" y="88"/>
                              </a:lnTo>
                              <a:lnTo>
                                <a:pt x="88" y="80"/>
                              </a:lnTo>
                              <a:lnTo>
                                <a:pt x="89" y="73"/>
                              </a:lnTo>
                              <a:lnTo>
                                <a:pt x="90" y="67"/>
                              </a:lnTo>
                              <a:lnTo>
                                <a:pt x="90" y="62"/>
                              </a:lnTo>
                              <a:lnTo>
                                <a:pt x="91" y="57"/>
                              </a:lnTo>
                              <a:lnTo>
                                <a:pt x="91" y="53"/>
                              </a:lnTo>
                              <a:lnTo>
                                <a:pt x="92" y="49"/>
                              </a:lnTo>
                              <a:lnTo>
                                <a:pt x="92" y="45"/>
                              </a:lnTo>
                              <a:lnTo>
                                <a:pt x="92" y="42"/>
                              </a:lnTo>
                              <a:lnTo>
                                <a:pt x="93" y="39"/>
                              </a:lnTo>
                              <a:lnTo>
                                <a:pt x="93" y="37"/>
                              </a:lnTo>
                              <a:lnTo>
                                <a:pt x="93" y="35"/>
                              </a:lnTo>
                              <a:lnTo>
                                <a:pt x="94" y="33"/>
                              </a:lnTo>
                              <a:lnTo>
                                <a:pt x="94" y="31"/>
                              </a:lnTo>
                              <a:lnTo>
                                <a:pt x="94" y="30"/>
                              </a:lnTo>
                              <a:lnTo>
                                <a:pt x="94" y="29"/>
                              </a:lnTo>
                              <a:lnTo>
                                <a:pt x="94" y="27"/>
                              </a:lnTo>
                              <a:lnTo>
                                <a:pt x="95" y="23"/>
                              </a:lnTo>
                              <a:lnTo>
                                <a:pt x="96" y="20"/>
                              </a:lnTo>
                              <a:lnTo>
                                <a:pt x="96" y="17"/>
                              </a:lnTo>
                              <a:lnTo>
                                <a:pt x="97" y="15"/>
                              </a:lnTo>
                              <a:lnTo>
                                <a:pt x="97" y="13"/>
                              </a:lnTo>
                              <a:lnTo>
                                <a:pt x="98" y="10"/>
                              </a:lnTo>
                              <a:lnTo>
                                <a:pt x="98" y="8"/>
                              </a:lnTo>
                              <a:lnTo>
                                <a:pt x="99" y="7"/>
                              </a:lnTo>
                              <a:lnTo>
                                <a:pt x="99" y="5"/>
                              </a:lnTo>
                              <a:lnTo>
                                <a:pt x="100" y="4"/>
                              </a:lnTo>
                              <a:lnTo>
                                <a:pt x="100" y="2"/>
                              </a:lnTo>
                              <a:lnTo>
                                <a:pt x="101" y="1"/>
                              </a:lnTo>
                              <a:lnTo>
                                <a:pt x="101" y="1"/>
                              </a:lnTo>
                              <a:lnTo>
                                <a:pt x="102" y="0"/>
                              </a:lnTo>
                              <a:lnTo>
                                <a:pt x="102" y="0"/>
                              </a:lnTo>
                              <a:lnTo>
                                <a:pt x="103" y="0"/>
                              </a:lnTo>
                              <a:lnTo>
                                <a:pt x="104" y="0"/>
                              </a:lnTo>
                              <a:lnTo>
                                <a:pt x="104" y="0"/>
                              </a:lnTo>
                              <a:lnTo>
                                <a:pt x="105" y="1"/>
                              </a:lnTo>
                              <a:lnTo>
                                <a:pt x="106" y="1"/>
                              </a:lnTo>
                              <a:lnTo>
                                <a:pt x="106" y="2"/>
                              </a:lnTo>
                              <a:lnTo>
                                <a:pt x="107" y="4"/>
                              </a:lnTo>
                              <a:lnTo>
                                <a:pt x="108" y="5"/>
                              </a:lnTo>
                              <a:lnTo>
                                <a:pt x="108" y="7"/>
                              </a:lnTo>
                              <a:lnTo>
                                <a:pt x="109" y="9"/>
                              </a:lnTo>
                              <a:lnTo>
                                <a:pt x="110" y="12"/>
                              </a:lnTo>
                              <a:lnTo>
                                <a:pt x="111" y="14"/>
                              </a:lnTo>
                              <a:lnTo>
                                <a:pt x="112" y="17"/>
                              </a:lnTo>
                              <a:lnTo>
                                <a:pt x="113" y="21"/>
                              </a:lnTo>
                              <a:lnTo>
                                <a:pt x="114" y="25"/>
                              </a:lnTo>
                              <a:lnTo>
                                <a:pt x="115" y="30"/>
                              </a:lnTo>
                              <a:lnTo>
                                <a:pt x="116" y="35"/>
                              </a:lnTo>
                              <a:lnTo>
                                <a:pt x="118" y="41"/>
                              </a:lnTo>
                              <a:lnTo>
                                <a:pt x="119" y="47"/>
                              </a:lnTo>
                              <a:lnTo>
                                <a:pt x="121" y="54"/>
                              </a:lnTo>
                              <a:lnTo>
                                <a:pt x="123" y="61"/>
                              </a:lnTo>
                              <a:lnTo>
                                <a:pt x="124" y="66"/>
                              </a:lnTo>
                              <a:lnTo>
                                <a:pt x="125" y="71"/>
                              </a:lnTo>
                              <a:lnTo>
                                <a:pt x="126" y="75"/>
                              </a:lnTo>
                              <a:lnTo>
                                <a:pt x="127" y="78"/>
                              </a:lnTo>
                              <a:lnTo>
                                <a:pt x="128" y="82"/>
                              </a:lnTo>
                              <a:lnTo>
                                <a:pt x="129" y="85"/>
                              </a:lnTo>
                              <a:lnTo>
                                <a:pt x="130" y="87"/>
                              </a:lnTo>
                              <a:lnTo>
                                <a:pt x="130" y="89"/>
                              </a:lnTo>
                              <a:lnTo>
                                <a:pt x="131" y="90"/>
                              </a:lnTo>
                              <a:lnTo>
                                <a:pt x="131" y="91"/>
                              </a:lnTo>
                              <a:lnTo>
                                <a:pt x="131" y="92"/>
                              </a:lnTo>
                              <a:lnTo>
                                <a:pt x="132" y="93"/>
                              </a:lnTo>
                              <a:lnTo>
                                <a:pt x="132" y="94"/>
                              </a:lnTo>
                              <a:lnTo>
                                <a:pt x="132" y="95"/>
                              </a:lnTo>
                              <a:lnTo>
                                <a:pt x="132" y="95"/>
                              </a:lnTo>
                              <a:lnTo>
                                <a:pt x="133" y="96"/>
                              </a:lnTo>
                              <a:lnTo>
                                <a:pt x="133" y="98"/>
                              </a:lnTo>
                              <a:lnTo>
                                <a:pt x="134" y="101"/>
                              </a:lnTo>
                              <a:lnTo>
                                <a:pt x="135" y="104"/>
                              </a:lnTo>
                              <a:lnTo>
                                <a:pt x="136" y="107"/>
                              </a:lnTo>
                              <a:lnTo>
                                <a:pt x="138" y="110"/>
                              </a:lnTo>
                              <a:lnTo>
                                <a:pt x="139" y="113"/>
                              </a:lnTo>
                              <a:lnTo>
                                <a:pt x="140" y="116"/>
                              </a:lnTo>
                              <a:lnTo>
                                <a:pt x="142" y="119"/>
                              </a:lnTo>
                              <a:lnTo>
                                <a:pt x="143" y="122"/>
                              </a:lnTo>
                              <a:lnTo>
                                <a:pt x="145" y="125"/>
                              </a:lnTo>
                              <a:lnTo>
                                <a:pt x="146" y="128"/>
                              </a:lnTo>
                              <a:lnTo>
                                <a:pt x="148" y="132"/>
                              </a:lnTo>
                              <a:lnTo>
                                <a:pt x="149" y="135"/>
                              </a:lnTo>
                              <a:lnTo>
                                <a:pt x="151" y="138"/>
                              </a:lnTo>
                              <a:lnTo>
                                <a:pt x="152" y="140"/>
                              </a:lnTo>
                              <a:lnTo>
                                <a:pt x="154" y="142"/>
                              </a:lnTo>
                              <a:lnTo>
                                <a:pt x="155" y="145"/>
                              </a:lnTo>
                              <a:lnTo>
                                <a:pt x="156" y="147"/>
                              </a:lnTo>
                              <a:lnTo>
                                <a:pt x="158" y="149"/>
                              </a:lnTo>
                              <a:lnTo>
                                <a:pt x="159" y="151"/>
                              </a:lnTo>
                              <a:lnTo>
                                <a:pt x="161" y="153"/>
                              </a:lnTo>
                              <a:lnTo>
                                <a:pt x="162" y="155"/>
                              </a:lnTo>
                              <a:lnTo>
                                <a:pt x="164" y="157"/>
                              </a:lnTo>
                              <a:lnTo>
                                <a:pt x="165" y="160"/>
                              </a:lnTo>
                              <a:lnTo>
                                <a:pt x="166" y="161"/>
                              </a:lnTo>
                              <a:lnTo>
                                <a:pt x="167" y="163"/>
                              </a:lnTo>
                              <a:lnTo>
                                <a:pt x="168" y="164"/>
                              </a:lnTo>
                              <a:lnTo>
                                <a:pt x="169" y="164"/>
                              </a:lnTo>
                              <a:lnTo>
                                <a:pt x="169" y="165"/>
                              </a:lnTo>
                              <a:lnTo>
                                <a:pt x="170" y="166"/>
                              </a:lnTo>
                              <a:lnTo>
                                <a:pt x="170" y="166"/>
                              </a:lnTo>
                              <a:lnTo>
                                <a:pt x="171" y="167"/>
                              </a:lnTo>
                              <a:lnTo>
                                <a:pt x="171" y="167"/>
                              </a:lnTo>
                              <a:lnTo>
                                <a:pt x="171" y="168"/>
                              </a:lnTo>
                              <a:lnTo>
                                <a:pt x="172" y="169"/>
                              </a:lnTo>
                              <a:lnTo>
                                <a:pt x="174" y="171"/>
                              </a:lnTo>
                              <a:lnTo>
                                <a:pt x="176" y="174"/>
                              </a:lnTo>
                              <a:lnTo>
                                <a:pt x="178" y="176"/>
                              </a:lnTo>
                              <a:lnTo>
                                <a:pt x="180" y="178"/>
                              </a:lnTo>
                              <a:lnTo>
                                <a:pt x="182" y="180"/>
                              </a:lnTo>
                              <a:lnTo>
                                <a:pt x="184" y="182"/>
                              </a:lnTo>
                              <a:lnTo>
                                <a:pt x="185" y="184"/>
                              </a:lnTo>
                              <a:lnTo>
                                <a:pt x="187" y="185"/>
                              </a:lnTo>
                              <a:lnTo>
                                <a:pt x="189" y="187"/>
                              </a:lnTo>
                              <a:lnTo>
                                <a:pt x="190" y="189"/>
                              </a:lnTo>
                              <a:lnTo>
                                <a:pt x="192" y="190"/>
                              </a:lnTo>
                              <a:lnTo>
                                <a:pt x="193" y="191"/>
                              </a:lnTo>
                              <a:lnTo>
                                <a:pt x="194" y="192"/>
                              </a:lnTo>
                              <a:lnTo>
                                <a:pt x="196" y="193"/>
                              </a:lnTo>
                              <a:lnTo>
                                <a:pt x="197" y="194"/>
                              </a:lnTo>
                              <a:lnTo>
                                <a:pt x="198" y="195"/>
                              </a:lnTo>
                              <a:lnTo>
                                <a:pt x="199" y="196"/>
                              </a:lnTo>
                              <a:lnTo>
                                <a:pt x="200" y="197"/>
                              </a:lnTo>
                              <a:lnTo>
                                <a:pt x="201" y="197"/>
                              </a:lnTo>
                              <a:lnTo>
                                <a:pt x="202" y="198"/>
                              </a:lnTo>
                              <a:lnTo>
                                <a:pt x="204" y="199"/>
                              </a:lnTo>
                              <a:lnTo>
                                <a:pt x="205" y="199"/>
                              </a:lnTo>
                              <a:lnTo>
                                <a:pt x="206" y="200"/>
                              </a:lnTo>
                              <a:lnTo>
                                <a:pt x="206" y="200"/>
                              </a:lnTo>
                              <a:lnTo>
                                <a:pt x="207" y="201"/>
                              </a:lnTo>
                              <a:lnTo>
                                <a:pt x="208" y="201"/>
                              </a:lnTo>
                              <a:lnTo>
                                <a:pt x="208" y="201"/>
                              </a:lnTo>
                              <a:lnTo>
                                <a:pt x="209" y="202"/>
                              </a:lnTo>
                              <a:lnTo>
                                <a:pt x="209" y="202"/>
                              </a:lnTo>
                              <a:lnTo>
                                <a:pt x="211" y="203"/>
                              </a:lnTo>
                              <a:lnTo>
                                <a:pt x="212" y="203"/>
                              </a:lnTo>
                              <a:lnTo>
                                <a:pt x="213" y="204"/>
                              </a:lnTo>
                              <a:lnTo>
                                <a:pt x="215" y="205"/>
                              </a:lnTo>
                              <a:lnTo>
                                <a:pt x="216" y="205"/>
                              </a:lnTo>
                              <a:lnTo>
                                <a:pt x="218" y="206"/>
                              </a:lnTo>
                              <a:lnTo>
                                <a:pt x="219" y="206"/>
                              </a:lnTo>
                              <a:lnTo>
                                <a:pt x="221" y="207"/>
                              </a:lnTo>
                              <a:lnTo>
                                <a:pt x="222" y="207"/>
                              </a:lnTo>
                              <a:lnTo>
                                <a:pt x="224" y="208"/>
                              </a:lnTo>
                              <a:lnTo>
                                <a:pt x="225" y="208"/>
                              </a:lnTo>
                              <a:lnTo>
                                <a:pt x="227" y="209"/>
                              </a:lnTo>
                              <a:lnTo>
                                <a:pt x="229" y="209"/>
                              </a:lnTo>
                              <a:lnTo>
                                <a:pt x="231" y="210"/>
                              </a:lnTo>
                              <a:lnTo>
                                <a:pt x="232" y="210"/>
                              </a:lnTo>
                              <a:lnTo>
                                <a:pt x="234" y="210"/>
                              </a:lnTo>
                              <a:lnTo>
                                <a:pt x="236" y="211"/>
                              </a:lnTo>
                              <a:lnTo>
                                <a:pt x="238" y="211"/>
                              </a:lnTo>
                              <a:lnTo>
                                <a:pt x="241" y="212"/>
                              </a:lnTo>
                              <a:lnTo>
                                <a:pt x="243" y="212"/>
                              </a:lnTo>
                              <a:lnTo>
                                <a:pt x="244" y="212"/>
                              </a:lnTo>
                              <a:lnTo>
                                <a:pt x="245" y="212"/>
                              </a:lnTo>
                              <a:lnTo>
                                <a:pt x="246" y="213"/>
                              </a:lnTo>
                              <a:lnTo>
                                <a:pt x="248" y="213"/>
                              </a:lnTo>
                              <a:lnTo>
                                <a:pt x="250" y="213"/>
                              </a:lnTo>
                              <a:lnTo>
                                <a:pt x="253" y="214"/>
                              </a:lnTo>
                              <a:lnTo>
                                <a:pt x="255" y="214"/>
                              </a:lnTo>
                              <a:lnTo>
                                <a:pt x="258" y="214"/>
                              </a:lnTo>
                              <a:lnTo>
                                <a:pt x="260" y="214"/>
                              </a:lnTo>
                              <a:lnTo>
                                <a:pt x="263" y="215"/>
                              </a:lnTo>
                              <a:lnTo>
                                <a:pt x="266" y="215"/>
                              </a:lnTo>
                              <a:lnTo>
                                <a:pt x="268" y="215"/>
                              </a:lnTo>
                              <a:lnTo>
                                <a:pt x="271" y="215"/>
                              </a:lnTo>
                              <a:lnTo>
                                <a:pt x="273" y="215"/>
                              </a:lnTo>
                              <a:lnTo>
                                <a:pt x="276" y="215"/>
                              </a:lnTo>
                              <a:lnTo>
                                <a:pt x="278" y="215"/>
                              </a:lnTo>
                              <a:lnTo>
                                <a:pt x="280" y="215"/>
                              </a:lnTo>
                              <a:lnTo>
                                <a:pt x="281" y="215"/>
                              </a:lnTo>
                              <a:lnTo>
                                <a:pt x="282" y="215"/>
                              </a:lnTo>
                              <a:lnTo>
                                <a:pt x="284" y="215"/>
                              </a:lnTo>
                              <a:lnTo>
                                <a:pt x="286" y="215"/>
                              </a:lnTo>
                              <a:lnTo>
                                <a:pt x="288" y="215"/>
                              </a:lnTo>
                              <a:lnTo>
                                <a:pt x="289" y="215"/>
                              </a:lnTo>
                              <a:lnTo>
                                <a:pt x="291" y="215"/>
                              </a:lnTo>
                              <a:lnTo>
                                <a:pt x="294" y="215"/>
                              </a:lnTo>
                              <a:lnTo>
                                <a:pt x="296" y="215"/>
                              </a:lnTo>
                              <a:lnTo>
                                <a:pt x="300" y="215"/>
                              </a:lnTo>
                              <a:lnTo>
                                <a:pt x="303" y="214"/>
                              </a:lnTo>
                              <a:lnTo>
                                <a:pt x="306" y="214"/>
                              </a:lnTo>
                              <a:lnTo>
                                <a:pt x="310" y="214"/>
                              </a:lnTo>
                              <a:lnTo>
                                <a:pt x="313" y="213"/>
                              </a:lnTo>
                              <a:lnTo>
                                <a:pt x="316" y="213"/>
                              </a:lnTo>
                              <a:lnTo>
                                <a:pt x="318" y="213"/>
                              </a:lnTo>
                              <a:lnTo>
                                <a:pt x="320" y="213"/>
                              </a:lnTo>
                              <a:lnTo>
                                <a:pt x="321" y="212"/>
                              </a:lnTo>
                              <a:lnTo>
                                <a:pt x="323" y="212"/>
                              </a:lnTo>
                              <a:lnTo>
                                <a:pt x="325" y="212"/>
                              </a:lnTo>
                              <a:lnTo>
                                <a:pt x="328" y="212"/>
                              </a:lnTo>
                              <a:lnTo>
                                <a:pt x="330" y="212"/>
                              </a:lnTo>
                              <a:lnTo>
                                <a:pt x="333" y="212"/>
                              </a:lnTo>
                              <a:lnTo>
                                <a:pt x="336" y="212"/>
                              </a:lnTo>
                              <a:lnTo>
                                <a:pt x="339" y="212"/>
                              </a:lnTo>
                              <a:lnTo>
                                <a:pt x="343" y="212"/>
                              </a:lnTo>
                              <a:lnTo>
                                <a:pt x="347" y="212"/>
                              </a:lnTo>
                              <a:lnTo>
                                <a:pt x="350" y="212"/>
                              </a:lnTo>
                              <a:lnTo>
                                <a:pt x="353" y="212"/>
                              </a:lnTo>
                              <a:lnTo>
                                <a:pt x="356" y="212"/>
                              </a:lnTo>
                              <a:lnTo>
                                <a:pt x="359" y="211"/>
                              </a:lnTo>
                              <a:lnTo>
                                <a:pt x="362" y="211"/>
                              </a:lnTo>
                              <a:lnTo>
                                <a:pt x="366" y="211"/>
                              </a:lnTo>
                              <a:lnTo>
                                <a:pt x="370" y="211"/>
                              </a:lnTo>
                              <a:lnTo>
                                <a:pt x="374" y="211"/>
                              </a:lnTo>
                              <a:lnTo>
                                <a:pt x="376" y="211"/>
                              </a:lnTo>
                              <a:lnTo>
                                <a:pt x="378" y="211"/>
                              </a:lnTo>
                              <a:lnTo>
                                <a:pt x="380" y="211"/>
                              </a:lnTo>
                              <a:lnTo>
                                <a:pt x="382" y="211"/>
                              </a:lnTo>
                              <a:lnTo>
                                <a:pt x="383" y="211"/>
                              </a:lnTo>
                              <a:lnTo>
                                <a:pt x="385" y="211"/>
                              </a:lnTo>
                              <a:lnTo>
                                <a:pt x="386" y="211"/>
                              </a:lnTo>
                              <a:lnTo>
                                <a:pt x="388" y="211"/>
                              </a:lnTo>
                              <a:lnTo>
                                <a:pt x="389" y="211"/>
                              </a:lnTo>
                              <a:lnTo>
                                <a:pt x="390" y="212"/>
                              </a:lnTo>
                              <a:lnTo>
                                <a:pt x="391" y="212"/>
                              </a:lnTo>
                              <a:lnTo>
                                <a:pt x="392" y="212"/>
                              </a:lnTo>
                              <a:lnTo>
                                <a:pt x="393" y="212"/>
                              </a:lnTo>
                              <a:lnTo>
                                <a:pt x="393" y="212"/>
                              </a:lnTo>
                              <a:lnTo>
                                <a:pt x="394" y="212"/>
                              </a:lnTo>
                              <a:lnTo>
                                <a:pt x="397" y="213"/>
                              </a:lnTo>
                              <a:lnTo>
                                <a:pt x="400" y="214"/>
                              </a:lnTo>
                              <a:lnTo>
                                <a:pt x="404" y="214"/>
                              </a:lnTo>
                              <a:lnTo>
                                <a:pt x="409" y="215"/>
                              </a:lnTo>
                              <a:lnTo>
                                <a:pt x="413" y="216"/>
                              </a:lnTo>
                              <a:lnTo>
                                <a:pt x="416" y="217"/>
                              </a:lnTo>
                              <a:lnTo>
                                <a:pt x="418" y="217"/>
                              </a:lnTo>
                              <a:lnTo>
                                <a:pt x="421" y="218"/>
                              </a:lnTo>
                              <a:lnTo>
                                <a:pt x="423" y="218"/>
                              </a:lnTo>
                              <a:lnTo>
                                <a:pt x="425" y="219"/>
                              </a:lnTo>
                              <a:lnTo>
                                <a:pt x="427" y="219"/>
                              </a:lnTo>
                              <a:lnTo>
                                <a:pt x="428" y="219"/>
                              </a:lnTo>
                              <a:lnTo>
                                <a:pt x="429" y="219"/>
                              </a:lnTo>
                              <a:lnTo>
                                <a:pt x="430" y="219"/>
                              </a:lnTo>
                              <a:lnTo>
                                <a:pt x="431" y="219"/>
                              </a:lnTo>
                              <a:lnTo>
                                <a:pt x="432" y="220"/>
                              </a:lnTo>
                              <a:lnTo>
                                <a:pt x="435" y="220"/>
                              </a:lnTo>
                              <a:lnTo>
                                <a:pt x="438" y="220"/>
                              </a:lnTo>
                              <a:lnTo>
                                <a:pt x="440" y="221"/>
                              </a:lnTo>
                              <a:lnTo>
                                <a:pt x="443" y="221"/>
                              </a:lnTo>
                              <a:lnTo>
                                <a:pt x="446" y="221"/>
                              </a:lnTo>
                              <a:lnTo>
                                <a:pt x="448" y="221"/>
                              </a:lnTo>
                              <a:lnTo>
                                <a:pt x="450" y="222"/>
                              </a:lnTo>
                              <a:lnTo>
                                <a:pt x="453" y="222"/>
                              </a:lnTo>
                              <a:lnTo>
                                <a:pt x="455" y="222"/>
                              </a:lnTo>
                              <a:lnTo>
                                <a:pt x="459" y="223"/>
                              </a:lnTo>
                              <a:lnTo>
                                <a:pt x="462" y="223"/>
                              </a:lnTo>
                              <a:lnTo>
                                <a:pt x="465" y="223"/>
                              </a:lnTo>
                              <a:lnTo>
                                <a:pt x="467" y="223"/>
                              </a:lnTo>
                              <a:lnTo>
                                <a:pt x="468" y="223"/>
                              </a:lnTo>
                              <a:lnTo>
                                <a:pt x="469" y="223"/>
                              </a:lnTo>
                              <a:lnTo>
                                <a:pt x="471" y="223"/>
                              </a:lnTo>
                              <a:lnTo>
                                <a:pt x="473" y="224"/>
                              </a:lnTo>
                              <a:lnTo>
                                <a:pt x="475" y="224"/>
                              </a:lnTo>
                              <a:lnTo>
                                <a:pt x="477" y="224"/>
                              </a:lnTo>
                              <a:lnTo>
                                <a:pt x="480" y="224"/>
                              </a:lnTo>
                              <a:lnTo>
                                <a:pt x="483" y="224"/>
                              </a:lnTo>
                              <a:lnTo>
                                <a:pt x="486" y="224"/>
                              </a:lnTo>
                              <a:lnTo>
                                <a:pt x="491" y="225"/>
                              </a:lnTo>
                              <a:lnTo>
                                <a:pt x="495" y="225"/>
                              </a:lnTo>
                              <a:lnTo>
                                <a:pt x="499" y="225"/>
                              </a:lnTo>
                              <a:lnTo>
                                <a:pt x="501" y="225"/>
                              </a:lnTo>
                              <a:lnTo>
                                <a:pt x="503" y="225"/>
                              </a:lnTo>
                              <a:lnTo>
                                <a:pt x="505" y="225"/>
                              </a:lnTo>
                              <a:lnTo>
                                <a:pt x="507" y="226"/>
                              </a:lnTo>
                              <a:lnTo>
                                <a:pt x="510" y="226"/>
                              </a:lnTo>
                              <a:lnTo>
                                <a:pt x="512" y="226"/>
                              </a:lnTo>
                              <a:lnTo>
                                <a:pt x="516" y="226"/>
                              </a:lnTo>
                              <a:lnTo>
                                <a:pt x="519" y="226"/>
                              </a:lnTo>
                              <a:lnTo>
                                <a:pt x="524" y="226"/>
                              </a:lnTo>
                              <a:lnTo>
                                <a:pt x="528" y="227"/>
                              </a:lnTo>
                              <a:lnTo>
                                <a:pt x="533" y="227"/>
                              </a:lnTo>
                              <a:lnTo>
                                <a:pt x="537" y="227"/>
                              </a:lnTo>
                              <a:lnTo>
                                <a:pt x="540" y="227"/>
                              </a:lnTo>
                              <a:lnTo>
                                <a:pt x="542" y="227"/>
                              </a:lnTo>
                              <a:lnTo>
                                <a:pt x="544" y="227"/>
                              </a:lnTo>
                              <a:lnTo>
                                <a:pt x="547" y="227"/>
                              </a:lnTo>
                              <a:lnTo>
                                <a:pt x="551" y="227"/>
                              </a:lnTo>
                              <a:lnTo>
                                <a:pt x="555" y="227"/>
                              </a:lnTo>
                              <a:lnTo>
                                <a:pt x="558" y="228"/>
                              </a:lnTo>
                              <a:lnTo>
                                <a:pt x="562" y="228"/>
                              </a:lnTo>
                              <a:lnTo>
                                <a:pt x="566" y="228"/>
                              </a:lnTo>
                              <a:lnTo>
                                <a:pt x="571" y="228"/>
                              </a:lnTo>
                              <a:lnTo>
                                <a:pt x="575" y="228"/>
                              </a:lnTo>
                              <a:lnTo>
                                <a:pt x="578" y="228"/>
                              </a:lnTo>
                              <a:lnTo>
                                <a:pt x="580" y="229"/>
                              </a:lnTo>
                              <a:lnTo>
                                <a:pt x="581" y="229"/>
                              </a:lnTo>
                              <a:lnTo>
                                <a:pt x="584" y="229"/>
                              </a:lnTo>
                              <a:lnTo>
                                <a:pt x="586" y="229"/>
                              </a:lnTo>
                              <a:lnTo>
                                <a:pt x="588" y="229"/>
                              </a:lnTo>
                              <a:lnTo>
                                <a:pt x="591" y="229"/>
                              </a:lnTo>
                              <a:lnTo>
                                <a:pt x="595" y="229"/>
                              </a:lnTo>
                              <a:lnTo>
                                <a:pt x="600" y="229"/>
                              </a:lnTo>
                              <a:lnTo>
                                <a:pt x="606" y="229"/>
                              </a:lnTo>
                              <a:lnTo>
                                <a:pt x="611" y="229"/>
                              </a:lnTo>
                              <a:lnTo>
                                <a:pt x="615" y="229"/>
                              </a:lnTo>
                              <a:lnTo>
                                <a:pt x="619" y="229"/>
                              </a:lnTo>
                              <a:lnTo>
                                <a:pt x="624" y="230"/>
                              </a:lnTo>
                              <a:lnTo>
                                <a:pt x="628" y="230"/>
                              </a:lnTo>
                              <a:lnTo>
                                <a:pt x="632" y="230"/>
                              </a:lnTo>
                              <a:lnTo>
                                <a:pt x="637" y="230"/>
                              </a:lnTo>
                              <a:lnTo>
                                <a:pt x="641" y="230"/>
                              </a:lnTo>
                              <a:lnTo>
                                <a:pt x="645" y="230"/>
                              </a:lnTo>
                              <a:lnTo>
                                <a:pt x="650" y="230"/>
                              </a:lnTo>
                              <a:lnTo>
                                <a:pt x="653" y="230"/>
                              </a:lnTo>
                              <a:lnTo>
                                <a:pt x="657" y="230"/>
                              </a:lnTo>
                              <a:lnTo>
                                <a:pt x="661" y="231"/>
                              </a:lnTo>
                              <a:lnTo>
                                <a:pt x="666" y="231"/>
                              </a:lnTo>
                              <a:lnTo>
                                <a:pt x="670" y="231"/>
                              </a:lnTo>
                              <a:lnTo>
                                <a:pt x="674" y="231"/>
                              </a:lnTo>
                              <a:lnTo>
                                <a:pt x="679" y="231"/>
                              </a:lnTo>
                              <a:lnTo>
                                <a:pt x="684" y="231"/>
                              </a:lnTo>
                              <a:lnTo>
                                <a:pt x="689" y="231"/>
                              </a:lnTo>
                              <a:lnTo>
                                <a:pt x="695" y="231"/>
                              </a:lnTo>
                              <a:lnTo>
                                <a:pt x="701" y="231"/>
                              </a:lnTo>
                              <a:lnTo>
                                <a:pt x="707" y="231"/>
                              </a:lnTo>
                              <a:lnTo>
                                <a:pt x="713" y="232"/>
                              </a:lnTo>
                              <a:lnTo>
                                <a:pt x="717" y="232"/>
                              </a:lnTo>
                              <a:lnTo>
                                <a:pt x="721" y="232"/>
                              </a:lnTo>
                              <a:lnTo>
                                <a:pt x="724" y="232"/>
                              </a:lnTo>
                              <a:lnTo>
                                <a:pt x="727" y="232"/>
                              </a:lnTo>
                              <a:lnTo>
                                <a:pt x="732" y="232"/>
                              </a:lnTo>
                              <a:lnTo>
                                <a:pt x="736" y="232"/>
                              </a:lnTo>
                              <a:lnTo>
                                <a:pt x="740" y="232"/>
                              </a:lnTo>
                              <a:lnTo>
                                <a:pt x="744" y="232"/>
                              </a:lnTo>
                              <a:lnTo>
                                <a:pt x="748" y="232"/>
                              </a:lnTo>
                              <a:lnTo>
                                <a:pt x="753" y="232"/>
                              </a:lnTo>
                              <a:lnTo>
                                <a:pt x="756" y="232"/>
                              </a:lnTo>
                              <a:lnTo>
                                <a:pt x="761" y="232"/>
                              </a:lnTo>
                              <a:lnTo>
                                <a:pt x="764" y="232"/>
                              </a:lnTo>
                              <a:lnTo>
                                <a:pt x="767" y="232"/>
                              </a:lnTo>
                              <a:lnTo>
                                <a:pt x="771" y="232"/>
                              </a:lnTo>
                              <a:lnTo>
                                <a:pt x="777" y="232"/>
                              </a:lnTo>
                              <a:lnTo>
                                <a:pt x="782" y="232"/>
                              </a:lnTo>
                              <a:lnTo>
                                <a:pt x="787" y="233"/>
                              </a:lnTo>
                              <a:lnTo>
                                <a:pt x="793" y="233"/>
                              </a:lnTo>
                              <a:lnTo>
                                <a:pt x="799" y="233"/>
                              </a:lnTo>
                              <a:lnTo>
                                <a:pt x="805" y="233"/>
                              </a:lnTo>
                              <a:lnTo>
                                <a:pt x="811" y="233"/>
                              </a:lnTo>
                              <a:lnTo>
                                <a:pt x="817" y="233"/>
                              </a:lnTo>
                              <a:lnTo>
                                <a:pt x="824" y="233"/>
                              </a:lnTo>
                              <a:lnTo>
                                <a:pt x="832" y="233"/>
                              </a:lnTo>
                              <a:lnTo>
                                <a:pt x="838" y="233"/>
                              </a:lnTo>
                              <a:lnTo>
                                <a:pt x="843" y="233"/>
                              </a:lnTo>
                              <a:lnTo>
                                <a:pt x="848" y="233"/>
                              </a:lnTo>
                              <a:lnTo>
                                <a:pt x="854" y="233"/>
                              </a:lnTo>
                              <a:lnTo>
                                <a:pt x="860" y="233"/>
                              </a:lnTo>
                              <a:lnTo>
                                <a:pt x="867" y="233"/>
                              </a:lnTo>
                              <a:lnTo>
                                <a:pt x="873" y="233"/>
                              </a:lnTo>
                              <a:lnTo>
                                <a:pt x="880" y="233"/>
                              </a:lnTo>
                              <a:lnTo>
                                <a:pt x="885" y="233"/>
                              </a:lnTo>
                              <a:lnTo>
                                <a:pt x="890" y="233"/>
                              </a:lnTo>
                              <a:lnTo>
                                <a:pt x="894" y="233"/>
                              </a:lnTo>
                              <a:lnTo>
                                <a:pt x="899" y="233"/>
                              </a:lnTo>
                              <a:lnTo>
                                <a:pt x="904" y="234"/>
                              </a:lnTo>
                              <a:lnTo>
                                <a:pt x="909" y="234"/>
                              </a:lnTo>
                              <a:lnTo>
                                <a:pt x="914" y="234"/>
                              </a:lnTo>
                              <a:lnTo>
                                <a:pt x="920" y="234"/>
                              </a:lnTo>
                              <a:lnTo>
                                <a:pt x="926" y="234"/>
                              </a:lnTo>
                              <a:lnTo>
                                <a:pt x="932" y="234"/>
                              </a:lnTo>
                              <a:lnTo>
                                <a:pt x="938" y="234"/>
                              </a:lnTo>
                              <a:lnTo>
                                <a:pt x="944" y="234"/>
                              </a:lnTo>
                              <a:lnTo>
                                <a:pt x="951" y="234"/>
                              </a:lnTo>
                              <a:lnTo>
                                <a:pt x="958" y="234"/>
                              </a:lnTo>
                              <a:lnTo>
                                <a:pt x="964" y="234"/>
                              </a:lnTo>
                              <a:lnTo>
                                <a:pt x="971" y="234"/>
                              </a:lnTo>
                              <a:lnTo>
                                <a:pt x="977" y="234"/>
                              </a:lnTo>
                              <a:lnTo>
                                <a:pt x="982" y="234"/>
                              </a:lnTo>
                              <a:lnTo>
                                <a:pt x="988" y="234"/>
                              </a:lnTo>
                              <a:lnTo>
                                <a:pt x="994" y="234"/>
                              </a:lnTo>
                              <a:lnTo>
                                <a:pt x="1000" y="234"/>
                              </a:lnTo>
                              <a:lnTo>
                                <a:pt x="1006" y="234"/>
                              </a:lnTo>
                              <a:lnTo>
                                <a:pt x="1011" y="234"/>
                              </a:lnTo>
                              <a:lnTo>
                                <a:pt x="1017" y="234"/>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159" name="Freeform 135"/>
                        <a:cNvSpPr>
                          <a:spLocks/>
                        </a:cNvSpPr>
                      </a:nvSpPr>
                      <a:spPr bwMode="auto">
                        <a:xfrm>
                          <a:off x="6189663" y="5236857"/>
                          <a:ext cx="2090738" cy="212716"/>
                        </a:xfrm>
                        <a:custGeom>
                          <a:avLst/>
                          <a:gdLst/>
                          <a:ahLst/>
                          <a:cxnLst>
                            <a:cxn ang="0">
                              <a:pos x="42" y="133"/>
                            </a:cxn>
                            <a:cxn ang="0">
                              <a:pos x="87" y="133"/>
                            </a:cxn>
                            <a:cxn ang="0">
                              <a:pos x="134" y="133"/>
                            </a:cxn>
                            <a:cxn ang="0">
                              <a:pos x="180" y="133"/>
                            </a:cxn>
                            <a:cxn ang="0">
                              <a:pos x="226" y="134"/>
                            </a:cxn>
                            <a:cxn ang="0">
                              <a:pos x="270" y="133"/>
                            </a:cxn>
                            <a:cxn ang="0">
                              <a:pos x="307" y="133"/>
                            </a:cxn>
                            <a:cxn ang="0">
                              <a:pos x="334" y="133"/>
                            </a:cxn>
                            <a:cxn ang="0">
                              <a:pos x="366" y="135"/>
                            </a:cxn>
                            <a:cxn ang="0">
                              <a:pos x="389" y="136"/>
                            </a:cxn>
                            <a:cxn ang="0">
                              <a:pos x="409" y="136"/>
                            </a:cxn>
                            <a:cxn ang="0">
                              <a:pos x="432" y="135"/>
                            </a:cxn>
                            <a:cxn ang="0">
                              <a:pos x="452" y="133"/>
                            </a:cxn>
                            <a:cxn ang="0">
                              <a:pos x="484" y="130"/>
                            </a:cxn>
                            <a:cxn ang="0">
                              <a:pos x="502" y="128"/>
                            </a:cxn>
                            <a:cxn ang="0">
                              <a:pos x="526" y="126"/>
                            </a:cxn>
                            <a:cxn ang="0">
                              <a:pos x="551" y="124"/>
                            </a:cxn>
                            <a:cxn ang="0">
                              <a:pos x="569" y="123"/>
                            </a:cxn>
                            <a:cxn ang="0">
                              <a:pos x="597" y="122"/>
                            </a:cxn>
                            <a:cxn ang="0">
                              <a:pos x="634" y="121"/>
                            </a:cxn>
                            <a:cxn ang="0">
                              <a:pos x="662" y="121"/>
                            </a:cxn>
                            <a:cxn ang="0">
                              <a:pos x="699" y="121"/>
                            </a:cxn>
                            <a:cxn ang="0">
                              <a:pos x="734" y="121"/>
                            </a:cxn>
                            <a:cxn ang="0">
                              <a:pos x="765" y="122"/>
                            </a:cxn>
                            <a:cxn ang="0">
                              <a:pos x="799" y="122"/>
                            </a:cxn>
                            <a:cxn ang="0">
                              <a:pos x="832" y="122"/>
                            </a:cxn>
                            <a:cxn ang="0">
                              <a:pos x="871" y="123"/>
                            </a:cxn>
                            <a:cxn ang="0">
                              <a:pos x="928" y="123"/>
                            </a:cxn>
                            <a:cxn ang="0">
                              <a:pos x="952" y="123"/>
                            </a:cxn>
                            <a:cxn ang="0">
                              <a:pos x="963" y="122"/>
                            </a:cxn>
                            <a:cxn ang="0">
                              <a:pos x="969" y="121"/>
                            </a:cxn>
                            <a:cxn ang="0">
                              <a:pos x="974" y="120"/>
                            </a:cxn>
                            <a:cxn ang="0">
                              <a:pos x="981" y="117"/>
                            </a:cxn>
                            <a:cxn ang="0">
                              <a:pos x="988" y="112"/>
                            </a:cxn>
                            <a:cxn ang="0">
                              <a:pos x="995" y="107"/>
                            </a:cxn>
                            <a:cxn ang="0">
                              <a:pos x="1001" y="100"/>
                            </a:cxn>
                            <a:cxn ang="0">
                              <a:pos x="1004" y="95"/>
                            </a:cxn>
                            <a:cxn ang="0">
                              <a:pos x="1006" y="92"/>
                            </a:cxn>
                            <a:cxn ang="0">
                              <a:pos x="1011" y="83"/>
                            </a:cxn>
                            <a:cxn ang="0">
                              <a:pos x="1024" y="59"/>
                            </a:cxn>
                            <a:cxn ang="0">
                              <a:pos x="1040" y="27"/>
                            </a:cxn>
                            <a:cxn ang="0">
                              <a:pos x="1047" y="14"/>
                            </a:cxn>
                            <a:cxn ang="0">
                              <a:pos x="1058" y="3"/>
                            </a:cxn>
                            <a:cxn ang="0">
                              <a:pos x="1068" y="0"/>
                            </a:cxn>
                            <a:cxn ang="0">
                              <a:pos x="1078" y="4"/>
                            </a:cxn>
                            <a:cxn ang="0">
                              <a:pos x="1084" y="10"/>
                            </a:cxn>
                            <a:cxn ang="0">
                              <a:pos x="1100" y="31"/>
                            </a:cxn>
                            <a:cxn ang="0">
                              <a:pos x="1116" y="55"/>
                            </a:cxn>
                            <a:cxn ang="0">
                              <a:pos x="1123" y="65"/>
                            </a:cxn>
                            <a:cxn ang="0">
                              <a:pos x="1137" y="83"/>
                            </a:cxn>
                            <a:cxn ang="0">
                              <a:pos x="1149" y="96"/>
                            </a:cxn>
                            <a:cxn ang="0">
                              <a:pos x="1155" y="101"/>
                            </a:cxn>
                            <a:cxn ang="0">
                              <a:pos x="1162" y="106"/>
                            </a:cxn>
                            <a:cxn ang="0">
                              <a:pos x="1173" y="114"/>
                            </a:cxn>
                            <a:cxn ang="0">
                              <a:pos x="1185" y="120"/>
                            </a:cxn>
                            <a:cxn ang="0">
                              <a:pos x="1191" y="123"/>
                            </a:cxn>
                            <a:cxn ang="0">
                              <a:pos x="1200" y="126"/>
                            </a:cxn>
                            <a:cxn ang="0">
                              <a:pos x="1215" y="130"/>
                            </a:cxn>
                            <a:cxn ang="0">
                              <a:pos x="1227" y="133"/>
                            </a:cxn>
                            <a:cxn ang="0">
                              <a:pos x="1242" y="135"/>
                            </a:cxn>
                            <a:cxn ang="0">
                              <a:pos x="1262" y="137"/>
                            </a:cxn>
                            <a:cxn ang="0">
                              <a:pos x="1274" y="138"/>
                            </a:cxn>
                            <a:cxn ang="0">
                              <a:pos x="1301" y="140"/>
                            </a:cxn>
                          </a:cxnLst>
                          <a:rect l="0" t="0" r="r" b="b"/>
                          <a:pathLst>
                            <a:path w="1317" h="140">
                              <a:moveTo>
                                <a:pt x="0" y="133"/>
                              </a:moveTo>
                              <a:lnTo>
                                <a:pt x="6" y="133"/>
                              </a:lnTo>
                              <a:lnTo>
                                <a:pt x="12" y="133"/>
                              </a:lnTo>
                              <a:lnTo>
                                <a:pt x="18" y="133"/>
                              </a:lnTo>
                              <a:lnTo>
                                <a:pt x="24" y="133"/>
                              </a:lnTo>
                              <a:lnTo>
                                <a:pt x="29" y="133"/>
                              </a:lnTo>
                              <a:lnTo>
                                <a:pt x="36" y="133"/>
                              </a:lnTo>
                              <a:lnTo>
                                <a:pt x="42" y="133"/>
                              </a:lnTo>
                              <a:lnTo>
                                <a:pt x="48" y="133"/>
                              </a:lnTo>
                              <a:lnTo>
                                <a:pt x="53" y="133"/>
                              </a:lnTo>
                              <a:lnTo>
                                <a:pt x="60" y="133"/>
                              </a:lnTo>
                              <a:lnTo>
                                <a:pt x="66" y="133"/>
                              </a:lnTo>
                              <a:lnTo>
                                <a:pt x="71" y="133"/>
                              </a:lnTo>
                              <a:lnTo>
                                <a:pt x="77" y="133"/>
                              </a:lnTo>
                              <a:lnTo>
                                <a:pt x="82" y="133"/>
                              </a:lnTo>
                              <a:lnTo>
                                <a:pt x="87" y="133"/>
                              </a:lnTo>
                              <a:lnTo>
                                <a:pt x="92" y="133"/>
                              </a:lnTo>
                              <a:lnTo>
                                <a:pt x="98" y="133"/>
                              </a:lnTo>
                              <a:lnTo>
                                <a:pt x="104" y="133"/>
                              </a:lnTo>
                              <a:lnTo>
                                <a:pt x="110" y="133"/>
                              </a:lnTo>
                              <a:lnTo>
                                <a:pt x="116" y="133"/>
                              </a:lnTo>
                              <a:lnTo>
                                <a:pt x="122" y="133"/>
                              </a:lnTo>
                              <a:lnTo>
                                <a:pt x="128" y="133"/>
                              </a:lnTo>
                              <a:lnTo>
                                <a:pt x="134" y="133"/>
                              </a:lnTo>
                              <a:lnTo>
                                <a:pt x="141" y="133"/>
                              </a:lnTo>
                              <a:lnTo>
                                <a:pt x="147" y="133"/>
                              </a:lnTo>
                              <a:lnTo>
                                <a:pt x="153" y="133"/>
                              </a:lnTo>
                              <a:lnTo>
                                <a:pt x="158" y="133"/>
                              </a:lnTo>
                              <a:lnTo>
                                <a:pt x="163" y="133"/>
                              </a:lnTo>
                              <a:lnTo>
                                <a:pt x="169" y="133"/>
                              </a:lnTo>
                              <a:lnTo>
                                <a:pt x="174" y="133"/>
                              </a:lnTo>
                              <a:lnTo>
                                <a:pt x="180" y="133"/>
                              </a:lnTo>
                              <a:lnTo>
                                <a:pt x="187" y="134"/>
                              </a:lnTo>
                              <a:lnTo>
                                <a:pt x="192" y="133"/>
                              </a:lnTo>
                              <a:lnTo>
                                <a:pt x="199" y="133"/>
                              </a:lnTo>
                              <a:lnTo>
                                <a:pt x="206" y="134"/>
                              </a:lnTo>
                              <a:lnTo>
                                <a:pt x="211" y="134"/>
                              </a:lnTo>
                              <a:lnTo>
                                <a:pt x="215" y="134"/>
                              </a:lnTo>
                              <a:lnTo>
                                <a:pt x="220" y="134"/>
                              </a:lnTo>
                              <a:lnTo>
                                <a:pt x="226" y="134"/>
                              </a:lnTo>
                              <a:lnTo>
                                <a:pt x="232" y="133"/>
                              </a:lnTo>
                              <a:lnTo>
                                <a:pt x="238" y="133"/>
                              </a:lnTo>
                              <a:lnTo>
                                <a:pt x="245" y="133"/>
                              </a:lnTo>
                              <a:lnTo>
                                <a:pt x="250" y="133"/>
                              </a:lnTo>
                              <a:lnTo>
                                <a:pt x="256" y="133"/>
                              </a:lnTo>
                              <a:lnTo>
                                <a:pt x="263" y="133"/>
                              </a:lnTo>
                              <a:lnTo>
                                <a:pt x="267" y="133"/>
                              </a:lnTo>
                              <a:lnTo>
                                <a:pt x="270" y="133"/>
                              </a:lnTo>
                              <a:lnTo>
                                <a:pt x="274" y="133"/>
                              </a:lnTo>
                              <a:lnTo>
                                <a:pt x="278" y="133"/>
                              </a:lnTo>
                              <a:lnTo>
                                <a:pt x="283" y="133"/>
                              </a:lnTo>
                              <a:lnTo>
                                <a:pt x="288" y="133"/>
                              </a:lnTo>
                              <a:lnTo>
                                <a:pt x="293" y="133"/>
                              </a:lnTo>
                              <a:lnTo>
                                <a:pt x="300" y="133"/>
                              </a:lnTo>
                              <a:lnTo>
                                <a:pt x="305" y="133"/>
                              </a:lnTo>
                              <a:lnTo>
                                <a:pt x="307" y="133"/>
                              </a:lnTo>
                              <a:lnTo>
                                <a:pt x="310" y="133"/>
                              </a:lnTo>
                              <a:lnTo>
                                <a:pt x="313" y="133"/>
                              </a:lnTo>
                              <a:lnTo>
                                <a:pt x="316" y="133"/>
                              </a:lnTo>
                              <a:lnTo>
                                <a:pt x="319" y="133"/>
                              </a:lnTo>
                              <a:lnTo>
                                <a:pt x="323" y="133"/>
                              </a:lnTo>
                              <a:lnTo>
                                <a:pt x="327" y="133"/>
                              </a:lnTo>
                              <a:lnTo>
                                <a:pt x="331" y="133"/>
                              </a:lnTo>
                              <a:lnTo>
                                <a:pt x="334" y="133"/>
                              </a:lnTo>
                              <a:lnTo>
                                <a:pt x="339" y="134"/>
                              </a:lnTo>
                              <a:lnTo>
                                <a:pt x="345" y="134"/>
                              </a:lnTo>
                              <a:lnTo>
                                <a:pt x="347" y="134"/>
                              </a:lnTo>
                              <a:lnTo>
                                <a:pt x="349" y="134"/>
                              </a:lnTo>
                              <a:lnTo>
                                <a:pt x="352" y="134"/>
                              </a:lnTo>
                              <a:lnTo>
                                <a:pt x="357" y="135"/>
                              </a:lnTo>
                              <a:lnTo>
                                <a:pt x="362" y="135"/>
                              </a:lnTo>
                              <a:lnTo>
                                <a:pt x="366" y="135"/>
                              </a:lnTo>
                              <a:lnTo>
                                <a:pt x="369" y="135"/>
                              </a:lnTo>
                              <a:lnTo>
                                <a:pt x="372" y="136"/>
                              </a:lnTo>
                              <a:lnTo>
                                <a:pt x="375" y="136"/>
                              </a:lnTo>
                              <a:lnTo>
                                <a:pt x="378" y="136"/>
                              </a:lnTo>
                              <a:lnTo>
                                <a:pt x="381" y="136"/>
                              </a:lnTo>
                              <a:lnTo>
                                <a:pt x="383" y="136"/>
                              </a:lnTo>
                              <a:lnTo>
                                <a:pt x="386" y="136"/>
                              </a:lnTo>
                              <a:lnTo>
                                <a:pt x="389" y="136"/>
                              </a:lnTo>
                              <a:lnTo>
                                <a:pt x="392" y="136"/>
                              </a:lnTo>
                              <a:lnTo>
                                <a:pt x="394" y="136"/>
                              </a:lnTo>
                              <a:lnTo>
                                <a:pt x="397" y="136"/>
                              </a:lnTo>
                              <a:lnTo>
                                <a:pt x="399" y="136"/>
                              </a:lnTo>
                              <a:lnTo>
                                <a:pt x="402" y="136"/>
                              </a:lnTo>
                              <a:lnTo>
                                <a:pt x="404" y="136"/>
                              </a:lnTo>
                              <a:lnTo>
                                <a:pt x="407" y="136"/>
                              </a:lnTo>
                              <a:lnTo>
                                <a:pt x="409" y="136"/>
                              </a:lnTo>
                              <a:lnTo>
                                <a:pt x="411" y="136"/>
                              </a:lnTo>
                              <a:lnTo>
                                <a:pt x="412" y="136"/>
                              </a:lnTo>
                              <a:lnTo>
                                <a:pt x="415" y="136"/>
                              </a:lnTo>
                              <a:lnTo>
                                <a:pt x="419" y="136"/>
                              </a:lnTo>
                              <a:lnTo>
                                <a:pt x="422" y="135"/>
                              </a:lnTo>
                              <a:lnTo>
                                <a:pt x="425" y="135"/>
                              </a:lnTo>
                              <a:lnTo>
                                <a:pt x="428" y="135"/>
                              </a:lnTo>
                              <a:lnTo>
                                <a:pt x="432" y="135"/>
                              </a:lnTo>
                              <a:lnTo>
                                <a:pt x="435" y="134"/>
                              </a:lnTo>
                              <a:lnTo>
                                <a:pt x="439" y="134"/>
                              </a:lnTo>
                              <a:lnTo>
                                <a:pt x="444" y="134"/>
                              </a:lnTo>
                              <a:lnTo>
                                <a:pt x="447" y="133"/>
                              </a:lnTo>
                              <a:lnTo>
                                <a:pt x="449" y="133"/>
                              </a:lnTo>
                              <a:lnTo>
                                <a:pt x="450" y="133"/>
                              </a:lnTo>
                              <a:lnTo>
                                <a:pt x="452" y="133"/>
                              </a:lnTo>
                              <a:lnTo>
                                <a:pt x="452" y="133"/>
                              </a:lnTo>
                              <a:lnTo>
                                <a:pt x="454" y="133"/>
                              </a:lnTo>
                              <a:lnTo>
                                <a:pt x="457" y="132"/>
                              </a:lnTo>
                              <a:lnTo>
                                <a:pt x="460" y="132"/>
                              </a:lnTo>
                              <a:lnTo>
                                <a:pt x="464" y="132"/>
                              </a:lnTo>
                              <a:lnTo>
                                <a:pt x="468" y="131"/>
                              </a:lnTo>
                              <a:lnTo>
                                <a:pt x="474" y="131"/>
                              </a:lnTo>
                              <a:lnTo>
                                <a:pt x="481" y="130"/>
                              </a:lnTo>
                              <a:lnTo>
                                <a:pt x="484" y="130"/>
                              </a:lnTo>
                              <a:lnTo>
                                <a:pt x="486" y="130"/>
                              </a:lnTo>
                              <a:lnTo>
                                <a:pt x="487" y="130"/>
                              </a:lnTo>
                              <a:lnTo>
                                <a:pt x="488" y="130"/>
                              </a:lnTo>
                              <a:lnTo>
                                <a:pt x="488" y="130"/>
                              </a:lnTo>
                              <a:lnTo>
                                <a:pt x="490" y="130"/>
                              </a:lnTo>
                              <a:lnTo>
                                <a:pt x="494" y="129"/>
                              </a:lnTo>
                              <a:lnTo>
                                <a:pt x="498" y="129"/>
                              </a:lnTo>
                              <a:lnTo>
                                <a:pt x="502" y="128"/>
                              </a:lnTo>
                              <a:lnTo>
                                <a:pt x="506" y="128"/>
                              </a:lnTo>
                              <a:lnTo>
                                <a:pt x="511" y="127"/>
                              </a:lnTo>
                              <a:lnTo>
                                <a:pt x="517" y="127"/>
                              </a:lnTo>
                              <a:lnTo>
                                <a:pt x="521" y="127"/>
                              </a:lnTo>
                              <a:lnTo>
                                <a:pt x="523" y="126"/>
                              </a:lnTo>
                              <a:lnTo>
                                <a:pt x="524" y="126"/>
                              </a:lnTo>
                              <a:lnTo>
                                <a:pt x="525" y="126"/>
                              </a:lnTo>
                              <a:lnTo>
                                <a:pt x="526" y="126"/>
                              </a:lnTo>
                              <a:lnTo>
                                <a:pt x="527" y="126"/>
                              </a:lnTo>
                              <a:lnTo>
                                <a:pt x="530" y="126"/>
                              </a:lnTo>
                              <a:lnTo>
                                <a:pt x="533" y="126"/>
                              </a:lnTo>
                              <a:lnTo>
                                <a:pt x="538" y="125"/>
                              </a:lnTo>
                              <a:lnTo>
                                <a:pt x="541" y="125"/>
                              </a:lnTo>
                              <a:lnTo>
                                <a:pt x="544" y="125"/>
                              </a:lnTo>
                              <a:lnTo>
                                <a:pt x="547" y="124"/>
                              </a:lnTo>
                              <a:lnTo>
                                <a:pt x="551" y="124"/>
                              </a:lnTo>
                              <a:lnTo>
                                <a:pt x="555" y="124"/>
                              </a:lnTo>
                              <a:lnTo>
                                <a:pt x="559" y="124"/>
                              </a:lnTo>
                              <a:lnTo>
                                <a:pt x="560" y="124"/>
                              </a:lnTo>
                              <a:lnTo>
                                <a:pt x="562" y="124"/>
                              </a:lnTo>
                              <a:lnTo>
                                <a:pt x="563" y="123"/>
                              </a:lnTo>
                              <a:lnTo>
                                <a:pt x="564" y="123"/>
                              </a:lnTo>
                              <a:lnTo>
                                <a:pt x="567" y="123"/>
                              </a:lnTo>
                              <a:lnTo>
                                <a:pt x="569" y="123"/>
                              </a:lnTo>
                              <a:lnTo>
                                <a:pt x="572" y="123"/>
                              </a:lnTo>
                              <a:lnTo>
                                <a:pt x="576" y="123"/>
                              </a:lnTo>
                              <a:lnTo>
                                <a:pt x="579" y="122"/>
                              </a:lnTo>
                              <a:lnTo>
                                <a:pt x="582" y="122"/>
                              </a:lnTo>
                              <a:lnTo>
                                <a:pt x="586" y="122"/>
                              </a:lnTo>
                              <a:lnTo>
                                <a:pt x="591" y="122"/>
                              </a:lnTo>
                              <a:lnTo>
                                <a:pt x="595" y="122"/>
                              </a:lnTo>
                              <a:lnTo>
                                <a:pt x="597" y="122"/>
                              </a:lnTo>
                              <a:lnTo>
                                <a:pt x="599" y="122"/>
                              </a:lnTo>
                              <a:lnTo>
                                <a:pt x="602" y="122"/>
                              </a:lnTo>
                              <a:lnTo>
                                <a:pt x="607" y="122"/>
                              </a:lnTo>
                              <a:lnTo>
                                <a:pt x="613" y="121"/>
                              </a:lnTo>
                              <a:lnTo>
                                <a:pt x="620" y="121"/>
                              </a:lnTo>
                              <a:lnTo>
                                <a:pt x="626" y="121"/>
                              </a:lnTo>
                              <a:lnTo>
                                <a:pt x="630" y="121"/>
                              </a:lnTo>
                              <a:lnTo>
                                <a:pt x="634" y="121"/>
                              </a:lnTo>
                              <a:lnTo>
                                <a:pt x="638" y="121"/>
                              </a:lnTo>
                              <a:lnTo>
                                <a:pt x="641" y="121"/>
                              </a:lnTo>
                              <a:lnTo>
                                <a:pt x="645" y="121"/>
                              </a:lnTo>
                              <a:lnTo>
                                <a:pt x="649" y="121"/>
                              </a:lnTo>
                              <a:lnTo>
                                <a:pt x="652" y="121"/>
                              </a:lnTo>
                              <a:lnTo>
                                <a:pt x="656" y="121"/>
                              </a:lnTo>
                              <a:lnTo>
                                <a:pt x="659" y="121"/>
                              </a:lnTo>
                              <a:lnTo>
                                <a:pt x="662" y="121"/>
                              </a:lnTo>
                              <a:lnTo>
                                <a:pt x="665" y="121"/>
                              </a:lnTo>
                              <a:lnTo>
                                <a:pt x="669" y="121"/>
                              </a:lnTo>
                              <a:lnTo>
                                <a:pt x="674" y="121"/>
                              </a:lnTo>
                              <a:lnTo>
                                <a:pt x="676" y="121"/>
                              </a:lnTo>
                              <a:lnTo>
                                <a:pt x="680" y="121"/>
                              </a:lnTo>
                              <a:lnTo>
                                <a:pt x="686" y="121"/>
                              </a:lnTo>
                              <a:lnTo>
                                <a:pt x="691" y="121"/>
                              </a:lnTo>
                              <a:lnTo>
                                <a:pt x="699" y="121"/>
                              </a:lnTo>
                              <a:lnTo>
                                <a:pt x="707" y="121"/>
                              </a:lnTo>
                              <a:lnTo>
                                <a:pt x="710" y="121"/>
                              </a:lnTo>
                              <a:lnTo>
                                <a:pt x="712" y="121"/>
                              </a:lnTo>
                              <a:lnTo>
                                <a:pt x="715" y="121"/>
                              </a:lnTo>
                              <a:lnTo>
                                <a:pt x="718" y="121"/>
                              </a:lnTo>
                              <a:lnTo>
                                <a:pt x="722" y="121"/>
                              </a:lnTo>
                              <a:lnTo>
                                <a:pt x="728" y="121"/>
                              </a:lnTo>
                              <a:lnTo>
                                <a:pt x="734" y="121"/>
                              </a:lnTo>
                              <a:lnTo>
                                <a:pt x="741" y="121"/>
                              </a:lnTo>
                              <a:lnTo>
                                <a:pt x="745" y="122"/>
                              </a:lnTo>
                              <a:lnTo>
                                <a:pt x="748" y="122"/>
                              </a:lnTo>
                              <a:lnTo>
                                <a:pt x="751" y="122"/>
                              </a:lnTo>
                              <a:lnTo>
                                <a:pt x="754" y="122"/>
                              </a:lnTo>
                              <a:lnTo>
                                <a:pt x="757" y="122"/>
                              </a:lnTo>
                              <a:lnTo>
                                <a:pt x="760" y="122"/>
                              </a:lnTo>
                              <a:lnTo>
                                <a:pt x="765" y="122"/>
                              </a:lnTo>
                              <a:lnTo>
                                <a:pt x="772" y="122"/>
                              </a:lnTo>
                              <a:lnTo>
                                <a:pt x="777" y="122"/>
                              </a:lnTo>
                              <a:lnTo>
                                <a:pt x="782" y="122"/>
                              </a:lnTo>
                              <a:lnTo>
                                <a:pt x="786" y="122"/>
                              </a:lnTo>
                              <a:lnTo>
                                <a:pt x="790" y="122"/>
                              </a:lnTo>
                              <a:lnTo>
                                <a:pt x="792" y="122"/>
                              </a:lnTo>
                              <a:lnTo>
                                <a:pt x="795" y="122"/>
                              </a:lnTo>
                              <a:lnTo>
                                <a:pt x="799" y="122"/>
                              </a:lnTo>
                              <a:lnTo>
                                <a:pt x="802" y="122"/>
                              </a:lnTo>
                              <a:lnTo>
                                <a:pt x="806" y="122"/>
                              </a:lnTo>
                              <a:lnTo>
                                <a:pt x="809" y="122"/>
                              </a:lnTo>
                              <a:lnTo>
                                <a:pt x="814" y="122"/>
                              </a:lnTo>
                              <a:lnTo>
                                <a:pt x="819" y="122"/>
                              </a:lnTo>
                              <a:lnTo>
                                <a:pt x="823" y="122"/>
                              </a:lnTo>
                              <a:lnTo>
                                <a:pt x="827" y="122"/>
                              </a:lnTo>
                              <a:lnTo>
                                <a:pt x="832" y="122"/>
                              </a:lnTo>
                              <a:lnTo>
                                <a:pt x="836" y="122"/>
                              </a:lnTo>
                              <a:lnTo>
                                <a:pt x="841" y="123"/>
                              </a:lnTo>
                              <a:lnTo>
                                <a:pt x="846" y="123"/>
                              </a:lnTo>
                              <a:lnTo>
                                <a:pt x="852" y="123"/>
                              </a:lnTo>
                              <a:lnTo>
                                <a:pt x="857" y="123"/>
                              </a:lnTo>
                              <a:lnTo>
                                <a:pt x="861" y="123"/>
                              </a:lnTo>
                              <a:lnTo>
                                <a:pt x="865" y="123"/>
                              </a:lnTo>
                              <a:lnTo>
                                <a:pt x="871" y="123"/>
                              </a:lnTo>
                              <a:lnTo>
                                <a:pt x="877" y="123"/>
                              </a:lnTo>
                              <a:lnTo>
                                <a:pt x="884" y="123"/>
                              </a:lnTo>
                              <a:lnTo>
                                <a:pt x="892" y="123"/>
                              </a:lnTo>
                              <a:lnTo>
                                <a:pt x="900" y="123"/>
                              </a:lnTo>
                              <a:lnTo>
                                <a:pt x="907" y="123"/>
                              </a:lnTo>
                              <a:lnTo>
                                <a:pt x="915" y="123"/>
                              </a:lnTo>
                              <a:lnTo>
                                <a:pt x="923" y="123"/>
                              </a:lnTo>
                              <a:lnTo>
                                <a:pt x="928" y="123"/>
                              </a:lnTo>
                              <a:lnTo>
                                <a:pt x="932" y="123"/>
                              </a:lnTo>
                              <a:lnTo>
                                <a:pt x="935" y="123"/>
                              </a:lnTo>
                              <a:lnTo>
                                <a:pt x="937" y="123"/>
                              </a:lnTo>
                              <a:lnTo>
                                <a:pt x="940" y="123"/>
                              </a:lnTo>
                              <a:lnTo>
                                <a:pt x="943" y="123"/>
                              </a:lnTo>
                              <a:lnTo>
                                <a:pt x="947" y="123"/>
                              </a:lnTo>
                              <a:lnTo>
                                <a:pt x="949" y="123"/>
                              </a:lnTo>
                              <a:lnTo>
                                <a:pt x="952" y="123"/>
                              </a:lnTo>
                              <a:lnTo>
                                <a:pt x="953" y="123"/>
                              </a:lnTo>
                              <a:lnTo>
                                <a:pt x="955" y="123"/>
                              </a:lnTo>
                              <a:lnTo>
                                <a:pt x="957" y="123"/>
                              </a:lnTo>
                              <a:lnTo>
                                <a:pt x="958" y="123"/>
                              </a:lnTo>
                              <a:lnTo>
                                <a:pt x="959" y="123"/>
                              </a:lnTo>
                              <a:lnTo>
                                <a:pt x="961" y="123"/>
                              </a:lnTo>
                              <a:lnTo>
                                <a:pt x="962" y="122"/>
                              </a:lnTo>
                              <a:lnTo>
                                <a:pt x="963" y="122"/>
                              </a:lnTo>
                              <a:lnTo>
                                <a:pt x="964" y="122"/>
                              </a:lnTo>
                              <a:lnTo>
                                <a:pt x="965" y="122"/>
                              </a:lnTo>
                              <a:lnTo>
                                <a:pt x="966" y="122"/>
                              </a:lnTo>
                              <a:lnTo>
                                <a:pt x="967" y="122"/>
                              </a:lnTo>
                              <a:lnTo>
                                <a:pt x="967" y="122"/>
                              </a:lnTo>
                              <a:lnTo>
                                <a:pt x="968" y="121"/>
                              </a:lnTo>
                              <a:lnTo>
                                <a:pt x="968" y="121"/>
                              </a:lnTo>
                              <a:lnTo>
                                <a:pt x="969" y="121"/>
                              </a:lnTo>
                              <a:lnTo>
                                <a:pt x="969" y="121"/>
                              </a:lnTo>
                              <a:lnTo>
                                <a:pt x="970" y="121"/>
                              </a:lnTo>
                              <a:lnTo>
                                <a:pt x="970" y="121"/>
                              </a:lnTo>
                              <a:lnTo>
                                <a:pt x="970" y="121"/>
                              </a:lnTo>
                              <a:lnTo>
                                <a:pt x="971" y="121"/>
                              </a:lnTo>
                              <a:lnTo>
                                <a:pt x="972" y="120"/>
                              </a:lnTo>
                              <a:lnTo>
                                <a:pt x="973" y="120"/>
                              </a:lnTo>
                              <a:lnTo>
                                <a:pt x="974" y="120"/>
                              </a:lnTo>
                              <a:lnTo>
                                <a:pt x="975" y="119"/>
                              </a:lnTo>
                              <a:lnTo>
                                <a:pt x="976" y="119"/>
                              </a:lnTo>
                              <a:lnTo>
                                <a:pt x="977" y="119"/>
                              </a:lnTo>
                              <a:lnTo>
                                <a:pt x="978" y="118"/>
                              </a:lnTo>
                              <a:lnTo>
                                <a:pt x="978" y="118"/>
                              </a:lnTo>
                              <a:lnTo>
                                <a:pt x="979" y="118"/>
                              </a:lnTo>
                              <a:lnTo>
                                <a:pt x="980" y="117"/>
                              </a:lnTo>
                              <a:lnTo>
                                <a:pt x="981" y="117"/>
                              </a:lnTo>
                              <a:lnTo>
                                <a:pt x="982" y="116"/>
                              </a:lnTo>
                              <a:lnTo>
                                <a:pt x="983" y="116"/>
                              </a:lnTo>
                              <a:lnTo>
                                <a:pt x="984" y="115"/>
                              </a:lnTo>
                              <a:lnTo>
                                <a:pt x="984" y="115"/>
                              </a:lnTo>
                              <a:lnTo>
                                <a:pt x="985" y="114"/>
                              </a:lnTo>
                              <a:lnTo>
                                <a:pt x="986" y="114"/>
                              </a:lnTo>
                              <a:lnTo>
                                <a:pt x="987" y="113"/>
                              </a:lnTo>
                              <a:lnTo>
                                <a:pt x="988" y="112"/>
                              </a:lnTo>
                              <a:lnTo>
                                <a:pt x="989" y="112"/>
                              </a:lnTo>
                              <a:lnTo>
                                <a:pt x="990" y="111"/>
                              </a:lnTo>
                              <a:lnTo>
                                <a:pt x="991" y="110"/>
                              </a:lnTo>
                              <a:lnTo>
                                <a:pt x="992" y="109"/>
                              </a:lnTo>
                              <a:lnTo>
                                <a:pt x="992" y="109"/>
                              </a:lnTo>
                              <a:lnTo>
                                <a:pt x="993" y="108"/>
                              </a:lnTo>
                              <a:lnTo>
                                <a:pt x="994" y="107"/>
                              </a:lnTo>
                              <a:lnTo>
                                <a:pt x="995" y="107"/>
                              </a:lnTo>
                              <a:lnTo>
                                <a:pt x="996" y="106"/>
                              </a:lnTo>
                              <a:lnTo>
                                <a:pt x="996" y="105"/>
                              </a:lnTo>
                              <a:lnTo>
                                <a:pt x="997" y="104"/>
                              </a:lnTo>
                              <a:lnTo>
                                <a:pt x="998" y="103"/>
                              </a:lnTo>
                              <a:lnTo>
                                <a:pt x="999" y="102"/>
                              </a:lnTo>
                              <a:lnTo>
                                <a:pt x="999" y="101"/>
                              </a:lnTo>
                              <a:lnTo>
                                <a:pt x="1000" y="101"/>
                              </a:lnTo>
                              <a:lnTo>
                                <a:pt x="1001" y="100"/>
                              </a:lnTo>
                              <a:lnTo>
                                <a:pt x="1002" y="99"/>
                              </a:lnTo>
                              <a:lnTo>
                                <a:pt x="1002" y="98"/>
                              </a:lnTo>
                              <a:lnTo>
                                <a:pt x="1003" y="97"/>
                              </a:lnTo>
                              <a:lnTo>
                                <a:pt x="1003" y="97"/>
                              </a:lnTo>
                              <a:lnTo>
                                <a:pt x="1003" y="96"/>
                              </a:lnTo>
                              <a:lnTo>
                                <a:pt x="1004" y="96"/>
                              </a:lnTo>
                              <a:lnTo>
                                <a:pt x="1004" y="95"/>
                              </a:lnTo>
                              <a:lnTo>
                                <a:pt x="1004" y="95"/>
                              </a:lnTo>
                              <a:lnTo>
                                <a:pt x="1005" y="95"/>
                              </a:lnTo>
                              <a:lnTo>
                                <a:pt x="1005" y="94"/>
                              </a:lnTo>
                              <a:lnTo>
                                <a:pt x="1005" y="94"/>
                              </a:lnTo>
                              <a:lnTo>
                                <a:pt x="1005" y="93"/>
                              </a:lnTo>
                              <a:lnTo>
                                <a:pt x="1005" y="93"/>
                              </a:lnTo>
                              <a:lnTo>
                                <a:pt x="1006" y="93"/>
                              </a:lnTo>
                              <a:lnTo>
                                <a:pt x="1006" y="93"/>
                              </a:lnTo>
                              <a:lnTo>
                                <a:pt x="1006" y="92"/>
                              </a:lnTo>
                              <a:lnTo>
                                <a:pt x="1006" y="92"/>
                              </a:lnTo>
                              <a:lnTo>
                                <a:pt x="1007" y="92"/>
                              </a:lnTo>
                              <a:lnTo>
                                <a:pt x="1007" y="91"/>
                              </a:lnTo>
                              <a:lnTo>
                                <a:pt x="1007" y="91"/>
                              </a:lnTo>
                              <a:lnTo>
                                <a:pt x="1008" y="89"/>
                              </a:lnTo>
                              <a:lnTo>
                                <a:pt x="1009" y="87"/>
                              </a:lnTo>
                              <a:lnTo>
                                <a:pt x="1010" y="85"/>
                              </a:lnTo>
                              <a:lnTo>
                                <a:pt x="1011" y="83"/>
                              </a:lnTo>
                              <a:lnTo>
                                <a:pt x="1013" y="81"/>
                              </a:lnTo>
                              <a:lnTo>
                                <a:pt x="1014" y="79"/>
                              </a:lnTo>
                              <a:lnTo>
                                <a:pt x="1015" y="76"/>
                              </a:lnTo>
                              <a:lnTo>
                                <a:pt x="1017" y="74"/>
                              </a:lnTo>
                              <a:lnTo>
                                <a:pt x="1018" y="70"/>
                              </a:lnTo>
                              <a:lnTo>
                                <a:pt x="1020" y="67"/>
                              </a:lnTo>
                              <a:lnTo>
                                <a:pt x="1021" y="64"/>
                              </a:lnTo>
                              <a:lnTo>
                                <a:pt x="1024" y="59"/>
                              </a:lnTo>
                              <a:lnTo>
                                <a:pt x="1027" y="53"/>
                              </a:lnTo>
                              <a:lnTo>
                                <a:pt x="1029" y="48"/>
                              </a:lnTo>
                              <a:lnTo>
                                <a:pt x="1031" y="44"/>
                              </a:lnTo>
                              <a:lnTo>
                                <a:pt x="1033" y="40"/>
                              </a:lnTo>
                              <a:lnTo>
                                <a:pt x="1035" y="36"/>
                              </a:lnTo>
                              <a:lnTo>
                                <a:pt x="1037" y="32"/>
                              </a:lnTo>
                              <a:lnTo>
                                <a:pt x="1038" y="29"/>
                              </a:lnTo>
                              <a:lnTo>
                                <a:pt x="1040" y="27"/>
                              </a:lnTo>
                              <a:lnTo>
                                <a:pt x="1041" y="24"/>
                              </a:lnTo>
                              <a:lnTo>
                                <a:pt x="1042" y="23"/>
                              </a:lnTo>
                              <a:lnTo>
                                <a:pt x="1043" y="21"/>
                              </a:lnTo>
                              <a:lnTo>
                                <a:pt x="1043" y="20"/>
                              </a:lnTo>
                              <a:lnTo>
                                <a:pt x="1044" y="19"/>
                              </a:lnTo>
                              <a:lnTo>
                                <a:pt x="1045" y="18"/>
                              </a:lnTo>
                              <a:lnTo>
                                <a:pt x="1046" y="16"/>
                              </a:lnTo>
                              <a:lnTo>
                                <a:pt x="1047" y="14"/>
                              </a:lnTo>
                              <a:lnTo>
                                <a:pt x="1049" y="12"/>
                              </a:lnTo>
                              <a:lnTo>
                                <a:pt x="1050" y="11"/>
                              </a:lnTo>
                              <a:lnTo>
                                <a:pt x="1051" y="9"/>
                              </a:lnTo>
                              <a:lnTo>
                                <a:pt x="1053" y="8"/>
                              </a:lnTo>
                              <a:lnTo>
                                <a:pt x="1054" y="6"/>
                              </a:lnTo>
                              <a:lnTo>
                                <a:pt x="1055" y="5"/>
                              </a:lnTo>
                              <a:lnTo>
                                <a:pt x="1056" y="4"/>
                              </a:lnTo>
                              <a:lnTo>
                                <a:pt x="1058" y="3"/>
                              </a:lnTo>
                              <a:lnTo>
                                <a:pt x="1059" y="2"/>
                              </a:lnTo>
                              <a:lnTo>
                                <a:pt x="1060" y="2"/>
                              </a:lnTo>
                              <a:lnTo>
                                <a:pt x="1061" y="1"/>
                              </a:lnTo>
                              <a:lnTo>
                                <a:pt x="1063" y="1"/>
                              </a:lnTo>
                              <a:lnTo>
                                <a:pt x="1064" y="0"/>
                              </a:lnTo>
                              <a:lnTo>
                                <a:pt x="1065" y="0"/>
                              </a:lnTo>
                              <a:lnTo>
                                <a:pt x="1066" y="0"/>
                              </a:lnTo>
                              <a:lnTo>
                                <a:pt x="1068" y="0"/>
                              </a:lnTo>
                              <a:lnTo>
                                <a:pt x="1069" y="0"/>
                              </a:lnTo>
                              <a:lnTo>
                                <a:pt x="1070" y="0"/>
                              </a:lnTo>
                              <a:lnTo>
                                <a:pt x="1071" y="1"/>
                              </a:lnTo>
                              <a:lnTo>
                                <a:pt x="1073" y="1"/>
                              </a:lnTo>
                              <a:lnTo>
                                <a:pt x="1074" y="2"/>
                              </a:lnTo>
                              <a:lnTo>
                                <a:pt x="1075" y="2"/>
                              </a:lnTo>
                              <a:lnTo>
                                <a:pt x="1077" y="3"/>
                              </a:lnTo>
                              <a:lnTo>
                                <a:pt x="1078" y="4"/>
                              </a:lnTo>
                              <a:lnTo>
                                <a:pt x="1078" y="5"/>
                              </a:lnTo>
                              <a:lnTo>
                                <a:pt x="1079" y="5"/>
                              </a:lnTo>
                              <a:lnTo>
                                <a:pt x="1080" y="6"/>
                              </a:lnTo>
                              <a:lnTo>
                                <a:pt x="1080" y="6"/>
                              </a:lnTo>
                              <a:lnTo>
                                <a:pt x="1081" y="7"/>
                              </a:lnTo>
                              <a:lnTo>
                                <a:pt x="1081" y="7"/>
                              </a:lnTo>
                              <a:lnTo>
                                <a:pt x="1082" y="8"/>
                              </a:lnTo>
                              <a:lnTo>
                                <a:pt x="1084" y="10"/>
                              </a:lnTo>
                              <a:lnTo>
                                <a:pt x="1086" y="11"/>
                              </a:lnTo>
                              <a:lnTo>
                                <a:pt x="1087" y="13"/>
                              </a:lnTo>
                              <a:lnTo>
                                <a:pt x="1089" y="15"/>
                              </a:lnTo>
                              <a:lnTo>
                                <a:pt x="1091" y="18"/>
                              </a:lnTo>
                              <a:lnTo>
                                <a:pt x="1093" y="20"/>
                              </a:lnTo>
                              <a:lnTo>
                                <a:pt x="1095" y="23"/>
                              </a:lnTo>
                              <a:lnTo>
                                <a:pt x="1097" y="27"/>
                              </a:lnTo>
                              <a:lnTo>
                                <a:pt x="1100" y="31"/>
                              </a:lnTo>
                              <a:lnTo>
                                <a:pt x="1104" y="36"/>
                              </a:lnTo>
                              <a:lnTo>
                                <a:pt x="1107" y="41"/>
                              </a:lnTo>
                              <a:lnTo>
                                <a:pt x="1111" y="47"/>
                              </a:lnTo>
                              <a:lnTo>
                                <a:pt x="1113" y="50"/>
                              </a:lnTo>
                              <a:lnTo>
                                <a:pt x="1114" y="52"/>
                              </a:lnTo>
                              <a:lnTo>
                                <a:pt x="1115" y="53"/>
                              </a:lnTo>
                              <a:lnTo>
                                <a:pt x="1116" y="54"/>
                              </a:lnTo>
                              <a:lnTo>
                                <a:pt x="1116" y="55"/>
                              </a:lnTo>
                              <a:lnTo>
                                <a:pt x="1117" y="56"/>
                              </a:lnTo>
                              <a:lnTo>
                                <a:pt x="1117" y="56"/>
                              </a:lnTo>
                              <a:lnTo>
                                <a:pt x="1117" y="57"/>
                              </a:lnTo>
                              <a:lnTo>
                                <a:pt x="1118" y="57"/>
                              </a:lnTo>
                              <a:lnTo>
                                <a:pt x="1118" y="58"/>
                              </a:lnTo>
                              <a:lnTo>
                                <a:pt x="1119" y="60"/>
                              </a:lnTo>
                              <a:lnTo>
                                <a:pt x="1121" y="62"/>
                              </a:lnTo>
                              <a:lnTo>
                                <a:pt x="1123" y="65"/>
                              </a:lnTo>
                              <a:lnTo>
                                <a:pt x="1125" y="67"/>
                              </a:lnTo>
                              <a:lnTo>
                                <a:pt x="1127" y="70"/>
                              </a:lnTo>
                              <a:lnTo>
                                <a:pt x="1129" y="72"/>
                              </a:lnTo>
                              <a:lnTo>
                                <a:pt x="1130" y="75"/>
                              </a:lnTo>
                              <a:lnTo>
                                <a:pt x="1132" y="77"/>
                              </a:lnTo>
                              <a:lnTo>
                                <a:pt x="1134" y="79"/>
                              </a:lnTo>
                              <a:lnTo>
                                <a:pt x="1136" y="81"/>
                              </a:lnTo>
                              <a:lnTo>
                                <a:pt x="1137" y="83"/>
                              </a:lnTo>
                              <a:lnTo>
                                <a:pt x="1139" y="85"/>
                              </a:lnTo>
                              <a:lnTo>
                                <a:pt x="1141" y="87"/>
                              </a:lnTo>
                              <a:lnTo>
                                <a:pt x="1143" y="89"/>
                              </a:lnTo>
                              <a:lnTo>
                                <a:pt x="1144" y="91"/>
                              </a:lnTo>
                              <a:lnTo>
                                <a:pt x="1145" y="92"/>
                              </a:lnTo>
                              <a:lnTo>
                                <a:pt x="1147" y="94"/>
                              </a:lnTo>
                              <a:lnTo>
                                <a:pt x="1148" y="95"/>
                              </a:lnTo>
                              <a:lnTo>
                                <a:pt x="1149" y="96"/>
                              </a:lnTo>
                              <a:lnTo>
                                <a:pt x="1150" y="97"/>
                              </a:lnTo>
                              <a:lnTo>
                                <a:pt x="1151" y="98"/>
                              </a:lnTo>
                              <a:lnTo>
                                <a:pt x="1152" y="99"/>
                              </a:lnTo>
                              <a:lnTo>
                                <a:pt x="1153" y="99"/>
                              </a:lnTo>
                              <a:lnTo>
                                <a:pt x="1153" y="100"/>
                              </a:lnTo>
                              <a:lnTo>
                                <a:pt x="1154" y="100"/>
                              </a:lnTo>
                              <a:lnTo>
                                <a:pt x="1154" y="100"/>
                              </a:lnTo>
                              <a:lnTo>
                                <a:pt x="1155" y="101"/>
                              </a:lnTo>
                              <a:lnTo>
                                <a:pt x="1155" y="101"/>
                              </a:lnTo>
                              <a:lnTo>
                                <a:pt x="1155" y="101"/>
                              </a:lnTo>
                              <a:lnTo>
                                <a:pt x="1155" y="102"/>
                              </a:lnTo>
                              <a:lnTo>
                                <a:pt x="1156" y="102"/>
                              </a:lnTo>
                              <a:lnTo>
                                <a:pt x="1157" y="103"/>
                              </a:lnTo>
                              <a:lnTo>
                                <a:pt x="1159" y="104"/>
                              </a:lnTo>
                              <a:lnTo>
                                <a:pt x="1160" y="105"/>
                              </a:lnTo>
                              <a:lnTo>
                                <a:pt x="1162" y="106"/>
                              </a:lnTo>
                              <a:lnTo>
                                <a:pt x="1163" y="107"/>
                              </a:lnTo>
                              <a:lnTo>
                                <a:pt x="1164" y="108"/>
                              </a:lnTo>
                              <a:lnTo>
                                <a:pt x="1166" y="109"/>
                              </a:lnTo>
                              <a:lnTo>
                                <a:pt x="1167" y="110"/>
                              </a:lnTo>
                              <a:lnTo>
                                <a:pt x="1169" y="111"/>
                              </a:lnTo>
                              <a:lnTo>
                                <a:pt x="1170" y="112"/>
                              </a:lnTo>
                              <a:lnTo>
                                <a:pt x="1172" y="113"/>
                              </a:lnTo>
                              <a:lnTo>
                                <a:pt x="1173" y="114"/>
                              </a:lnTo>
                              <a:lnTo>
                                <a:pt x="1175" y="115"/>
                              </a:lnTo>
                              <a:lnTo>
                                <a:pt x="1176" y="116"/>
                              </a:lnTo>
                              <a:lnTo>
                                <a:pt x="1178" y="117"/>
                              </a:lnTo>
                              <a:lnTo>
                                <a:pt x="1179" y="117"/>
                              </a:lnTo>
                              <a:lnTo>
                                <a:pt x="1181" y="118"/>
                              </a:lnTo>
                              <a:lnTo>
                                <a:pt x="1182" y="119"/>
                              </a:lnTo>
                              <a:lnTo>
                                <a:pt x="1184" y="120"/>
                              </a:lnTo>
                              <a:lnTo>
                                <a:pt x="1185" y="120"/>
                              </a:lnTo>
                              <a:lnTo>
                                <a:pt x="1187" y="121"/>
                              </a:lnTo>
                              <a:lnTo>
                                <a:pt x="1188" y="121"/>
                              </a:lnTo>
                              <a:lnTo>
                                <a:pt x="1189" y="122"/>
                              </a:lnTo>
                              <a:lnTo>
                                <a:pt x="1189" y="122"/>
                              </a:lnTo>
                              <a:lnTo>
                                <a:pt x="1190" y="122"/>
                              </a:lnTo>
                              <a:lnTo>
                                <a:pt x="1190" y="122"/>
                              </a:lnTo>
                              <a:lnTo>
                                <a:pt x="1191" y="123"/>
                              </a:lnTo>
                              <a:lnTo>
                                <a:pt x="1191" y="123"/>
                              </a:lnTo>
                              <a:lnTo>
                                <a:pt x="1191" y="123"/>
                              </a:lnTo>
                              <a:lnTo>
                                <a:pt x="1192" y="123"/>
                              </a:lnTo>
                              <a:lnTo>
                                <a:pt x="1192" y="123"/>
                              </a:lnTo>
                              <a:lnTo>
                                <a:pt x="1193" y="124"/>
                              </a:lnTo>
                              <a:lnTo>
                                <a:pt x="1195" y="124"/>
                              </a:lnTo>
                              <a:lnTo>
                                <a:pt x="1196" y="125"/>
                              </a:lnTo>
                              <a:lnTo>
                                <a:pt x="1198" y="125"/>
                              </a:lnTo>
                              <a:lnTo>
                                <a:pt x="1200" y="126"/>
                              </a:lnTo>
                              <a:lnTo>
                                <a:pt x="1202" y="127"/>
                              </a:lnTo>
                              <a:lnTo>
                                <a:pt x="1205" y="127"/>
                              </a:lnTo>
                              <a:lnTo>
                                <a:pt x="1206" y="128"/>
                              </a:lnTo>
                              <a:lnTo>
                                <a:pt x="1208" y="128"/>
                              </a:lnTo>
                              <a:lnTo>
                                <a:pt x="1210" y="129"/>
                              </a:lnTo>
                              <a:lnTo>
                                <a:pt x="1212" y="129"/>
                              </a:lnTo>
                              <a:lnTo>
                                <a:pt x="1213" y="130"/>
                              </a:lnTo>
                              <a:lnTo>
                                <a:pt x="1215" y="130"/>
                              </a:lnTo>
                              <a:lnTo>
                                <a:pt x="1217" y="131"/>
                              </a:lnTo>
                              <a:lnTo>
                                <a:pt x="1218" y="131"/>
                              </a:lnTo>
                              <a:lnTo>
                                <a:pt x="1220" y="131"/>
                              </a:lnTo>
                              <a:lnTo>
                                <a:pt x="1222" y="132"/>
                              </a:lnTo>
                              <a:lnTo>
                                <a:pt x="1224" y="132"/>
                              </a:lnTo>
                              <a:lnTo>
                                <a:pt x="1225" y="132"/>
                              </a:lnTo>
                              <a:lnTo>
                                <a:pt x="1226" y="132"/>
                              </a:lnTo>
                              <a:lnTo>
                                <a:pt x="1227" y="133"/>
                              </a:lnTo>
                              <a:lnTo>
                                <a:pt x="1228" y="133"/>
                              </a:lnTo>
                              <a:lnTo>
                                <a:pt x="1229" y="133"/>
                              </a:lnTo>
                              <a:lnTo>
                                <a:pt x="1229" y="133"/>
                              </a:lnTo>
                              <a:lnTo>
                                <a:pt x="1231" y="133"/>
                              </a:lnTo>
                              <a:lnTo>
                                <a:pt x="1234" y="134"/>
                              </a:lnTo>
                              <a:lnTo>
                                <a:pt x="1237" y="134"/>
                              </a:lnTo>
                              <a:lnTo>
                                <a:pt x="1240" y="135"/>
                              </a:lnTo>
                              <a:lnTo>
                                <a:pt x="1242" y="135"/>
                              </a:lnTo>
                              <a:lnTo>
                                <a:pt x="1244" y="135"/>
                              </a:lnTo>
                              <a:lnTo>
                                <a:pt x="1246" y="135"/>
                              </a:lnTo>
                              <a:lnTo>
                                <a:pt x="1248" y="136"/>
                              </a:lnTo>
                              <a:lnTo>
                                <a:pt x="1251" y="136"/>
                              </a:lnTo>
                              <a:lnTo>
                                <a:pt x="1253" y="136"/>
                              </a:lnTo>
                              <a:lnTo>
                                <a:pt x="1256" y="136"/>
                              </a:lnTo>
                              <a:lnTo>
                                <a:pt x="1260" y="137"/>
                              </a:lnTo>
                              <a:lnTo>
                                <a:pt x="1262" y="137"/>
                              </a:lnTo>
                              <a:lnTo>
                                <a:pt x="1264" y="137"/>
                              </a:lnTo>
                              <a:lnTo>
                                <a:pt x="1264" y="137"/>
                              </a:lnTo>
                              <a:lnTo>
                                <a:pt x="1265" y="137"/>
                              </a:lnTo>
                              <a:lnTo>
                                <a:pt x="1265" y="137"/>
                              </a:lnTo>
                              <a:lnTo>
                                <a:pt x="1267" y="138"/>
                              </a:lnTo>
                              <a:lnTo>
                                <a:pt x="1270" y="138"/>
                              </a:lnTo>
                              <a:lnTo>
                                <a:pt x="1272" y="138"/>
                              </a:lnTo>
                              <a:lnTo>
                                <a:pt x="1274" y="138"/>
                              </a:lnTo>
                              <a:lnTo>
                                <a:pt x="1277" y="138"/>
                              </a:lnTo>
                              <a:lnTo>
                                <a:pt x="1281" y="139"/>
                              </a:lnTo>
                              <a:lnTo>
                                <a:pt x="1285" y="139"/>
                              </a:lnTo>
                              <a:lnTo>
                                <a:pt x="1288" y="139"/>
                              </a:lnTo>
                              <a:lnTo>
                                <a:pt x="1291" y="139"/>
                              </a:lnTo>
                              <a:lnTo>
                                <a:pt x="1295" y="139"/>
                              </a:lnTo>
                              <a:lnTo>
                                <a:pt x="1299" y="140"/>
                              </a:lnTo>
                              <a:lnTo>
                                <a:pt x="1301" y="140"/>
                              </a:lnTo>
                              <a:lnTo>
                                <a:pt x="1302" y="140"/>
                              </a:lnTo>
                              <a:lnTo>
                                <a:pt x="1303" y="140"/>
                              </a:lnTo>
                              <a:lnTo>
                                <a:pt x="1305" y="140"/>
                              </a:lnTo>
                              <a:lnTo>
                                <a:pt x="1307" y="140"/>
                              </a:lnTo>
                              <a:lnTo>
                                <a:pt x="1310" y="140"/>
                              </a:lnTo>
                              <a:lnTo>
                                <a:pt x="1313" y="140"/>
                              </a:lnTo>
                              <a:lnTo>
                                <a:pt x="1317" y="140"/>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161" name="Freeform 137"/>
                        <a:cNvSpPr>
                          <a:spLocks/>
                        </a:cNvSpPr>
                      </a:nvSpPr>
                      <a:spPr bwMode="auto">
                        <a:xfrm>
                          <a:off x="8280400" y="5449573"/>
                          <a:ext cx="276225" cy="3039"/>
                        </a:xfrm>
                        <a:custGeom>
                          <a:avLst/>
                          <a:gdLst/>
                          <a:ahLst/>
                          <a:cxnLst>
                            <a:cxn ang="0">
                              <a:pos x="5" y="0"/>
                            </a:cxn>
                            <a:cxn ang="0">
                              <a:pos x="16" y="1"/>
                            </a:cxn>
                            <a:cxn ang="0">
                              <a:pos x="23" y="1"/>
                            </a:cxn>
                            <a:cxn ang="0">
                              <a:pos x="27" y="1"/>
                            </a:cxn>
                            <a:cxn ang="0">
                              <a:pos x="31" y="1"/>
                            </a:cxn>
                            <a:cxn ang="0">
                              <a:pos x="38" y="1"/>
                            </a:cxn>
                            <a:cxn ang="0">
                              <a:pos x="47" y="2"/>
                            </a:cxn>
                            <a:cxn ang="0">
                              <a:pos x="53" y="2"/>
                            </a:cxn>
                            <a:cxn ang="0">
                              <a:pos x="58" y="2"/>
                            </a:cxn>
                            <a:cxn ang="0">
                              <a:pos x="60" y="2"/>
                            </a:cxn>
                            <a:cxn ang="0">
                              <a:pos x="63" y="2"/>
                            </a:cxn>
                            <a:cxn ang="0">
                              <a:pos x="67" y="2"/>
                            </a:cxn>
                            <a:cxn ang="0">
                              <a:pos x="73" y="2"/>
                            </a:cxn>
                            <a:cxn ang="0">
                              <a:pos x="81" y="2"/>
                            </a:cxn>
                            <a:cxn ang="0">
                              <a:pos x="88" y="2"/>
                            </a:cxn>
                            <a:cxn ang="0">
                              <a:pos x="93" y="2"/>
                            </a:cxn>
                            <a:cxn ang="0">
                              <a:pos x="97" y="2"/>
                            </a:cxn>
                            <a:cxn ang="0">
                              <a:pos x="100" y="2"/>
                            </a:cxn>
                            <a:cxn ang="0">
                              <a:pos x="104" y="2"/>
                            </a:cxn>
                            <a:cxn ang="0">
                              <a:pos x="108" y="2"/>
                            </a:cxn>
                            <a:cxn ang="0">
                              <a:pos x="113" y="2"/>
                            </a:cxn>
                            <a:cxn ang="0">
                              <a:pos x="118" y="2"/>
                            </a:cxn>
                            <a:cxn ang="0">
                              <a:pos x="127" y="2"/>
                            </a:cxn>
                            <a:cxn ang="0">
                              <a:pos x="136" y="2"/>
                            </a:cxn>
                            <a:cxn ang="0">
                              <a:pos x="144" y="2"/>
                            </a:cxn>
                            <a:cxn ang="0">
                              <a:pos x="148" y="2"/>
                            </a:cxn>
                            <a:cxn ang="0">
                              <a:pos x="152" y="2"/>
                            </a:cxn>
                            <a:cxn ang="0">
                              <a:pos x="155" y="2"/>
                            </a:cxn>
                            <a:cxn ang="0">
                              <a:pos x="159" y="2"/>
                            </a:cxn>
                            <a:cxn ang="0">
                              <a:pos x="163" y="2"/>
                            </a:cxn>
                            <a:cxn ang="0">
                              <a:pos x="167" y="2"/>
                            </a:cxn>
                            <a:cxn ang="0">
                              <a:pos x="170" y="2"/>
                            </a:cxn>
                            <a:cxn ang="0">
                              <a:pos x="174" y="2"/>
                            </a:cxn>
                          </a:cxnLst>
                          <a:rect l="0" t="0" r="r" b="b"/>
                          <a:pathLst>
                            <a:path w="174" h="2">
                              <a:moveTo>
                                <a:pt x="0" y="0"/>
                              </a:moveTo>
                              <a:lnTo>
                                <a:pt x="5" y="0"/>
                              </a:lnTo>
                              <a:lnTo>
                                <a:pt x="10" y="1"/>
                              </a:lnTo>
                              <a:lnTo>
                                <a:pt x="16" y="1"/>
                              </a:lnTo>
                              <a:lnTo>
                                <a:pt x="21" y="1"/>
                              </a:lnTo>
                              <a:lnTo>
                                <a:pt x="23" y="1"/>
                              </a:lnTo>
                              <a:lnTo>
                                <a:pt x="25" y="1"/>
                              </a:lnTo>
                              <a:lnTo>
                                <a:pt x="27" y="1"/>
                              </a:lnTo>
                              <a:lnTo>
                                <a:pt x="29" y="1"/>
                              </a:lnTo>
                              <a:lnTo>
                                <a:pt x="31" y="1"/>
                              </a:lnTo>
                              <a:lnTo>
                                <a:pt x="34" y="1"/>
                              </a:lnTo>
                              <a:lnTo>
                                <a:pt x="38" y="1"/>
                              </a:lnTo>
                              <a:lnTo>
                                <a:pt x="43" y="1"/>
                              </a:lnTo>
                              <a:lnTo>
                                <a:pt x="47" y="2"/>
                              </a:lnTo>
                              <a:lnTo>
                                <a:pt x="50" y="1"/>
                              </a:lnTo>
                              <a:lnTo>
                                <a:pt x="53" y="2"/>
                              </a:lnTo>
                              <a:lnTo>
                                <a:pt x="56" y="2"/>
                              </a:lnTo>
                              <a:lnTo>
                                <a:pt x="58" y="2"/>
                              </a:lnTo>
                              <a:lnTo>
                                <a:pt x="59" y="2"/>
                              </a:lnTo>
                              <a:lnTo>
                                <a:pt x="60" y="2"/>
                              </a:lnTo>
                              <a:lnTo>
                                <a:pt x="61" y="2"/>
                              </a:lnTo>
                              <a:lnTo>
                                <a:pt x="63" y="2"/>
                              </a:lnTo>
                              <a:lnTo>
                                <a:pt x="65" y="2"/>
                              </a:lnTo>
                              <a:lnTo>
                                <a:pt x="67" y="2"/>
                              </a:lnTo>
                              <a:lnTo>
                                <a:pt x="70" y="2"/>
                              </a:lnTo>
                              <a:lnTo>
                                <a:pt x="73" y="2"/>
                              </a:lnTo>
                              <a:lnTo>
                                <a:pt x="76" y="2"/>
                              </a:lnTo>
                              <a:lnTo>
                                <a:pt x="81" y="2"/>
                              </a:lnTo>
                              <a:lnTo>
                                <a:pt x="85" y="2"/>
                              </a:lnTo>
                              <a:lnTo>
                                <a:pt x="88" y="2"/>
                              </a:lnTo>
                              <a:lnTo>
                                <a:pt x="91" y="2"/>
                              </a:lnTo>
                              <a:lnTo>
                                <a:pt x="93" y="2"/>
                              </a:lnTo>
                              <a:lnTo>
                                <a:pt x="96" y="2"/>
                              </a:lnTo>
                              <a:lnTo>
                                <a:pt x="97" y="2"/>
                              </a:lnTo>
                              <a:lnTo>
                                <a:pt x="99" y="2"/>
                              </a:lnTo>
                              <a:lnTo>
                                <a:pt x="100" y="2"/>
                              </a:lnTo>
                              <a:lnTo>
                                <a:pt x="102" y="2"/>
                              </a:lnTo>
                              <a:lnTo>
                                <a:pt x="104" y="2"/>
                              </a:lnTo>
                              <a:lnTo>
                                <a:pt x="106" y="2"/>
                              </a:lnTo>
                              <a:lnTo>
                                <a:pt x="108" y="2"/>
                              </a:lnTo>
                              <a:lnTo>
                                <a:pt x="110" y="2"/>
                              </a:lnTo>
                              <a:lnTo>
                                <a:pt x="113" y="2"/>
                              </a:lnTo>
                              <a:lnTo>
                                <a:pt x="116" y="2"/>
                              </a:lnTo>
                              <a:lnTo>
                                <a:pt x="118" y="2"/>
                              </a:lnTo>
                              <a:lnTo>
                                <a:pt x="122" y="2"/>
                              </a:lnTo>
                              <a:lnTo>
                                <a:pt x="127" y="2"/>
                              </a:lnTo>
                              <a:lnTo>
                                <a:pt x="132" y="2"/>
                              </a:lnTo>
                              <a:lnTo>
                                <a:pt x="136" y="2"/>
                              </a:lnTo>
                              <a:lnTo>
                                <a:pt x="140" y="2"/>
                              </a:lnTo>
                              <a:lnTo>
                                <a:pt x="144" y="2"/>
                              </a:lnTo>
                              <a:lnTo>
                                <a:pt x="146" y="2"/>
                              </a:lnTo>
                              <a:lnTo>
                                <a:pt x="148" y="2"/>
                              </a:lnTo>
                              <a:lnTo>
                                <a:pt x="150" y="2"/>
                              </a:lnTo>
                              <a:lnTo>
                                <a:pt x="152" y="2"/>
                              </a:lnTo>
                              <a:lnTo>
                                <a:pt x="153" y="2"/>
                              </a:lnTo>
                              <a:lnTo>
                                <a:pt x="155" y="2"/>
                              </a:lnTo>
                              <a:lnTo>
                                <a:pt x="157" y="2"/>
                              </a:lnTo>
                              <a:lnTo>
                                <a:pt x="159" y="2"/>
                              </a:lnTo>
                              <a:lnTo>
                                <a:pt x="161" y="2"/>
                              </a:lnTo>
                              <a:lnTo>
                                <a:pt x="163" y="2"/>
                              </a:lnTo>
                              <a:lnTo>
                                <a:pt x="165" y="2"/>
                              </a:lnTo>
                              <a:lnTo>
                                <a:pt x="167" y="2"/>
                              </a:lnTo>
                              <a:lnTo>
                                <a:pt x="169" y="2"/>
                              </a:lnTo>
                              <a:lnTo>
                                <a:pt x="170" y="2"/>
                              </a:lnTo>
                              <a:lnTo>
                                <a:pt x="172" y="2"/>
                              </a:lnTo>
                              <a:lnTo>
                                <a:pt x="174" y="2"/>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66" name="Rectangle 6"/>
                        <a:cNvSpPr>
                          <a:spLocks noChangeArrowheads="1"/>
                        </a:cNvSpPr>
                      </a:nvSpPr>
                      <a:spPr bwMode="auto">
                        <a:xfrm>
                          <a:off x="1447800" y="5382720"/>
                          <a:ext cx="228600" cy="147286"/>
                        </a:xfrm>
                        <a:prstGeom prst="rect">
                          <a:avLst/>
                        </a:prstGeom>
                        <a:noFill/>
                        <a:ln w="9525">
                          <a:noFill/>
                          <a:miter lim="800000"/>
                          <a:headEnd/>
                          <a:tailEnd/>
                        </a:ln>
                      </a:spPr>
                      <a:txSp>
                        <a:txBody>
                          <a:bodyPr vert="horz"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grpSp>
                  <a:grpSp>
                    <a:nvGrpSpPr>
                      <a:cNvPr id="907" name="Group 906"/>
                      <a:cNvGrpSpPr/>
                    </a:nvGrpSpPr>
                    <a:grpSpPr>
                      <a:xfrm>
                        <a:off x="1142999" y="5454188"/>
                        <a:ext cx="7570001" cy="1863271"/>
                        <a:chOff x="1142999" y="8145460"/>
                        <a:chExt cx="7570001" cy="1863271"/>
                      </a:xfrm>
                    </a:grpSpPr>
                    <a:sp>
                      <a:nvSpPr>
                        <a:cNvPr id="1174" name="Rectangle 150"/>
                        <a:cNvSpPr>
                          <a:spLocks noChangeArrowheads="1"/>
                        </a:cNvSpPr>
                      </a:nvSpPr>
                      <a:spPr bwMode="auto">
                        <a:xfrm>
                          <a:off x="1593850"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175" name="Line 151"/>
                        <a:cNvSpPr>
                          <a:spLocks noChangeShapeType="1"/>
                        </a:cNvSpPr>
                      </a:nvSpPr>
                      <a:spPr bwMode="auto">
                        <a:xfrm>
                          <a:off x="1663700"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76" name="Line 152"/>
                        <a:cNvSpPr>
                          <a:spLocks noChangeShapeType="1"/>
                        </a:cNvSpPr>
                      </a:nvSpPr>
                      <a:spPr bwMode="auto">
                        <a:xfrm>
                          <a:off x="174942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77" name="Line 153"/>
                        <a:cNvSpPr>
                          <a:spLocks noChangeShapeType="1"/>
                        </a:cNvSpPr>
                      </a:nvSpPr>
                      <a:spPr bwMode="auto">
                        <a:xfrm>
                          <a:off x="18351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78" name="Line 154"/>
                        <a:cNvSpPr>
                          <a:spLocks noChangeShapeType="1"/>
                        </a:cNvSpPr>
                      </a:nvSpPr>
                      <a:spPr bwMode="auto">
                        <a:xfrm>
                          <a:off x="19208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79" name="Line 155"/>
                        <a:cNvSpPr>
                          <a:spLocks noChangeShapeType="1"/>
                        </a:cNvSpPr>
                      </a:nvSpPr>
                      <a:spPr bwMode="auto">
                        <a:xfrm>
                          <a:off x="20081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0" name="Rectangle 156"/>
                        <a:cNvSpPr>
                          <a:spLocks noChangeArrowheads="1"/>
                        </a:cNvSpPr>
                      </a:nvSpPr>
                      <a:spPr bwMode="auto">
                        <a:xfrm>
                          <a:off x="2024063"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81" name="Line 157"/>
                        <a:cNvSpPr>
                          <a:spLocks noChangeShapeType="1"/>
                        </a:cNvSpPr>
                      </a:nvSpPr>
                      <a:spPr bwMode="auto">
                        <a:xfrm>
                          <a:off x="2093913"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2" name="Line 158"/>
                        <a:cNvSpPr>
                          <a:spLocks noChangeShapeType="1"/>
                        </a:cNvSpPr>
                      </a:nvSpPr>
                      <a:spPr bwMode="auto">
                        <a:xfrm>
                          <a:off x="21796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3" name="Line 159"/>
                        <a:cNvSpPr>
                          <a:spLocks noChangeShapeType="1"/>
                        </a:cNvSpPr>
                      </a:nvSpPr>
                      <a:spPr bwMode="auto">
                        <a:xfrm>
                          <a:off x="22669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4" name="Line 160"/>
                        <a:cNvSpPr>
                          <a:spLocks noChangeShapeType="1"/>
                        </a:cNvSpPr>
                      </a:nvSpPr>
                      <a:spPr bwMode="auto">
                        <a:xfrm>
                          <a:off x="23526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5" name="Line 161"/>
                        <a:cNvSpPr>
                          <a:spLocks noChangeShapeType="1"/>
                        </a:cNvSpPr>
                      </a:nvSpPr>
                      <a:spPr bwMode="auto">
                        <a:xfrm>
                          <a:off x="24384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6" name="Rectangle 162"/>
                        <a:cNvSpPr>
                          <a:spLocks noChangeArrowheads="1"/>
                        </a:cNvSpPr>
                      </a:nvSpPr>
                      <a:spPr bwMode="auto">
                        <a:xfrm>
                          <a:off x="2454275"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87" name="Line 163"/>
                        <a:cNvSpPr>
                          <a:spLocks noChangeShapeType="1"/>
                        </a:cNvSpPr>
                      </a:nvSpPr>
                      <a:spPr bwMode="auto">
                        <a:xfrm>
                          <a:off x="2524125"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8" name="Line 164"/>
                        <a:cNvSpPr>
                          <a:spLocks noChangeShapeType="1"/>
                        </a:cNvSpPr>
                      </a:nvSpPr>
                      <a:spPr bwMode="auto">
                        <a:xfrm>
                          <a:off x="26114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89" name="Line 165"/>
                        <a:cNvSpPr>
                          <a:spLocks noChangeShapeType="1"/>
                        </a:cNvSpPr>
                      </a:nvSpPr>
                      <a:spPr bwMode="auto">
                        <a:xfrm>
                          <a:off x="26971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0" name="Line 166"/>
                        <a:cNvSpPr>
                          <a:spLocks noChangeShapeType="1"/>
                        </a:cNvSpPr>
                      </a:nvSpPr>
                      <a:spPr bwMode="auto">
                        <a:xfrm>
                          <a:off x="27828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1" name="Line 167"/>
                        <a:cNvSpPr>
                          <a:spLocks noChangeShapeType="1"/>
                        </a:cNvSpPr>
                      </a:nvSpPr>
                      <a:spPr bwMode="auto">
                        <a:xfrm>
                          <a:off x="28702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2" name="Rectangle 168"/>
                        <a:cNvSpPr>
                          <a:spLocks noChangeArrowheads="1"/>
                        </a:cNvSpPr>
                      </a:nvSpPr>
                      <a:spPr bwMode="auto">
                        <a:xfrm>
                          <a:off x="2886075"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93" name="Line 169"/>
                        <a:cNvSpPr>
                          <a:spLocks noChangeShapeType="1"/>
                        </a:cNvSpPr>
                      </a:nvSpPr>
                      <a:spPr bwMode="auto">
                        <a:xfrm>
                          <a:off x="2955925"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4" name="Line 170"/>
                        <a:cNvSpPr>
                          <a:spLocks noChangeShapeType="1"/>
                        </a:cNvSpPr>
                      </a:nvSpPr>
                      <a:spPr bwMode="auto">
                        <a:xfrm>
                          <a:off x="30416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5" name="Line 171"/>
                        <a:cNvSpPr>
                          <a:spLocks noChangeShapeType="1"/>
                        </a:cNvSpPr>
                      </a:nvSpPr>
                      <a:spPr bwMode="auto">
                        <a:xfrm>
                          <a:off x="31273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6" name="Line 172"/>
                        <a:cNvSpPr>
                          <a:spLocks noChangeShapeType="1"/>
                        </a:cNvSpPr>
                      </a:nvSpPr>
                      <a:spPr bwMode="auto">
                        <a:xfrm>
                          <a:off x="32146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7" name="Line 173"/>
                        <a:cNvSpPr>
                          <a:spLocks noChangeShapeType="1"/>
                        </a:cNvSpPr>
                      </a:nvSpPr>
                      <a:spPr bwMode="auto">
                        <a:xfrm>
                          <a:off x="330041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98" name="Rectangle 174"/>
                        <a:cNvSpPr>
                          <a:spLocks noChangeArrowheads="1"/>
                        </a:cNvSpPr>
                      </a:nvSpPr>
                      <a:spPr bwMode="auto">
                        <a:xfrm>
                          <a:off x="3316288"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99" name="Line 175"/>
                        <a:cNvSpPr>
                          <a:spLocks noChangeShapeType="1"/>
                        </a:cNvSpPr>
                      </a:nvSpPr>
                      <a:spPr bwMode="auto">
                        <a:xfrm>
                          <a:off x="3386138"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0" name="Line 176"/>
                        <a:cNvSpPr>
                          <a:spLocks noChangeShapeType="1"/>
                        </a:cNvSpPr>
                      </a:nvSpPr>
                      <a:spPr bwMode="auto">
                        <a:xfrm>
                          <a:off x="34718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1" name="Line 177"/>
                        <a:cNvSpPr>
                          <a:spLocks noChangeShapeType="1"/>
                        </a:cNvSpPr>
                      </a:nvSpPr>
                      <a:spPr bwMode="auto">
                        <a:xfrm>
                          <a:off x="35591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2" name="Line 178"/>
                        <a:cNvSpPr>
                          <a:spLocks noChangeShapeType="1"/>
                        </a:cNvSpPr>
                      </a:nvSpPr>
                      <a:spPr bwMode="auto">
                        <a:xfrm>
                          <a:off x="36449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3" name="Line 179"/>
                        <a:cNvSpPr>
                          <a:spLocks noChangeShapeType="1"/>
                        </a:cNvSpPr>
                      </a:nvSpPr>
                      <a:spPr bwMode="auto">
                        <a:xfrm>
                          <a:off x="373062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4" name="Rectangle 180"/>
                        <a:cNvSpPr>
                          <a:spLocks noChangeArrowheads="1"/>
                        </a:cNvSpPr>
                      </a:nvSpPr>
                      <a:spPr bwMode="auto">
                        <a:xfrm>
                          <a:off x="3748088"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05" name="Line 181"/>
                        <a:cNvSpPr>
                          <a:spLocks noChangeShapeType="1"/>
                        </a:cNvSpPr>
                      </a:nvSpPr>
                      <a:spPr bwMode="auto">
                        <a:xfrm>
                          <a:off x="3817938"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6" name="Line 182"/>
                        <a:cNvSpPr>
                          <a:spLocks noChangeShapeType="1"/>
                        </a:cNvSpPr>
                      </a:nvSpPr>
                      <a:spPr bwMode="auto">
                        <a:xfrm>
                          <a:off x="39036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7" name="Line 183"/>
                        <a:cNvSpPr>
                          <a:spLocks noChangeShapeType="1"/>
                        </a:cNvSpPr>
                      </a:nvSpPr>
                      <a:spPr bwMode="auto">
                        <a:xfrm>
                          <a:off x="39893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8" name="Line 184"/>
                        <a:cNvSpPr>
                          <a:spLocks noChangeShapeType="1"/>
                        </a:cNvSpPr>
                      </a:nvSpPr>
                      <a:spPr bwMode="auto">
                        <a:xfrm>
                          <a:off x="407511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09" name="Line 185"/>
                        <a:cNvSpPr>
                          <a:spLocks noChangeShapeType="1"/>
                        </a:cNvSpPr>
                      </a:nvSpPr>
                      <a:spPr bwMode="auto">
                        <a:xfrm>
                          <a:off x="416242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0" name="Rectangle 186"/>
                        <a:cNvSpPr>
                          <a:spLocks noChangeArrowheads="1"/>
                        </a:cNvSpPr>
                      </a:nvSpPr>
                      <a:spPr bwMode="auto">
                        <a:xfrm>
                          <a:off x="4178300"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11" name="Line 187"/>
                        <a:cNvSpPr>
                          <a:spLocks noChangeShapeType="1"/>
                        </a:cNvSpPr>
                      </a:nvSpPr>
                      <a:spPr bwMode="auto">
                        <a:xfrm>
                          <a:off x="4248150"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2" name="Line 188"/>
                        <a:cNvSpPr>
                          <a:spLocks noChangeShapeType="1"/>
                        </a:cNvSpPr>
                      </a:nvSpPr>
                      <a:spPr bwMode="auto">
                        <a:xfrm>
                          <a:off x="43338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3" name="Line 189"/>
                        <a:cNvSpPr>
                          <a:spLocks noChangeShapeType="1"/>
                        </a:cNvSpPr>
                      </a:nvSpPr>
                      <a:spPr bwMode="auto">
                        <a:xfrm>
                          <a:off x="44196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4" name="Line 190"/>
                        <a:cNvSpPr>
                          <a:spLocks noChangeShapeType="1"/>
                        </a:cNvSpPr>
                      </a:nvSpPr>
                      <a:spPr bwMode="auto">
                        <a:xfrm>
                          <a:off x="450691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5" name="Line 191"/>
                        <a:cNvSpPr>
                          <a:spLocks noChangeShapeType="1"/>
                        </a:cNvSpPr>
                      </a:nvSpPr>
                      <a:spPr bwMode="auto">
                        <a:xfrm>
                          <a:off x="45926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6" name="Rectangle 192"/>
                        <a:cNvSpPr>
                          <a:spLocks noChangeArrowheads="1"/>
                        </a:cNvSpPr>
                      </a:nvSpPr>
                      <a:spPr bwMode="auto">
                        <a:xfrm>
                          <a:off x="4608513" y="9682225"/>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17" name="Line 193"/>
                        <a:cNvSpPr>
                          <a:spLocks noChangeShapeType="1"/>
                        </a:cNvSpPr>
                      </a:nvSpPr>
                      <a:spPr bwMode="auto">
                        <a:xfrm>
                          <a:off x="4678363"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8" name="Line 194"/>
                        <a:cNvSpPr>
                          <a:spLocks noChangeShapeType="1"/>
                        </a:cNvSpPr>
                      </a:nvSpPr>
                      <a:spPr bwMode="auto">
                        <a:xfrm>
                          <a:off x="47640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19" name="Line 195"/>
                        <a:cNvSpPr>
                          <a:spLocks noChangeShapeType="1"/>
                        </a:cNvSpPr>
                      </a:nvSpPr>
                      <a:spPr bwMode="auto">
                        <a:xfrm>
                          <a:off x="48514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0" name="Line 196"/>
                        <a:cNvSpPr>
                          <a:spLocks noChangeShapeType="1"/>
                        </a:cNvSpPr>
                      </a:nvSpPr>
                      <a:spPr bwMode="auto">
                        <a:xfrm>
                          <a:off x="493712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1" name="Line 197"/>
                        <a:cNvSpPr>
                          <a:spLocks noChangeShapeType="1"/>
                        </a:cNvSpPr>
                      </a:nvSpPr>
                      <a:spPr bwMode="auto">
                        <a:xfrm>
                          <a:off x="50228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2" name="Rectangle 198"/>
                        <a:cNvSpPr>
                          <a:spLocks noChangeArrowheads="1"/>
                        </a:cNvSpPr>
                      </a:nvSpPr>
                      <a:spPr bwMode="auto">
                        <a:xfrm>
                          <a:off x="5019675"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23" name="Line 199"/>
                        <a:cNvSpPr>
                          <a:spLocks noChangeShapeType="1"/>
                        </a:cNvSpPr>
                      </a:nvSpPr>
                      <a:spPr bwMode="auto">
                        <a:xfrm>
                          <a:off x="5110163"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4" name="Line 200"/>
                        <a:cNvSpPr>
                          <a:spLocks noChangeShapeType="1"/>
                        </a:cNvSpPr>
                      </a:nvSpPr>
                      <a:spPr bwMode="auto">
                        <a:xfrm>
                          <a:off x="51958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5" name="Line 201"/>
                        <a:cNvSpPr>
                          <a:spLocks noChangeShapeType="1"/>
                        </a:cNvSpPr>
                      </a:nvSpPr>
                      <a:spPr bwMode="auto">
                        <a:xfrm>
                          <a:off x="528161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6" name="Line 202"/>
                        <a:cNvSpPr>
                          <a:spLocks noChangeShapeType="1"/>
                        </a:cNvSpPr>
                      </a:nvSpPr>
                      <a:spPr bwMode="auto">
                        <a:xfrm>
                          <a:off x="53673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7" name="Line 203"/>
                        <a:cNvSpPr>
                          <a:spLocks noChangeShapeType="1"/>
                        </a:cNvSpPr>
                      </a:nvSpPr>
                      <a:spPr bwMode="auto">
                        <a:xfrm>
                          <a:off x="54546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28" name="Rectangle 204"/>
                        <a:cNvSpPr>
                          <a:spLocks noChangeArrowheads="1"/>
                        </a:cNvSpPr>
                      </a:nvSpPr>
                      <a:spPr bwMode="auto">
                        <a:xfrm>
                          <a:off x="5449888"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11.3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29" name="Line 205"/>
                        <a:cNvSpPr>
                          <a:spLocks noChangeShapeType="1"/>
                        </a:cNvSpPr>
                      </a:nvSpPr>
                      <a:spPr bwMode="auto">
                        <a:xfrm>
                          <a:off x="5540375"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0" name="Line 206"/>
                        <a:cNvSpPr>
                          <a:spLocks noChangeShapeType="1"/>
                        </a:cNvSpPr>
                      </a:nvSpPr>
                      <a:spPr bwMode="auto">
                        <a:xfrm>
                          <a:off x="56261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1" name="Line 207"/>
                        <a:cNvSpPr>
                          <a:spLocks noChangeShapeType="1"/>
                        </a:cNvSpPr>
                      </a:nvSpPr>
                      <a:spPr bwMode="auto">
                        <a:xfrm>
                          <a:off x="571341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2" name="Line 208"/>
                        <a:cNvSpPr>
                          <a:spLocks noChangeShapeType="1"/>
                        </a:cNvSpPr>
                      </a:nvSpPr>
                      <a:spPr bwMode="auto">
                        <a:xfrm>
                          <a:off x="57991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3" name="Line 209"/>
                        <a:cNvSpPr>
                          <a:spLocks noChangeShapeType="1"/>
                        </a:cNvSpPr>
                      </a:nvSpPr>
                      <a:spPr bwMode="auto">
                        <a:xfrm>
                          <a:off x="58848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4" name="Rectangle 210"/>
                        <a:cNvSpPr>
                          <a:spLocks noChangeArrowheads="1"/>
                        </a:cNvSpPr>
                      </a:nvSpPr>
                      <a:spPr bwMode="auto">
                        <a:xfrm>
                          <a:off x="5880100"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35" name="Line 211"/>
                        <a:cNvSpPr>
                          <a:spLocks noChangeShapeType="1"/>
                        </a:cNvSpPr>
                      </a:nvSpPr>
                      <a:spPr bwMode="auto">
                        <a:xfrm>
                          <a:off x="5970588"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6" name="Line 212"/>
                        <a:cNvSpPr>
                          <a:spLocks noChangeShapeType="1"/>
                        </a:cNvSpPr>
                      </a:nvSpPr>
                      <a:spPr bwMode="auto">
                        <a:xfrm>
                          <a:off x="60579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7" name="Line 213"/>
                        <a:cNvSpPr>
                          <a:spLocks noChangeShapeType="1"/>
                        </a:cNvSpPr>
                      </a:nvSpPr>
                      <a:spPr bwMode="auto">
                        <a:xfrm>
                          <a:off x="614362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8" name="Line 214"/>
                        <a:cNvSpPr>
                          <a:spLocks noChangeShapeType="1"/>
                        </a:cNvSpPr>
                      </a:nvSpPr>
                      <a:spPr bwMode="auto">
                        <a:xfrm>
                          <a:off x="62293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39" name="Line 215"/>
                        <a:cNvSpPr>
                          <a:spLocks noChangeShapeType="1"/>
                        </a:cNvSpPr>
                      </a:nvSpPr>
                      <a:spPr bwMode="auto">
                        <a:xfrm>
                          <a:off x="63166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0" name="Rectangle 216"/>
                        <a:cNvSpPr>
                          <a:spLocks noChangeArrowheads="1"/>
                        </a:cNvSpPr>
                      </a:nvSpPr>
                      <a:spPr bwMode="auto">
                        <a:xfrm>
                          <a:off x="6311900"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41" name="Line 217"/>
                        <a:cNvSpPr>
                          <a:spLocks noChangeShapeType="1"/>
                        </a:cNvSpPr>
                      </a:nvSpPr>
                      <a:spPr bwMode="auto">
                        <a:xfrm>
                          <a:off x="6402388"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2" name="Line 218"/>
                        <a:cNvSpPr>
                          <a:spLocks noChangeShapeType="1"/>
                        </a:cNvSpPr>
                      </a:nvSpPr>
                      <a:spPr bwMode="auto">
                        <a:xfrm>
                          <a:off x="648811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3" name="Line 219"/>
                        <a:cNvSpPr>
                          <a:spLocks noChangeShapeType="1"/>
                        </a:cNvSpPr>
                      </a:nvSpPr>
                      <a:spPr bwMode="auto">
                        <a:xfrm>
                          <a:off x="65738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4" name="Line 220"/>
                        <a:cNvSpPr>
                          <a:spLocks noChangeShapeType="1"/>
                        </a:cNvSpPr>
                      </a:nvSpPr>
                      <a:spPr bwMode="auto">
                        <a:xfrm>
                          <a:off x="66611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5" name="Line 221"/>
                        <a:cNvSpPr>
                          <a:spLocks noChangeShapeType="1"/>
                        </a:cNvSpPr>
                      </a:nvSpPr>
                      <a:spPr bwMode="auto">
                        <a:xfrm>
                          <a:off x="67468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6" name="Rectangle 222"/>
                        <a:cNvSpPr>
                          <a:spLocks noChangeArrowheads="1"/>
                        </a:cNvSpPr>
                      </a:nvSpPr>
                      <a:spPr bwMode="auto">
                        <a:xfrm>
                          <a:off x="6742113"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47" name="Line 223"/>
                        <a:cNvSpPr>
                          <a:spLocks noChangeShapeType="1"/>
                        </a:cNvSpPr>
                      </a:nvSpPr>
                      <a:spPr bwMode="auto">
                        <a:xfrm>
                          <a:off x="6832600"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8" name="Line 224"/>
                        <a:cNvSpPr>
                          <a:spLocks noChangeShapeType="1"/>
                        </a:cNvSpPr>
                      </a:nvSpPr>
                      <a:spPr bwMode="auto">
                        <a:xfrm>
                          <a:off x="691832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49" name="Line 225"/>
                        <a:cNvSpPr>
                          <a:spLocks noChangeShapeType="1"/>
                        </a:cNvSpPr>
                      </a:nvSpPr>
                      <a:spPr bwMode="auto">
                        <a:xfrm>
                          <a:off x="70056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0" name="Line 226"/>
                        <a:cNvSpPr>
                          <a:spLocks noChangeShapeType="1"/>
                        </a:cNvSpPr>
                      </a:nvSpPr>
                      <a:spPr bwMode="auto">
                        <a:xfrm>
                          <a:off x="70913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1" name="Line 227"/>
                        <a:cNvSpPr>
                          <a:spLocks noChangeShapeType="1"/>
                        </a:cNvSpPr>
                      </a:nvSpPr>
                      <a:spPr bwMode="auto">
                        <a:xfrm>
                          <a:off x="71770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2" name="Rectangle 228"/>
                        <a:cNvSpPr>
                          <a:spLocks noChangeArrowheads="1"/>
                        </a:cNvSpPr>
                      </a:nvSpPr>
                      <a:spPr bwMode="auto">
                        <a:xfrm>
                          <a:off x="7173913"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53" name="Line 229"/>
                        <a:cNvSpPr>
                          <a:spLocks noChangeShapeType="1"/>
                        </a:cNvSpPr>
                      </a:nvSpPr>
                      <a:spPr bwMode="auto">
                        <a:xfrm>
                          <a:off x="7264400"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4" name="Line 230"/>
                        <a:cNvSpPr>
                          <a:spLocks noChangeShapeType="1"/>
                        </a:cNvSpPr>
                      </a:nvSpPr>
                      <a:spPr bwMode="auto">
                        <a:xfrm>
                          <a:off x="735012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5" name="Line 231"/>
                        <a:cNvSpPr>
                          <a:spLocks noChangeShapeType="1"/>
                        </a:cNvSpPr>
                      </a:nvSpPr>
                      <a:spPr bwMode="auto">
                        <a:xfrm>
                          <a:off x="743585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6" name="Line 232"/>
                        <a:cNvSpPr>
                          <a:spLocks noChangeShapeType="1"/>
                        </a:cNvSpPr>
                      </a:nvSpPr>
                      <a:spPr bwMode="auto">
                        <a:xfrm>
                          <a:off x="75215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7" name="Line 233"/>
                        <a:cNvSpPr>
                          <a:spLocks noChangeShapeType="1"/>
                        </a:cNvSpPr>
                      </a:nvSpPr>
                      <a:spPr bwMode="auto">
                        <a:xfrm>
                          <a:off x="76088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58" name="Rectangle 234"/>
                        <a:cNvSpPr>
                          <a:spLocks noChangeArrowheads="1"/>
                        </a:cNvSpPr>
                      </a:nvSpPr>
                      <a:spPr bwMode="auto">
                        <a:xfrm>
                          <a:off x="7604125"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59" name="Line 235"/>
                        <a:cNvSpPr>
                          <a:spLocks noChangeShapeType="1"/>
                        </a:cNvSpPr>
                      </a:nvSpPr>
                      <a:spPr bwMode="auto">
                        <a:xfrm>
                          <a:off x="7694613"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0" name="Line 236"/>
                        <a:cNvSpPr>
                          <a:spLocks noChangeShapeType="1"/>
                        </a:cNvSpPr>
                      </a:nvSpPr>
                      <a:spPr bwMode="auto">
                        <a:xfrm>
                          <a:off x="77803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1" name="Line 237"/>
                        <a:cNvSpPr>
                          <a:spLocks noChangeShapeType="1"/>
                        </a:cNvSpPr>
                      </a:nvSpPr>
                      <a:spPr bwMode="auto">
                        <a:xfrm>
                          <a:off x="78660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2" name="Line 238"/>
                        <a:cNvSpPr>
                          <a:spLocks noChangeShapeType="1"/>
                        </a:cNvSpPr>
                      </a:nvSpPr>
                      <a:spPr bwMode="auto">
                        <a:xfrm>
                          <a:off x="7953375"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3" name="Line 239"/>
                        <a:cNvSpPr>
                          <a:spLocks noChangeShapeType="1"/>
                        </a:cNvSpPr>
                      </a:nvSpPr>
                      <a:spPr bwMode="auto">
                        <a:xfrm>
                          <a:off x="8039100"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4" name="Rectangle 240"/>
                        <a:cNvSpPr>
                          <a:spLocks noChangeArrowheads="1"/>
                        </a:cNvSpPr>
                      </a:nvSpPr>
                      <a:spPr bwMode="auto">
                        <a:xfrm>
                          <a:off x="8034338"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65" name="Line 241"/>
                        <a:cNvSpPr>
                          <a:spLocks noChangeShapeType="1"/>
                        </a:cNvSpPr>
                      </a:nvSpPr>
                      <a:spPr bwMode="auto">
                        <a:xfrm>
                          <a:off x="8124825"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6" name="Line 242"/>
                        <a:cNvSpPr>
                          <a:spLocks noChangeShapeType="1"/>
                        </a:cNvSpPr>
                      </a:nvSpPr>
                      <a:spPr bwMode="auto">
                        <a:xfrm>
                          <a:off x="821213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7" name="Line 243"/>
                        <a:cNvSpPr>
                          <a:spLocks noChangeShapeType="1"/>
                        </a:cNvSpPr>
                      </a:nvSpPr>
                      <a:spPr bwMode="auto">
                        <a:xfrm>
                          <a:off x="829786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8" name="Line 244"/>
                        <a:cNvSpPr>
                          <a:spLocks noChangeShapeType="1"/>
                        </a:cNvSpPr>
                      </a:nvSpPr>
                      <a:spPr bwMode="auto">
                        <a:xfrm>
                          <a:off x="8383588"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69" name="Line 245"/>
                        <a:cNvSpPr>
                          <a:spLocks noChangeShapeType="1"/>
                        </a:cNvSpPr>
                      </a:nvSpPr>
                      <a:spPr bwMode="auto">
                        <a:xfrm>
                          <a:off x="8469313" y="9637924"/>
                          <a:ext cx="1588" cy="1833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70" name="Rectangle 246"/>
                        <a:cNvSpPr>
                          <a:spLocks noChangeArrowheads="1"/>
                        </a:cNvSpPr>
                      </a:nvSpPr>
                      <a:spPr bwMode="auto">
                        <a:xfrm>
                          <a:off x="8466138" y="968222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71" name="Line 247"/>
                        <a:cNvSpPr>
                          <a:spLocks noChangeShapeType="1"/>
                        </a:cNvSpPr>
                      </a:nvSpPr>
                      <a:spPr bwMode="auto">
                        <a:xfrm>
                          <a:off x="8556625" y="9637924"/>
                          <a:ext cx="1588" cy="4430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72" name="Rectangle 248"/>
                        <a:cNvSpPr>
                          <a:spLocks noChangeArrowheads="1"/>
                        </a:cNvSpPr>
                      </a:nvSpPr>
                      <a:spPr bwMode="auto">
                        <a:xfrm>
                          <a:off x="1663700" y="8145460"/>
                          <a:ext cx="6892925" cy="1492464"/>
                        </a:xfrm>
                        <a:prstGeom prst="rect">
                          <a:avLst/>
                        </a:prstGeom>
                        <a:noFill/>
                        <a:ln w="3175">
                          <a:solidFill>
                            <a:srgbClr val="000000"/>
                          </a:solidFill>
                          <a:prstDash val="solid"/>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273" name="Rectangle 249"/>
                        <a:cNvSpPr>
                          <a:spLocks noChangeArrowheads="1"/>
                        </a:cNvSpPr>
                      </a:nvSpPr>
                      <a:spPr bwMode="auto">
                        <a:xfrm>
                          <a:off x="1452563" y="9593624"/>
                          <a:ext cx="21961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74" name="Line 250"/>
                        <a:cNvSpPr>
                          <a:spLocks noChangeShapeType="1"/>
                        </a:cNvSpPr>
                      </a:nvSpPr>
                      <a:spPr bwMode="auto">
                        <a:xfrm flipH="1">
                          <a:off x="1617663" y="9637924"/>
                          <a:ext cx="460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75" name="Line 251"/>
                        <a:cNvSpPr>
                          <a:spLocks noChangeShapeType="1"/>
                        </a:cNvSpPr>
                      </a:nvSpPr>
                      <a:spPr bwMode="auto">
                        <a:xfrm flipH="1">
                          <a:off x="1643063" y="9575293"/>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76" name="Line 252"/>
                        <a:cNvSpPr>
                          <a:spLocks noChangeShapeType="1"/>
                        </a:cNvSpPr>
                      </a:nvSpPr>
                      <a:spPr bwMode="auto">
                        <a:xfrm flipH="1">
                          <a:off x="1617663" y="9512661"/>
                          <a:ext cx="460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77" name="Line 253"/>
                        <a:cNvSpPr>
                          <a:spLocks noChangeShapeType="1"/>
                        </a:cNvSpPr>
                      </a:nvSpPr>
                      <a:spPr bwMode="auto">
                        <a:xfrm flipH="1">
                          <a:off x="1643063" y="9451557"/>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78" name="Line 254"/>
                        <a:cNvSpPr>
                          <a:spLocks noChangeShapeType="1"/>
                        </a:cNvSpPr>
                      </a:nvSpPr>
                      <a:spPr bwMode="auto">
                        <a:xfrm flipH="1">
                          <a:off x="1643063" y="9388926"/>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79" name="Line 255"/>
                        <a:cNvSpPr>
                          <a:spLocks noChangeShapeType="1"/>
                        </a:cNvSpPr>
                      </a:nvSpPr>
                      <a:spPr bwMode="auto">
                        <a:xfrm flipH="1">
                          <a:off x="1643063" y="9326294"/>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0" name="Line 256"/>
                        <a:cNvSpPr>
                          <a:spLocks noChangeShapeType="1"/>
                        </a:cNvSpPr>
                      </a:nvSpPr>
                      <a:spPr bwMode="auto">
                        <a:xfrm flipH="1">
                          <a:off x="1643063" y="9265190"/>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1" name="Rectangle 257"/>
                        <a:cNvSpPr>
                          <a:spLocks noChangeArrowheads="1"/>
                        </a:cNvSpPr>
                      </a:nvSpPr>
                      <a:spPr bwMode="auto">
                        <a:xfrm>
                          <a:off x="1447800" y="9121595"/>
                          <a:ext cx="228600" cy="148081"/>
                        </a:xfrm>
                        <a:prstGeom prst="rect">
                          <a:avLst/>
                        </a:prstGeom>
                        <a:noFill/>
                        <a:ln w="9525">
                          <a:noFill/>
                          <a:miter lim="800000"/>
                          <a:headEnd/>
                          <a:tailEnd/>
                        </a:ln>
                      </a:spPr>
                      <a:txSp>
                        <a:txBody>
                          <a:bodyPr vert="horz"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5.0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282" name="Line 258"/>
                        <a:cNvSpPr>
                          <a:spLocks noChangeShapeType="1"/>
                        </a:cNvSpPr>
                      </a:nvSpPr>
                      <a:spPr bwMode="auto">
                        <a:xfrm flipH="1">
                          <a:off x="1617663" y="9202559"/>
                          <a:ext cx="460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3" name="Line 259"/>
                        <a:cNvSpPr>
                          <a:spLocks noChangeShapeType="1"/>
                        </a:cNvSpPr>
                      </a:nvSpPr>
                      <a:spPr bwMode="auto">
                        <a:xfrm flipH="1">
                          <a:off x="1643063" y="9139926"/>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4" name="Line 260"/>
                        <a:cNvSpPr>
                          <a:spLocks noChangeShapeType="1"/>
                        </a:cNvSpPr>
                      </a:nvSpPr>
                      <a:spPr bwMode="auto">
                        <a:xfrm flipH="1">
                          <a:off x="1643063" y="9077295"/>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5" name="Line 261"/>
                        <a:cNvSpPr>
                          <a:spLocks noChangeShapeType="1"/>
                        </a:cNvSpPr>
                      </a:nvSpPr>
                      <a:spPr bwMode="auto">
                        <a:xfrm flipH="1">
                          <a:off x="1643063" y="9016191"/>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6" name="Line 262"/>
                        <a:cNvSpPr>
                          <a:spLocks noChangeShapeType="1"/>
                        </a:cNvSpPr>
                      </a:nvSpPr>
                      <a:spPr bwMode="auto">
                        <a:xfrm flipH="1">
                          <a:off x="1643063" y="8953559"/>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7" name="Rectangle 263"/>
                        <a:cNvSpPr>
                          <a:spLocks noChangeArrowheads="1"/>
                        </a:cNvSpPr>
                      </a:nvSpPr>
                      <a:spPr bwMode="auto">
                        <a:xfrm>
                          <a:off x="1371600" y="884204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288" name="Line 264"/>
                        <a:cNvSpPr>
                          <a:spLocks noChangeShapeType="1"/>
                        </a:cNvSpPr>
                      </a:nvSpPr>
                      <a:spPr bwMode="auto">
                        <a:xfrm flipH="1">
                          <a:off x="1617663" y="8892456"/>
                          <a:ext cx="460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89" name="Line 265"/>
                        <a:cNvSpPr>
                          <a:spLocks noChangeShapeType="1"/>
                        </a:cNvSpPr>
                      </a:nvSpPr>
                      <a:spPr bwMode="auto">
                        <a:xfrm flipH="1">
                          <a:off x="1643063" y="8829824"/>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0" name="Line 266"/>
                        <a:cNvSpPr>
                          <a:spLocks noChangeShapeType="1"/>
                        </a:cNvSpPr>
                      </a:nvSpPr>
                      <a:spPr bwMode="auto">
                        <a:xfrm flipH="1">
                          <a:off x="1643063" y="8767192"/>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1" name="Line 267"/>
                        <a:cNvSpPr>
                          <a:spLocks noChangeShapeType="1"/>
                        </a:cNvSpPr>
                      </a:nvSpPr>
                      <a:spPr bwMode="auto">
                        <a:xfrm flipH="1">
                          <a:off x="1643063" y="8704561"/>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2" name="Line 268"/>
                        <a:cNvSpPr>
                          <a:spLocks noChangeShapeType="1"/>
                        </a:cNvSpPr>
                      </a:nvSpPr>
                      <a:spPr bwMode="auto">
                        <a:xfrm flipH="1">
                          <a:off x="1643063" y="8643457"/>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3" name="Rectangle 269"/>
                        <a:cNvSpPr>
                          <a:spLocks noChangeArrowheads="1"/>
                        </a:cNvSpPr>
                      </a:nvSpPr>
                      <a:spPr bwMode="auto">
                        <a:xfrm>
                          <a:off x="1371600" y="8530415"/>
                          <a:ext cx="246862"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15.0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294" name="Line 270"/>
                        <a:cNvSpPr>
                          <a:spLocks noChangeShapeType="1"/>
                        </a:cNvSpPr>
                      </a:nvSpPr>
                      <a:spPr bwMode="auto">
                        <a:xfrm flipH="1">
                          <a:off x="1617663" y="8580825"/>
                          <a:ext cx="460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5" name="Line 271"/>
                        <a:cNvSpPr>
                          <a:spLocks noChangeShapeType="1"/>
                        </a:cNvSpPr>
                      </a:nvSpPr>
                      <a:spPr bwMode="auto">
                        <a:xfrm flipH="1">
                          <a:off x="1643063" y="8518194"/>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6" name="Line 272"/>
                        <a:cNvSpPr>
                          <a:spLocks noChangeShapeType="1"/>
                        </a:cNvSpPr>
                      </a:nvSpPr>
                      <a:spPr bwMode="auto">
                        <a:xfrm flipH="1">
                          <a:off x="1643063" y="8457090"/>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7" name="Line 273"/>
                        <a:cNvSpPr>
                          <a:spLocks noChangeShapeType="1"/>
                        </a:cNvSpPr>
                      </a:nvSpPr>
                      <a:spPr bwMode="auto">
                        <a:xfrm flipH="1">
                          <a:off x="1643063" y="8394458"/>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8" name="Line 274"/>
                        <a:cNvSpPr>
                          <a:spLocks noChangeShapeType="1"/>
                        </a:cNvSpPr>
                      </a:nvSpPr>
                      <a:spPr bwMode="auto">
                        <a:xfrm flipH="1">
                          <a:off x="1643063" y="8331827"/>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299" name="Line 275"/>
                        <a:cNvSpPr>
                          <a:spLocks noChangeShapeType="1"/>
                        </a:cNvSpPr>
                      </a:nvSpPr>
                      <a:spPr bwMode="auto">
                        <a:xfrm flipH="1">
                          <a:off x="1617663" y="8270723"/>
                          <a:ext cx="460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00" name="Line 276"/>
                        <a:cNvSpPr>
                          <a:spLocks noChangeShapeType="1"/>
                        </a:cNvSpPr>
                      </a:nvSpPr>
                      <a:spPr bwMode="auto">
                        <a:xfrm flipH="1">
                          <a:off x="1643063" y="8208091"/>
                          <a:ext cx="206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01" name="Rectangle 277"/>
                        <a:cNvSpPr>
                          <a:spLocks noChangeArrowheads="1"/>
                        </a:cNvSpPr>
                      </a:nvSpPr>
                      <a:spPr bwMode="auto">
                        <a:xfrm>
                          <a:off x="1371600" y="8202615"/>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20.0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314" name="Line 290"/>
                        <a:cNvSpPr>
                          <a:spLocks noChangeShapeType="1"/>
                        </a:cNvSpPr>
                      </a:nvSpPr>
                      <a:spPr bwMode="auto">
                        <a:xfrm flipH="1">
                          <a:off x="1617663" y="8145460"/>
                          <a:ext cx="46038" cy="1528"/>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16" name="Freeform 292"/>
                        <a:cNvSpPr>
                          <a:spLocks/>
                        </a:cNvSpPr>
                      </a:nvSpPr>
                      <a:spPr bwMode="auto">
                        <a:xfrm>
                          <a:off x="1663700" y="9019247"/>
                          <a:ext cx="857250" cy="345237"/>
                        </a:xfrm>
                        <a:custGeom>
                          <a:avLst/>
                          <a:gdLst/>
                          <a:ahLst/>
                          <a:cxnLst>
                            <a:cxn ang="0">
                              <a:pos x="11" y="225"/>
                            </a:cxn>
                            <a:cxn ang="0">
                              <a:pos x="41" y="225"/>
                            </a:cxn>
                            <a:cxn ang="0">
                              <a:pos x="82" y="226"/>
                            </a:cxn>
                            <a:cxn ang="0">
                              <a:pos x="103" y="225"/>
                            </a:cxn>
                            <a:cxn ang="0">
                              <a:pos x="121" y="226"/>
                            </a:cxn>
                            <a:cxn ang="0">
                              <a:pos x="135" y="225"/>
                            </a:cxn>
                            <a:cxn ang="0">
                              <a:pos x="146" y="224"/>
                            </a:cxn>
                            <a:cxn ang="0">
                              <a:pos x="150" y="224"/>
                            </a:cxn>
                            <a:cxn ang="0">
                              <a:pos x="151" y="224"/>
                            </a:cxn>
                            <a:cxn ang="0">
                              <a:pos x="154" y="223"/>
                            </a:cxn>
                            <a:cxn ang="0">
                              <a:pos x="157" y="221"/>
                            </a:cxn>
                            <a:cxn ang="0">
                              <a:pos x="159" y="218"/>
                            </a:cxn>
                            <a:cxn ang="0">
                              <a:pos x="162" y="213"/>
                            </a:cxn>
                            <a:cxn ang="0">
                              <a:pos x="165" y="207"/>
                            </a:cxn>
                            <a:cxn ang="0">
                              <a:pos x="170" y="192"/>
                            </a:cxn>
                            <a:cxn ang="0">
                              <a:pos x="174" y="181"/>
                            </a:cxn>
                            <a:cxn ang="0">
                              <a:pos x="177" y="175"/>
                            </a:cxn>
                            <a:cxn ang="0">
                              <a:pos x="180" y="172"/>
                            </a:cxn>
                            <a:cxn ang="0">
                              <a:pos x="182" y="169"/>
                            </a:cxn>
                            <a:cxn ang="0">
                              <a:pos x="184" y="165"/>
                            </a:cxn>
                            <a:cxn ang="0">
                              <a:pos x="185" y="160"/>
                            </a:cxn>
                            <a:cxn ang="0">
                              <a:pos x="186" y="155"/>
                            </a:cxn>
                            <a:cxn ang="0">
                              <a:pos x="186" y="150"/>
                            </a:cxn>
                            <a:cxn ang="0">
                              <a:pos x="188" y="139"/>
                            </a:cxn>
                            <a:cxn ang="0">
                              <a:pos x="189" y="121"/>
                            </a:cxn>
                            <a:cxn ang="0">
                              <a:pos x="191" y="93"/>
                            </a:cxn>
                            <a:cxn ang="0">
                              <a:pos x="195" y="41"/>
                            </a:cxn>
                            <a:cxn ang="0">
                              <a:pos x="197" y="16"/>
                            </a:cxn>
                            <a:cxn ang="0">
                              <a:pos x="199" y="3"/>
                            </a:cxn>
                            <a:cxn ang="0">
                              <a:pos x="201" y="0"/>
                            </a:cxn>
                            <a:cxn ang="0">
                              <a:pos x="203" y="7"/>
                            </a:cxn>
                            <a:cxn ang="0">
                              <a:pos x="205" y="26"/>
                            </a:cxn>
                            <a:cxn ang="0">
                              <a:pos x="211" y="75"/>
                            </a:cxn>
                            <a:cxn ang="0">
                              <a:pos x="215" y="105"/>
                            </a:cxn>
                            <a:cxn ang="0">
                              <a:pos x="218" y="125"/>
                            </a:cxn>
                            <a:cxn ang="0">
                              <a:pos x="222" y="143"/>
                            </a:cxn>
                            <a:cxn ang="0">
                              <a:pos x="226" y="156"/>
                            </a:cxn>
                            <a:cxn ang="0">
                              <a:pos x="229" y="166"/>
                            </a:cxn>
                            <a:cxn ang="0">
                              <a:pos x="233" y="174"/>
                            </a:cxn>
                            <a:cxn ang="0">
                              <a:pos x="236" y="179"/>
                            </a:cxn>
                            <a:cxn ang="0">
                              <a:pos x="238" y="181"/>
                            </a:cxn>
                            <a:cxn ang="0">
                              <a:pos x="242" y="180"/>
                            </a:cxn>
                            <a:cxn ang="0">
                              <a:pos x="247" y="176"/>
                            </a:cxn>
                            <a:cxn ang="0">
                              <a:pos x="250" y="177"/>
                            </a:cxn>
                            <a:cxn ang="0">
                              <a:pos x="253" y="182"/>
                            </a:cxn>
                            <a:cxn ang="0">
                              <a:pos x="259" y="193"/>
                            </a:cxn>
                            <a:cxn ang="0">
                              <a:pos x="261" y="197"/>
                            </a:cxn>
                            <a:cxn ang="0">
                              <a:pos x="264" y="201"/>
                            </a:cxn>
                            <a:cxn ang="0">
                              <a:pos x="268" y="205"/>
                            </a:cxn>
                            <a:cxn ang="0">
                              <a:pos x="273" y="208"/>
                            </a:cxn>
                            <a:cxn ang="0">
                              <a:pos x="280" y="211"/>
                            </a:cxn>
                            <a:cxn ang="0">
                              <a:pos x="289" y="213"/>
                            </a:cxn>
                            <a:cxn ang="0">
                              <a:pos x="302" y="214"/>
                            </a:cxn>
                            <a:cxn ang="0">
                              <a:pos x="318" y="214"/>
                            </a:cxn>
                            <a:cxn ang="0">
                              <a:pos x="336" y="214"/>
                            </a:cxn>
                            <a:cxn ang="0">
                              <a:pos x="351" y="215"/>
                            </a:cxn>
                            <a:cxn ang="0">
                              <a:pos x="373" y="217"/>
                            </a:cxn>
                            <a:cxn ang="0">
                              <a:pos x="402" y="219"/>
                            </a:cxn>
                            <a:cxn ang="0">
                              <a:pos x="424" y="220"/>
                            </a:cxn>
                            <a:cxn ang="0">
                              <a:pos x="448" y="221"/>
                            </a:cxn>
                            <a:cxn ang="0">
                              <a:pos x="473" y="221"/>
                            </a:cxn>
                            <a:cxn ang="0">
                              <a:pos x="502" y="221"/>
                            </a:cxn>
                            <a:cxn ang="0">
                              <a:pos x="524" y="222"/>
                            </a:cxn>
                          </a:cxnLst>
                          <a:rect l="0" t="0" r="r" b="b"/>
                          <a:pathLst>
                            <a:path w="540" h="226">
                              <a:moveTo>
                                <a:pt x="0" y="225"/>
                              </a:moveTo>
                              <a:lnTo>
                                <a:pt x="1" y="225"/>
                              </a:lnTo>
                              <a:lnTo>
                                <a:pt x="2" y="225"/>
                              </a:lnTo>
                              <a:lnTo>
                                <a:pt x="4" y="225"/>
                              </a:lnTo>
                              <a:lnTo>
                                <a:pt x="6" y="225"/>
                              </a:lnTo>
                              <a:lnTo>
                                <a:pt x="8" y="225"/>
                              </a:lnTo>
                              <a:lnTo>
                                <a:pt x="10" y="225"/>
                              </a:lnTo>
                              <a:lnTo>
                                <a:pt x="11" y="225"/>
                              </a:lnTo>
                              <a:lnTo>
                                <a:pt x="13" y="225"/>
                              </a:lnTo>
                              <a:lnTo>
                                <a:pt x="15" y="225"/>
                              </a:lnTo>
                              <a:lnTo>
                                <a:pt x="17" y="225"/>
                              </a:lnTo>
                              <a:lnTo>
                                <a:pt x="21" y="225"/>
                              </a:lnTo>
                              <a:lnTo>
                                <a:pt x="27" y="225"/>
                              </a:lnTo>
                              <a:lnTo>
                                <a:pt x="32" y="225"/>
                              </a:lnTo>
                              <a:lnTo>
                                <a:pt x="37" y="226"/>
                              </a:lnTo>
                              <a:lnTo>
                                <a:pt x="41" y="225"/>
                              </a:lnTo>
                              <a:lnTo>
                                <a:pt x="46" y="225"/>
                              </a:lnTo>
                              <a:lnTo>
                                <a:pt x="50" y="225"/>
                              </a:lnTo>
                              <a:lnTo>
                                <a:pt x="54" y="225"/>
                              </a:lnTo>
                              <a:lnTo>
                                <a:pt x="60" y="225"/>
                              </a:lnTo>
                              <a:lnTo>
                                <a:pt x="66" y="225"/>
                              </a:lnTo>
                              <a:lnTo>
                                <a:pt x="72" y="225"/>
                              </a:lnTo>
                              <a:lnTo>
                                <a:pt x="79" y="226"/>
                              </a:lnTo>
                              <a:lnTo>
                                <a:pt x="82" y="226"/>
                              </a:lnTo>
                              <a:lnTo>
                                <a:pt x="84" y="226"/>
                              </a:lnTo>
                              <a:lnTo>
                                <a:pt x="87" y="226"/>
                              </a:lnTo>
                              <a:lnTo>
                                <a:pt x="89" y="225"/>
                              </a:lnTo>
                              <a:lnTo>
                                <a:pt x="93" y="225"/>
                              </a:lnTo>
                              <a:lnTo>
                                <a:pt x="96" y="225"/>
                              </a:lnTo>
                              <a:lnTo>
                                <a:pt x="98" y="225"/>
                              </a:lnTo>
                              <a:lnTo>
                                <a:pt x="101" y="225"/>
                              </a:lnTo>
                              <a:lnTo>
                                <a:pt x="103" y="225"/>
                              </a:lnTo>
                              <a:lnTo>
                                <a:pt x="106" y="225"/>
                              </a:lnTo>
                              <a:lnTo>
                                <a:pt x="109" y="225"/>
                              </a:lnTo>
                              <a:lnTo>
                                <a:pt x="112" y="225"/>
                              </a:lnTo>
                              <a:lnTo>
                                <a:pt x="115" y="226"/>
                              </a:lnTo>
                              <a:lnTo>
                                <a:pt x="116" y="226"/>
                              </a:lnTo>
                              <a:lnTo>
                                <a:pt x="118" y="226"/>
                              </a:lnTo>
                              <a:lnTo>
                                <a:pt x="119" y="226"/>
                              </a:lnTo>
                              <a:lnTo>
                                <a:pt x="121" y="226"/>
                              </a:lnTo>
                              <a:lnTo>
                                <a:pt x="122" y="226"/>
                              </a:lnTo>
                              <a:lnTo>
                                <a:pt x="123" y="226"/>
                              </a:lnTo>
                              <a:lnTo>
                                <a:pt x="124" y="226"/>
                              </a:lnTo>
                              <a:lnTo>
                                <a:pt x="126" y="225"/>
                              </a:lnTo>
                              <a:lnTo>
                                <a:pt x="128" y="225"/>
                              </a:lnTo>
                              <a:lnTo>
                                <a:pt x="130" y="225"/>
                              </a:lnTo>
                              <a:lnTo>
                                <a:pt x="133" y="225"/>
                              </a:lnTo>
                              <a:lnTo>
                                <a:pt x="135" y="225"/>
                              </a:lnTo>
                              <a:lnTo>
                                <a:pt x="138" y="224"/>
                              </a:lnTo>
                              <a:lnTo>
                                <a:pt x="140" y="224"/>
                              </a:lnTo>
                              <a:lnTo>
                                <a:pt x="141" y="224"/>
                              </a:lnTo>
                              <a:lnTo>
                                <a:pt x="143" y="224"/>
                              </a:lnTo>
                              <a:lnTo>
                                <a:pt x="144" y="224"/>
                              </a:lnTo>
                              <a:lnTo>
                                <a:pt x="145" y="224"/>
                              </a:lnTo>
                              <a:lnTo>
                                <a:pt x="145" y="224"/>
                              </a:lnTo>
                              <a:lnTo>
                                <a:pt x="146" y="224"/>
                              </a:lnTo>
                              <a:lnTo>
                                <a:pt x="147" y="224"/>
                              </a:lnTo>
                              <a:lnTo>
                                <a:pt x="148" y="224"/>
                              </a:lnTo>
                              <a:lnTo>
                                <a:pt x="148" y="224"/>
                              </a:lnTo>
                              <a:lnTo>
                                <a:pt x="148" y="224"/>
                              </a:lnTo>
                              <a:lnTo>
                                <a:pt x="149" y="224"/>
                              </a:lnTo>
                              <a:lnTo>
                                <a:pt x="149" y="224"/>
                              </a:lnTo>
                              <a:lnTo>
                                <a:pt x="149" y="224"/>
                              </a:lnTo>
                              <a:lnTo>
                                <a:pt x="150" y="224"/>
                              </a:lnTo>
                              <a:lnTo>
                                <a:pt x="150" y="224"/>
                              </a:lnTo>
                              <a:lnTo>
                                <a:pt x="150" y="224"/>
                              </a:lnTo>
                              <a:lnTo>
                                <a:pt x="150" y="224"/>
                              </a:lnTo>
                              <a:lnTo>
                                <a:pt x="151" y="224"/>
                              </a:lnTo>
                              <a:lnTo>
                                <a:pt x="151" y="224"/>
                              </a:lnTo>
                              <a:lnTo>
                                <a:pt x="151" y="224"/>
                              </a:lnTo>
                              <a:lnTo>
                                <a:pt x="151" y="224"/>
                              </a:lnTo>
                              <a:lnTo>
                                <a:pt x="151" y="224"/>
                              </a:lnTo>
                              <a:lnTo>
                                <a:pt x="152" y="223"/>
                              </a:lnTo>
                              <a:lnTo>
                                <a:pt x="152" y="223"/>
                              </a:lnTo>
                              <a:lnTo>
                                <a:pt x="152" y="223"/>
                              </a:lnTo>
                              <a:lnTo>
                                <a:pt x="152" y="223"/>
                              </a:lnTo>
                              <a:lnTo>
                                <a:pt x="152" y="223"/>
                              </a:lnTo>
                              <a:lnTo>
                                <a:pt x="153" y="223"/>
                              </a:lnTo>
                              <a:lnTo>
                                <a:pt x="153" y="223"/>
                              </a:lnTo>
                              <a:lnTo>
                                <a:pt x="154" y="223"/>
                              </a:lnTo>
                              <a:lnTo>
                                <a:pt x="154" y="223"/>
                              </a:lnTo>
                              <a:lnTo>
                                <a:pt x="154" y="222"/>
                              </a:lnTo>
                              <a:lnTo>
                                <a:pt x="155" y="222"/>
                              </a:lnTo>
                              <a:lnTo>
                                <a:pt x="155" y="222"/>
                              </a:lnTo>
                              <a:lnTo>
                                <a:pt x="156" y="222"/>
                              </a:lnTo>
                              <a:lnTo>
                                <a:pt x="156" y="221"/>
                              </a:lnTo>
                              <a:lnTo>
                                <a:pt x="156" y="221"/>
                              </a:lnTo>
                              <a:lnTo>
                                <a:pt x="157" y="221"/>
                              </a:lnTo>
                              <a:lnTo>
                                <a:pt x="157" y="221"/>
                              </a:lnTo>
                              <a:lnTo>
                                <a:pt x="157" y="220"/>
                              </a:lnTo>
                              <a:lnTo>
                                <a:pt x="158" y="220"/>
                              </a:lnTo>
                              <a:lnTo>
                                <a:pt x="158" y="220"/>
                              </a:lnTo>
                              <a:lnTo>
                                <a:pt x="158" y="219"/>
                              </a:lnTo>
                              <a:lnTo>
                                <a:pt x="159" y="219"/>
                              </a:lnTo>
                              <a:lnTo>
                                <a:pt x="159" y="218"/>
                              </a:lnTo>
                              <a:lnTo>
                                <a:pt x="159" y="218"/>
                              </a:lnTo>
                              <a:lnTo>
                                <a:pt x="160" y="217"/>
                              </a:lnTo>
                              <a:lnTo>
                                <a:pt x="160" y="217"/>
                              </a:lnTo>
                              <a:lnTo>
                                <a:pt x="160" y="216"/>
                              </a:lnTo>
                              <a:lnTo>
                                <a:pt x="161" y="216"/>
                              </a:lnTo>
                              <a:lnTo>
                                <a:pt x="161" y="215"/>
                              </a:lnTo>
                              <a:lnTo>
                                <a:pt x="161" y="215"/>
                              </a:lnTo>
                              <a:lnTo>
                                <a:pt x="162" y="214"/>
                              </a:lnTo>
                              <a:lnTo>
                                <a:pt x="162" y="213"/>
                              </a:lnTo>
                              <a:lnTo>
                                <a:pt x="162" y="213"/>
                              </a:lnTo>
                              <a:lnTo>
                                <a:pt x="163" y="212"/>
                              </a:lnTo>
                              <a:lnTo>
                                <a:pt x="163" y="211"/>
                              </a:lnTo>
                              <a:lnTo>
                                <a:pt x="163" y="211"/>
                              </a:lnTo>
                              <a:lnTo>
                                <a:pt x="164" y="210"/>
                              </a:lnTo>
                              <a:lnTo>
                                <a:pt x="164" y="209"/>
                              </a:lnTo>
                              <a:lnTo>
                                <a:pt x="164" y="208"/>
                              </a:lnTo>
                              <a:lnTo>
                                <a:pt x="165" y="207"/>
                              </a:lnTo>
                              <a:lnTo>
                                <a:pt x="165" y="206"/>
                              </a:lnTo>
                              <a:lnTo>
                                <a:pt x="165" y="204"/>
                              </a:lnTo>
                              <a:lnTo>
                                <a:pt x="166" y="203"/>
                              </a:lnTo>
                              <a:lnTo>
                                <a:pt x="167" y="201"/>
                              </a:lnTo>
                              <a:lnTo>
                                <a:pt x="167" y="199"/>
                              </a:lnTo>
                              <a:lnTo>
                                <a:pt x="168" y="197"/>
                              </a:lnTo>
                              <a:lnTo>
                                <a:pt x="169" y="194"/>
                              </a:lnTo>
                              <a:lnTo>
                                <a:pt x="170" y="192"/>
                              </a:lnTo>
                              <a:lnTo>
                                <a:pt x="170" y="190"/>
                              </a:lnTo>
                              <a:lnTo>
                                <a:pt x="171" y="188"/>
                              </a:lnTo>
                              <a:lnTo>
                                <a:pt x="171" y="186"/>
                              </a:lnTo>
                              <a:lnTo>
                                <a:pt x="172" y="185"/>
                              </a:lnTo>
                              <a:lnTo>
                                <a:pt x="172" y="184"/>
                              </a:lnTo>
                              <a:lnTo>
                                <a:pt x="173" y="183"/>
                              </a:lnTo>
                              <a:lnTo>
                                <a:pt x="173" y="182"/>
                              </a:lnTo>
                              <a:lnTo>
                                <a:pt x="174" y="181"/>
                              </a:lnTo>
                              <a:lnTo>
                                <a:pt x="174" y="180"/>
                              </a:lnTo>
                              <a:lnTo>
                                <a:pt x="174" y="179"/>
                              </a:lnTo>
                              <a:lnTo>
                                <a:pt x="175" y="178"/>
                              </a:lnTo>
                              <a:lnTo>
                                <a:pt x="175" y="178"/>
                              </a:lnTo>
                              <a:lnTo>
                                <a:pt x="175" y="177"/>
                              </a:lnTo>
                              <a:lnTo>
                                <a:pt x="176" y="176"/>
                              </a:lnTo>
                              <a:lnTo>
                                <a:pt x="176" y="176"/>
                              </a:lnTo>
                              <a:lnTo>
                                <a:pt x="177" y="175"/>
                              </a:lnTo>
                              <a:lnTo>
                                <a:pt x="177" y="175"/>
                              </a:lnTo>
                              <a:lnTo>
                                <a:pt x="178" y="174"/>
                              </a:lnTo>
                              <a:lnTo>
                                <a:pt x="178" y="173"/>
                              </a:lnTo>
                              <a:lnTo>
                                <a:pt x="179" y="173"/>
                              </a:lnTo>
                              <a:lnTo>
                                <a:pt x="179" y="172"/>
                              </a:lnTo>
                              <a:lnTo>
                                <a:pt x="180" y="172"/>
                              </a:lnTo>
                              <a:lnTo>
                                <a:pt x="180" y="172"/>
                              </a:lnTo>
                              <a:lnTo>
                                <a:pt x="180" y="172"/>
                              </a:lnTo>
                              <a:lnTo>
                                <a:pt x="181" y="171"/>
                              </a:lnTo>
                              <a:lnTo>
                                <a:pt x="181" y="171"/>
                              </a:lnTo>
                              <a:lnTo>
                                <a:pt x="181" y="171"/>
                              </a:lnTo>
                              <a:lnTo>
                                <a:pt x="181" y="170"/>
                              </a:lnTo>
                              <a:lnTo>
                                <a:pt x="182" y="170"/>
                              </a:lnTo>
                              <a:lnTo>
                                <a:pt x="182" y="170"/>
                              </a:lnTo>
                              <a:lnTo>
                                <a:pt x="182" y="169"/>
                              </a:lnTo>
                              <a:lnTo>
                                <a:pt x="182" y="169"/>
                              </a:lnTo>
                              <a:lnTo>
                                <a:pt x="182" y="168"/>
                              </a:lnTo>
                              <a:lnTo>
                                <a:pt x="183" y="168"/>
                              </a:lnTo>
                              <a:lnTo>
                                <a:pt x="183" y="168"/>
                              </a:lnTo>
                              <a:lnTo>
                                <a:pt x="183" y="167"/>
                              </a:lnTo>
                              <a:lnTo>
                                <a:pt x="183" y="167"/>
                              </a:lnTo>
                              <a:lnTo>
                                <a:pt x="183" y="166"/>
                              </a:lnTo>
                              <a:lnTo>
                                <a:pt x="184" y="166"/>
                              </a:lnTo>
                              <a:lnTo>
                                <a:pt x="184" y="165"/>
                              </a:lnTo>
                              <a:lnTo>
                                <a:pt x="184" y="164"/>
                              </a:lnTo>
                              <a:lnTo>
                                <a:pt x="184" y="164"/>
                              </a:lnTo>
                              <a:lnTo>
                                <a:pt x="184" y="163"/>
                              </a:lnTo>
                              <a:lnTo>
                                <a:pt x="184" y="162"/>
                              </a:lnTo>
                              <a:lnTo>
                                <a:pt x="184" y="162"/>
                              </a:lnTo>
                              <a:lnTo>
                                <a:pt x="185" y="161"/>
                              </a:lnTo>
                              <a:lnTo>
                                <a:pt x="185" y="161"/>
                              </a:lnTo>
                              <a:lnTo>
                                <a:pt x="185" y="160"/>
                              </a:lnTo>
                              <a:lnTo>
                                <a:pt x="185" y="159"/>
                              </a:lnTo>
                              <a:lnTo>
                                <a:pt x="185" y="159"/>
                              </a:lnTo>
                              <a:lnTo>
                                <a:pt x="185" y="158"/>
                              </a:lnTo>
                              <a:lnTo>
                                <a:pt x="185" y="158"/>
                              </a:lnTo>
                              <a:lnTo>
                                <a:pt x="185" y="157"/>
                              </a:lnTo>
                              <a:lnTo>
                                <a:pt x="185" y="156"/>
                              </a:lnTo>
                              <a:lnTo>
                                <a:pt x="186" y="156"/>
                              </a:lnTo>
                              <a:lnTo>
                                <a:pt x="186" y="155"/>
                              </a:lnTo>
                              <a:lnTo>
                                <a:pt x="186" y="154"/>
                              </a:lnTo>
                              <a:lnTo>
                                <a:pt x="186" y="154"/>
                              </a:lnTo>
                              <a:lnTo>
                                <a:pt x="186" y="153"/>
                              </a:lnTo>
                              <a:lnTo>
                                <a:pt x="186" y="152"/>
                              </a:lnTo>
                              <a:lnTo>
                                <a:pt x="186" y="151"/>
                              </a:lnTo>
                              <a:lnTo>
                                <a:pt x="186" y="151"/>
                              </a:lnTo>
                              <a:lnTo>
                                <a:pt x="186" y="150"/>
                              </a:lnTo>
                              <a:lnTo>
                                <a:pt x="186" y="150"/>
                              </a:lnTo>
                              <a:lnTo>
                                <a:pt x="187" y="149"/>
                              </a:lnTo>
                              <a:lnTo>
                                <a:pt x="187" y="148"/>
                              </a:lnTo>
                              <a:lnTo>
                                <a:pt x="187" y="147"/>
                              </a:lnTo>
                              <a:lnTo>
                                <a:pt x="187" y="146"/>
                              </a:lnTo>
                              <a:lnTo>
                                <a:pt x="187" y="144"/>
                              </a:lnTo>
                              <a:lnTo>
                                <a:pt x="187" y="143"/>
                              </a:lnTo>
                              <a:lnTo>
                                <a:pt x="188" y="141"/>
                              </a:lnTo>
                              <a:lnTo>
                                <a:pt x="188" y="139"/>
                              </a:lnTo>
                              <a:lnTo>
                                <a:pt x="188" y="137"/>
                              </a:lnTo>
                              <a:lnTo>
                                <a:pt x="188" y="135"/>
                              </a:lnTo>
                              <a:lnTo>
                                <a:pt x="188" y="133"/>
                              </a:lnTo>
                              <a:lnTo>
                                <a:pt x="188" y="131"/>
                              </a:lnTo>
                              <a:lnTo>
                                <a:pt x="189" y="129"/>
                              </a:lnTo>
                              <a:lnTo>
                                <a:pt x="189" y="127"/>
                              </a:lnTo>
                              <a:lnTo>
                                <a:pt x="189" y="124"/>
                              </a:lnTo>
                              <a:lnTo>
                                <a:pt x="189" y="121"/>
                              </a:lnTo>
                              <a:lnTo>
                                <a:pt x="190" y="119"/>
                              </a:lnTo>
                              <a:lnTo>
                                <a:pt x="190" y="116"/>
                              </a:lnTo>
                              <a:lnTo>
                                <a:pt x="190" y="113"/>
                              </a:lnTo>
                              <a:lnTo>
                                <a:pt x="190" y="110"/>
                              </a:lnTo>
                              <a:lnTo>
                                <a:pt x="190" y="106"/>
                              </a:lnTo>
                              <a:lnTo>
                                <a:pt x="191" y="102"/>
                              </a:lnTo>
                              <a:lnTo>
                                <a:pt x="191" y="98"/>
                              </a:lnTo>
                              <a:lnTo>
                                <a:pt x="191" y="93"/>
                              </a:lnTo>
                              <a:lnTo>
                                <a:pt x="192" y="88"/>
                              </a:lnTo>
                              <a:lnTo>
                                <a:pt x="192" y="80"/>
                              </a:lnTo>
                              <a:lnTo>
                                <a:pt x="193" y="70"/>
                              </a:lnTo>
                              <a:lnTo>
                                <a:pt x="193" y="62"/>
                              </a:lnTo>
                              <a:lnTo>
                                <a:pt x="194" y="56"/>
                              </a:lnTo>
                              <a:lnTo>
                                <a:pt x="194" y="50"/>
                              </a:lnTo>
                              <a:lnTo>
                                <a:pt x="194" y="45"/>
                              </a:lnTo>
                              <a:lnTo>
                                <a:pt x="195" y="41"/>
                              </a:lnTo>
                              <a:lnTo>
                                <a:pt x="195" y="37"/>
                              </a:lnTo>
                              <a:lnTo>
                                <a:pt x="195" y="33"/>
                              </a:lnTo>
                              <a:lnTo>
                                <a:pt x="196" y="29"/>
                              </a:lnTo>
                              <a:lnTo>
                                <a:pt x="196" y="26"/>
                              </a:lnTo>
                              <a:lnTo>
                                <a:pt x="196" y="24"/>
                              </a:lnTo>
                              <a:lnTo>
                                <a:pt x="196" y="21"/>
                              </a:lnTo>
                              <a:lnTo>
                                <a:pt x="197" y="18"/>
                              </a:lnTo>
                              <a:lnTo>
                                <a:pt x="197" y="16"/>
                              </a:lnTo>
                              <a:lnTo>
                                <a:pt x="197" y="14"/>
                              </a:lnTo>
                              <a:lnTo>
                                <a:pt x="197" y="12"/>
                              </a:lnTo>
                              <a:lnTo>
                                <a:pt x="198" y="10"/>
                              </a:lnTo>
                              <a:lnTo>
                                <a:pt x="198" y="8"/>
                              </a:lnTo>
                              <a:lnTo>
                                <a:pt x="198" y="7"/>
                              </a:lnTo>
                              <a:lnTo>
                                <a:pt x="198" y="5"/>
                              </a:lnTo>
                              <a:lnTo>
                                <a:pt x="199" y="4"/>
                              </a:lnTo>
                              <a:lnTo>
                                <a:pt x="199" y="3"/>
                              </a:lnTo>
                              <a:lnTo>
                                <a:pt x="199" y="2"/>
                              </a:lnTo>
                              <a:lnTo>
                                <a:pt x="199" y="2"/>
                              </a:lnTo>
                              <a:lnTo>
                                <a:pt x="199" y="1"/>
                              </a:lnTo>
                              <a:lnTo>
                                <a:pt x="200" y="1"/>
                              </a:lnTo>
                              <a:lnTo>
                                <a:pt x="200" y="0"/>
                              </a:lnTo>
                              <a:lnTo>
                                <a:pt x="200" y="0"/>
                              </a:lnTo>
                              <a:lnTo>
                                <a:pt x="200" y="0"/>
                              </a:lnTo>
                              <a:lnTo>
                                <a:pt x="201" y="0"/>
                              </a:lnTo>
                              <a:lnTo>
                                <a:pt x="201" y="1"/>
                              </a:lnTo>
                              <a:lnTo>
                                <a:pt x="201" y="1"/>
                              </a:lnTo>
                              <a:lnTo>
                                <a:pt x="201" y="2"/>
                              </a:lnTo>
                              <a:lnTo>
                                <a:pt x="202" y="2"/>
                              </a:lnTo>
                              <a:lnTo>
                                <a:pt x="202" y="3"/>
                              </a:lnTo>
                              <a:lnTo>
                                <a:pt x="202" y="4"/>
                              </a:lnTo>
                              <a:lnTo>
                                <a:pt x="203" y="6"/>
                              </a:lnTo>
                              <a:lnTo>
                                <a:pt x="203" y="7"/>
                              </a:lnTo>
                              <a:lnTo>
                                <a:pt x="203" y="9"/>
                              </a:lnTo>
                              <a:lnTo>
                                <a:pt x="203" y="10"/>
                              </a:lnTo>
                              <a:lnTo>
                                <a:pt x="204" y="12"/>
                              </a:lnTo>
                              <a:lnTo>
                                <a:pt x="204" y="15"/>
                              </a:lnTo>
                              <a:lnTo>
                                <a:pt x="204" y="17"/>
                              </a:lnTo>
                              <a:lnTo>
                                <a:pt x="205" y="20"/>
                              </a:lnTo>
                              <a:lnTo>
                                <a:pt x="205" y="23"/>
                              </a:lnTo>
                              <a:lnTo>
                                <a:pt x="205" y="26"/>
                              </a:lnTo>
                              <a:lnTo>
                                <a:pt x="206" y="30"/>
                              </a:lnTo>
                              <a:lnTo>
                                <a:pt x="207" y="34"/>
                              </a:lnTo>
                              <a:lnTo>
                                <a:pt x="207" y="38"/>
                              </a:lnTo>
                              <a:lnTo>
                                <a:pt x="208" y="44"/>
                              </a:lnTo>
                              <a:lnTo>
                                <a:pt x="208" y="50"/>
                              </a:lnTo>
                              <a:lnTo>
                                <a:pt x="209" y="59"/>
                              </a:lnTo>
                              <a:lnTo>
                                <a:pt x="210" y="68"/>
                              </a:lnTo>
                              <a:lnTo>
                                <a:pt x="211" y="75"/>
                              </a:lnTo>
                              <a:lnTo>
                                <a:pt x="212" y="81"/>
                              </a:lnTo>
                              <a:lnTo>
                                <a:pt x="212" y="85"/>
                              </a:lnTo>
                              <a:lnTo>
                                <a:pt x="213" y="89"/>
                              </a:lnTo>
                              <a:lnTo>
                                <a:pt x="213" y="92"/>
                              </a:lnTo>
                              <a:lnTo>
                                <a:pt x="214" y="95"/>
                              </a:lnTo>
                              <a:lnTo>
                                <a:pt x="214" y="99"/>
                              </a:lnTo>
                              <a:lnTo>
                                <a:pt x="214" y="102"/>
                              </a:lnTo>
                              <a:lnTo>
                                <a:pt x="215" y="105"/>
                              </a:lnTo>
                              <a:lnTo>
                                <a:pt x="215" y="108"/>
                              </a:lnTo>
                              <a:lnTo>
                                <a:pt x="216" y="110"/>
                              </a:lnTo>
                              <a:lnTo>
                                <a:pt x="216" y="113"/>
                              </a:lnTo>
                              <a:lnTo>
                                <a:pt x="217" y="116"/>
                              </a:lnTo>
                              <a:lnTo>
                                <a:pt x="217" y="118"/>
                              </a:lnTo>
                              <a:lnTo>
                                <a:pt x="217" y="121"/>
                              </a:lnTo>
                              <a:lnTo>
                                <a:pt x="218" y="123"/>
                              </a:lnTo>
                              <a:lnTo>
                                <a:pt x="218" y="125"/>
                              </a:lnTo>
                              <a:lnTo>
                                <a:pt x="219" y="128"/>
                              </a:lnTo>
                              <a:lnTo>
                                <a:pt x="219" y="130"/>
                              </a:lnTo>
                              <a:lnTo>
                                <a:pt x="220" y="132"/>
                              </a:lnTo>
                              <a:lnTo>
                                <a:pt x="220" y="134"/>
                              </a:lnTo>
                              <a:lnTo>
                                <a:pt x="221" y="136"/>
                              </a:lnTo>
                              <a:lnTo>
                                <a:pt x="221" y="139"/>
                              </a:lnTo>
                              <a:lnTo>
                                <a:pt x="222" y="141"/>
                              </a:lnTo>
                              <a:lnTo>
                                <a:pt x="222" y="143"/>
                              </a:lnTo>
                              <a:lnTo>
                                <a:pt x="223" y="146"/>
                              </a:lnTo>
                              <a:lnTo>
                                <a:pt x="224" y="149"/>
                              </a:lnTo>
                              <a:lnTo>
                                <a:pt x="224" y="151"/>
                              </a:lnTo>
                              <a:lnTo>
                                <a:pt x="225" y="152"/>
                              </a:lnTo>
                              <a:lnTo>
                                <a:pt x="225" y="153"/>
                              </a:lnTo>
                              <a:lnTo>
                                <a:pt x="225" y="154"/>
                              </a:lnTo>
                              <a:lnTo>
                                <a:pt x="225" y="155"/>
                              </a:lnTo>
                              <a:lnTo>
                                <a:pt x="226" y="156"/>
                              </a:lnTo>
                              <a:lnTo>
                                <a:pt x="226" y="157"/>
                              </a:lnTo>
                              <a:lnTo>
                                <a:pt x="227" y="158"/>
                              </a:lnTo>
                              <a:lnTo>
                                <a:pt x="227" y="160"/>
                              </a:lnTo>
                              <a:lnTo>
                                <a:pt x="227" y="161"/>
                              </a:lnTo>
                              <a:lnTo>
                                <a:pt x="228" y="162"/>
                              </a:lnTo>
                              <a:lnTo>
                                <a:pt x="228" y="164"/>
                              </a:lnTo>
                              <a:lnTo>
                                <a:pt x="229" y="165"/>
                              </a:lnTo>
                              <a:lnTo>
                                <a:pt x="229" y="166"/>
                              </a:lnTo>
                              <a:lnTo>
                                <a:pt x="230" y="167"/>
                              </a:lnTo>
                              <a:lnTo>
                                <a:pt x="230" y="169"/>
                              </a:lnTo>
                              <a:lnTo>
                                <a:pt x="231" y="170"/>
                              </a:lnTo>
                              <a:lnTo>
                                <a:pt x="231" y="171"/>
                              </a:lnTo>
                              <a:lnTo>
                                <a:pt x="232" y="172"/>
                              </a:lnTo>
                              <a:lnTo>
                                <a:pt x="232" y="173"/>
                              </a:lnTo>
                              <a:lnTo>
                                <a:pt x="232" y="174"/>
                              </a:lnTo>
                              <a:lnTo>
                                <a:pt x="233" y="174"/>
                              </a:lnTo>
                              <a:lnTo>
                                <a:pt x="233" y="175"/>
                              </a:lnTo>
                              <a:lnTo>
                                <a:pt x="233" y="176"/>
                              </a:lnTo>
                              <a:lnTo>
                                <a:pt x="234" y="176"/>
                              </a:lnTo>
                              <a:lnTo>
                                <a:pt x="234" y="177"/>
                              </a:lnTo>
                              <a:lnTo>
                                <a:pt x="235" y="178"/>
                              </a:lnTo>
                              <a:lnTo>
                                <a:pt x="235" y="178"/>
                              </a:lnTo>
                              <a:lnTo>
                                <a:pt x="235" y="179"/>
                              </a:lnTo>
                              <a:lnTo>
                                <a:pt x="236" y="179"/>
                              </a:lnTo>
                              <a:lnTo>
                                <a:pt x="236" y="179"/>
                              </a:lnTo>
                              <a:lnTo>
                                <a:pt x="236" y="180"/>
                              </a:lnTo>
                              <a:lnTo>
                                <a:pt x="237" y="180"/>
                              </a:lnTo>
                              <a:lnTo>
                                <a:pt x="237" y="180"/>
                              </a:lnTo>
                              <a:lnTo>
                                <a:pt x="237" y="181"/>
                              </a:lnTo>
                              <a:lnTo>
                                <a:pt x="238" y="181"/>
                              </a:lnTo>
                              <a:lnTo>
                                <a:pt x="238" y="181"/>
                              </a:lnTo>
                              <a:lnTo>
                                <a:pt x="238" y="181"/>
                              </a:lnTo>
                              <a:lnTo>
                                <a:pt x="239" y="181"/>
                              </a:lnTo>
                              <a:lnTo>
                                <a:pt x="239" y="181"/>
                              </a:lnTo>
                              <a:lnTo>
                                <a:pt x="239" y="181"/>
                              </a:lnTo>
                              <a:lnTo>
                                <a:pt x="240" y="181"/>
                              </a:lnTo>
                              <a:lnTo>
                                <a:pt x="240" y="181"/>
                              </a:lnTo>
                              <a:lnTo>
                                <a:pt x="241" y="181"/>
                              </a:lnTo>
                              <a:lnTo>
                                <a:pt x="241" y="180"/>
                              </a:lnTo>
                              <a:lnTo>
                                <a:pt x="242" y="180"/>
                              </a:lnTo>
                              <a:lnTo>
                                <a:pt x="242" y="180"/>
                              </a:lnTo>
                              <a:lnTo>
                                <a:pt x="243" y="179"/>
                              </a:lnTo>
                              <a:lnTo>
                                <a:pt x="244" y="178"/>
                              </a:lnTo>
                              <a:lnTo>
                                <a:pt x="245" y="177"/>
                              </a:lnTo>
                              <a:lnTo>
                                <a:pt x="245" y="177"/>
                              </a:lnTo>
                              <a:lnTo>
                                <a:pt x="246" y="177"/>
                              </a:lnTo>
                              <a:lnTo>
                                <a:pt x="246" y="177"/>
                              </a:lnTo>
                              <a:lnTo>
                                <a:pt x="247" y="176"/>
                              </a:lnTo>
                              <a:lnTo>
                                <a:pt x="247" y="176"/>
                              </a:lnTo>
                              <a:lnTo>
                                <a:pt x="248" y="176"/>
                              </a:lnTo>
                              <a:lnTo>
                                <a:pt x="248" y="176"/>
                              </a:lnTo>
                              <a:lnTo>
                                <a:pt x="248" y="176"/>
                              </a:lnTo>
                              <a:lnTo>
                                <a:pt x="249" y="177"/>
                              </a:lnTo>
                              <a:lnTo>
                                <a:pt x="249" y="177"/>
                              </a:lnTo>
                              <a:lnTo>
                                <a:pt x="249" y="177"/>
                              </a:lnTo>
                              <a:lnTo>
                                <a:pt x="250" y="177"/>
                              </a:lnTo>
                              <a:lnTo>
                                <a:pt x="250" y="178"/>
                              </a:lnTo>
                              <a:lnTo>
                                <a:pt x="250" y="178"/>
                              </a:lnTo>
                              <a:lnTo>
                                <a:pt x="251" y="179"/>
                              </a:lnTo>
                              <a:lnTo>
                                <a:pt x="251" y="179"/>
                              </a:lnTo>
                              <a:lnTo>
                                <a:pt x="252" y="180"/>
                              </a:lnTo>
                              <a:lnTo>
                                <a:pt x="252" y="180"/>
                              </a:lnTo>
                              <a:lnTo>
                                <a:pt x="252" y="181"/>
                              </a:lnTo>
                              <a:lnTo>
                                <a:pt x="253" y="182"/>
                              </a:lnTo>
                              <a:lnTo>
                                <a:pt x="253" y="183"/>
                              </a:lnTo>
                              <a:lnTo>
                                <a:pt x="254" y="184"/>
                              </a:lnTo>
                              <a:lnTo>
                                <a:pt x="254" y="185"/>
                              </a:lnTo>
                              <a:lnTo>
                                <a:pt x="255" y="186"/>
                              </a:lnTo>
                              <a:lnTo>
                                <a:pt x="256" y="187"/>
                              </a:lnTo>
                              <a:lnTo>
                                <a:pt x="257" y="189"/>
                              </a:lnTo>
                              <a:lnTo>
                                <a:pt x="258" y="191"/>
                              </a:lnTo>
                              <a:lnTo>
                                <a:pt x="259" y="193"/>
                              </a:lnTo>
                              <a:lnTo>
                                <a:pt x="259" y="194"/>
                              </a:lnTo>
                              <a:lnTo>
                                <a:pt x="260" y="194"/>
                              </a:lnTo>
                              <a:lnTo>
                                <a:pt x="260" y="195"/>
                              </a:lnTo>
                              <a:lnTo>
                                <a:pt x="260" y="196"/>
                              </a:lnTo>
                              <a:lnTo>
                                <a:pt x="261" y="196"/>
                              </a:lnTo>
                              <a:lnTo>
                                <a:pt x="261" y="197"/>
                              </a:lnTo>
                              <a:lnTo>
                                <a:pt x="261" y="197"/>
                              </a:lnTo>
                              <a:lnTo>
                                <a:pt x="261" y="197"/>
                              </a:lnTo>
                              <a:lnTo>
                                <a:pt x="262" y="198"/>
                              </a:lnTo>
                              <a:lnTo>
                                <a:pt x="262" y="198"/>
                              </a:lnTo>
                              <a:lnTo>
                                <a:pt x="262" y="198"/>
                              </a:lnTo>
                              <a:lnTo>
                                <a:pt x="262" y="199"/>
                              </a:lnTo>
                              <a:lnTo>
                                <a:pt x="262" y="199"/>
                              </a:lnTo>
                              <a:lnTo>
                                <a:pt x="263" y="199"/>
                              </a:lnTo>
                              <a:lnTo>
                                <a:pt x="263" y="200"/>
                              </a:lnTo>
                              <a:lnTo>
                                <a:pt x="264" y="201"/>
                              </a:lnTo>
                              <a:lnTo>
                                <a:pt x="264" y="201"/>
                              </a:lnTo>
                              <a:lnTo>
                                <a:pt x="265" y="202"/>
                              </a:lnTo>
                              <a:lnTo>
                                <a:pt x="265" y="202"/>
                              </a:lnTo>
                              <a:lnTo>
                                <a:pt x="266" y="203"/>
                              </a:lnTo>
                              <a:lnTo>
                                <a:pt x="267" y="203"/>
                              </a:lnTo>
                              <a:lnTo>
                                <a:pt x="267" y="204"/>
                              </a:lnTo>
                              <a:lnTo>
                                <a:pt x="268" y="204"/>
                              </a:lnTo>
                              <a:lnTo>
                                <a:pt x="268" y="205"/>
                              </a:lnTo>
                              <a:lnTo>
                                <a:pt x="269" y="205"/>
                              </a:lnTo>
                              <a:lnTo>
                                <a:pt x="269" y="206"/>
                              </a:lnTo>
                              <a:lnTo>
                                <a:pt x="270" y="206"/>
                              </a:lnTo>
                              <a:lnTo>
                                <a:pt x="271" y="207"/>
                              </a:lnTo>
                              <a:lnTo>
                                <a:pt x="271" y="207"/>
                              </a:lnTo>
                              <a:lnTo>
                                <a:pt x="272" y="208"/>
                              </a:lnTo>
                              <a:lnTo>
                                <a:pt x="273" y="208"/>
                              </a:lnTo>
                              <a:lnTo>
                                <a:pt x="273" y="208"/>
                              </a:lnTo>
                              <a:lnTo>
                                <a:pt x="274" y="209"/>
                              </a:lnTo>
                              <a:lnTo>
                                <a:pt x="275" y="209"/>
                              </a:lnTo>
                              <a:lnTo>
                                <a:pt x="275" y="209"/>
                              </a:lnTo>
                              <a:lnTo>
                                <a:pt x="276" y="210"/>
                              </a:lnTo>
                              <a:lnTo>
                                <a:pt x="277" y="210"/>
                              </a:lnTo>
                              <a:lnTo>
                                <a:pt x="278" y="210"/>
                              </a:lnTo>
                              <a:lnTo>
                                <a:pt x="279" y="210"/>
                              </a:lnTo>
                              <a:lnTo>
                                <a:pt x="280" y="211"/>
                              </a:lnTo>
                              <a:lnTo>
                                <a:pt x="281" y="211"/>
                              </a:lnTo>
                              <a:lnTo>
                                <a:pt x="282" y="211"/>
                              </a:lnTo>
                              <a:lnTo>
                                <a:pt x="283" y="212"/>
                              </a:lnTo>
                              <a:lnTo>
                                <a:pt x="284" y="212"/>
                              </a:lnTo>
                              <a:lnTo>
                                <a:pt x="286" y="212"/>
                              </a:lnTo>
                              <a:lnTo>
                                <a:pt x="287" y="212"/>
                              </a:lnTo>
                              <a:lnTo>
                                <a:pt x="288" y="213"/>
                              </a:lnTo>
                              <a:lnTo>
                                <a:pt x="289" y="213"/>
                              </a:lnTo>
                              <a:lnTo>
                                <a:pt x="291" y="213"/>
                              </a:lnTo>
                              <a:lnTo>
                                <a:pt x="292" y="213"/>
                              </a:lnTo>
                              <a:lnTo>
                                <a:pt x="293" y="213"/>
                              </a:lnTo>
                              <a:lnTo>
                                <a:pt x="295" y="213"/>
                              </a:lnTo>
                              <a:lnTo>
                                <a:pt x="296" y="214"/>
                              </a:lnTo>
                              <a:lnTo>
                                <a:pt x="298" y="214"/>
                              </a:lnTo>
                              <a:lnTo>
                                <a:pt x="300" y="214"/>
                              </a:lnTo>
                              <a:lnTo>
                                <a:pt x="302" y="214"/>
                              </a:lnTo>
                              <a:lnTo>
                                <a:pt x="304" y="214"/>
                              </a:lnTo>
                              <a:lnTo>
                                <a:pt x="306" y="214"/>
                              </a:lnTo>
                              <a:lnTo>
                                <a:pt x="308" y="214"/>
                              </a:lnTo>
                              <a:lnTo>
                                <a:pt x="309" y="214"/>
                              </a:lnTo>
                              <a:lnTo>
                                <a:pt x="311" y="214"/>
                              </a:lnTo>
                              <a:lnTo>
                                <a:pt x="313" y="214"/>
                              </a:lnTo>
                              <a:lnTo>
                                <a:pt x="316" y="214"/>
                              </a:lnTo>
                              <a:lnTo>
                                <a:pt x="318" y="214"/>
                              </a:lnTo>
                              <a:lnTo>
                                <a:pt x="321" y="215"/>
                              </a:lnTo>
                              <a:lnTo>
                                <a:pt x="322" y="215"/>
                              </a:lnTo>
                              <a:lnTo>
                                <a:pt x="324" y="215"/>
                              </a:lnTo>
                              <a:lnTo>
                                <a:pt x="326" y="215"/>
                              </a:lnTo>
                              <a:lnTo>
                                <a:pt x="328" y="215"/>
                              </a:lnTo>
                              <a:lnTo>
                                <a:pt x="331" y="214"/>
                              </a:lnTo>
                              <a:lnTo>
                                <a:pt x="334" y="214"/>
                              </a:lnTo>
                              <a:lnTo>
                                <a:pt x="336" y="214"/>
                              </a:lnTo>
                              <a:lnTo>
                                <a:pt x="337" y="214"/>
                              </a:lnTo>
                              <a:lnTo>
                                <a:pt x="339" y="214"/>
                              </a:lnTo>
                              <a:lnTo>
                                <a:pt x="340" y="215"/>
                              </a:lnTo>
                              <a:lnTo>
                                <a:pt x="342" y="215"/>
                              </a:lnTo>
                              <a:lnTo>
                                <a:pt x="344" y="215"/>
                              </a:lnTo>
                              <a:lnTo>
                                <a:pt x="346" y="215"/>
                              </a:lnTo>
                              <a:lnTo>
                                <a:pt x="349" y="215"/>
                              </a:lnTo>
                              <a:lnTo>
                                <a:pt x="351" y="215"/>
                              </a:lnTo>
                              <a:lnTo>
                                <a:pt x="354" y="216"/>
                              </a:lnTo>
                              <a:lnTo>
                                <a:pt x="357" y="216"/>
                              </a:lnTo>
                              <a:lnTo>
                                <a:pt x="360" y="216"/>
                              </a:lnTo>
                              <a:lnTo>
                                <a:pt x="363" y="217"/>
                              </a:lnTo>
                              <a:lnTo>
                                <a:pt x="366" y="217"/>
                              </a:lnTo>
                              <a:lnTo>
                                <a:pt x="369" y="217"/>
                              </a:lnTo>
                              <a:lnTo>
                                <a:pt x="371" y="217"/>
                              </a:lnTo>
                              <a:lnTo>
                                <a:pt x="373" y="217"/>
                              </a:lnTo>
                              <a:lnTo>
                                <a:pt x="375" y="217"/>
                              </a:lnTo>
                              <a:lnTo>
                                <a:pt x="377" y="218"/>
                              </a:lnTo>
                              <a:lnTo>
                                <a:pt x="381" y="218"/>
                              </a:lnTo>
                              <a:lnTo>
                                <a:pt x="384" y="218"/>
                              </a:lnTo>
                              <a:lnTo>
                                <a:pt x="388" y="218"/>
                              </a:lnTo>
                              <a:lnTo>
                                <a:pt x="391" y="218"/>
                              </a:lnTo>
                              <a:lnTo>
                                <a:pt x="395" y="219"/>
                              </a:lnTo>
                              <a:lnTo>
                                <a:pt x="402" y="219"/>
                              </a:lnTo>
                              <a:lnTo>
                                <a:pt x="407" y="219"/>
                              </a:lnTo>
                              <a:lnTo>
                                <a:pt x="410" y="219"/>
                              </a:lnTo>
                              <a:lnTo>
                                <a:pt x="411" y="219"/>
                              </a:lnTo>
                              <a:lnTo>
                                <a:pt x="413" y="219"/>
                              </a:lnTo>
                              <a:lnTo>
                                <a:pt x="414" y="219"/>
                              </a:lnTo>
                              <a:lnTo>
                                <a:pt x="418" y="220"/>
                              </a:lnTo>
                              <a:lnTo>
                                <a:pt x="421" y="220"/>
                              </a:lnTo>
                              <a:lnTo>
                                <a:pt x="424" y="220"/>
                              </a:lnTo>
                              <a:lnTo>
                                <a:pt x="427" y="220"/>
                              </a:lnTo>
                              <a:lnTo>
                                <a:pt x="429" y="220"/>
                              </a:lnTo>
                              <a:lnTo>
                                <a:pt x="432" y="220"/>
                              </a:lnTo>
                              <a:lnTo>
                                <a:pt x="435" y="220"/>
                              </a:lnTo>
                              <a:lnTo>
                                <a:pt x="438" y="221"/>
                              </a:lnTo>
                              <a:lnTo>
                                <a:pt x="440" y="221"/>
                              </a:lnTo>
                              <a:lnTo>
                                <a:pt x="444" y="221"/>
                              </a:lnTo>
                              <a:lnTo>
                                <a:pt x="448" y="221"/>
                              </a:lnTo>
                              <a:lnTo>
                                <a:pt x="450" y="221"/>
                              </a:lnTo>
                              <a:lnTo>
                                <a:pt x="452" y="221"/>
                              </a:lnTo>
                              <a:lnTo>
                                <a:pt x="455" y="221"/>
                              </a:lnTo>
                              <a:lnTo>
                                <a:pt x="457" y="221"/>
                              </a:lnTo>
                              <a:lnTo>
                                <a:pt x="460" y="221"/>
                              </a:lnTo>
                              <a:lnTo>
                                <a:pt x="462" y="221"/>
                              </a:lnTo>
                              <a:lnTo>
                                <a:pt x="467" y="221"/>
                              </a:lnTo>
                              <a:lnTo>
                                <a:pt x="473" y="221"/>
                              </a:lnTo>
                              <a:lnTo>
                                <a:pt x="479" y="221"/>
                              </a:lnTo>
                              <a:lnTo>
                                <a:pt x="485" y="221"/>
                              </a:lnTo>
                              <a:lnTo>
                                <a:pt x="491" y="221"/>
                              </a:lnTo>
                              <a:lnTo>
                                <a:pt x="494" y="221"/>
                              </a:lnTo>
                              <a:lnTo>
                                <a:pt x="496" y="221"/>
                              </a:lnTo>
                              <a:lnTo>
                                <a:pt x="498" y="221"/>
                              </a:lnTo>
                              <a:lnTo>
                                <a:pt x="500" y="221"/>
                              </a:lnTo>
                              <a:lnTo>
                                <a:pt x="502" y="221"/>
                              </a:lnTo>
                              <a:lnTo>
                                <a:pt x="504" y="221"/>
                              </a:lnTo>
                              <a:lnTo>
                                <a:pt x="505" y="221"/>
                              </a:lnTo>
                              <a:lnTo>
                                <a:pt x="508" y="221"/>
                              </a:lnTo>
                              <a:lnTo>
                                <a:pt x="511" y="221"/>
                              </a:lnTo>
                              <a:lnTo>
                                <a:pt x="514" y="221"/>
                              </a:lnTo>
                              <a:lnTo>
                                <a:pt x="519" y="221"/>
                              </a:lnTo>
                              <a:lnTo>
                                <a:pt x="522" y="221"/>
                              </a:lnTo>
                              <a:lnTo>
                                <a:pt x="524" y="222"/>
                              </a:lnTo>
                              <a:lnTo>
                                <a:pt x="525" y="222"/>
                              </a:lnTo>
                              <a:lnTo>
                                <a:pt x="528" y="222"/>
                              </a:lnTo>
                              <a:lnTo>
                                <a:pt x="530" y="221"/>
                              </a:lnTo>
                              <a:lnTo>
                                <a:pt x="532" y="222"/>
                              </a:lnTo>
                              <a:lnTo>
                                <a:pt x="534" y="222"/>
                              </a:lnTo>
                              <a:lnTo>
                                <a:pt x="537" y="222"/>
                              </a:lnTo>
                              <a:lnTo>
                                <a:pt x="540" y="222"/>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17" name="Freeform 293"/>
                        <a:cNvSpPr>
                          <a:spLocks/>
                        </a:cNvSpPr>
                      </a:nvSpPr>
                      <a:spPr bwMode="auto">
                        <a:xfrm>
                          <a:off x="2520950" y="8247809"/>
                          <a:ext cx="1460500" cy="1115147"/>
                        </a:xfrm>
                        <a:custGeom>
                          <a:avLst/>
                          <a:gdLst/>
                          <a:ahLst/>
                          <a:cxnLst>
                            <a:cxn ang="0">
                              <a:pos x="23" y="727"/>
                            </a:cxn>
                            <a:cxn ang="0">
                              <a:pos x="45" y="728"/>
                            </a:cxn>
                            <a:cxn ang="0">
                              <a:pos x="68" y="728"/>
                            </a:cxn>
                            <a:cxn ang="0">
                              <a:pos x="96" y="729"/>
                            </a:cxn>
                            <a:cxn ang="0">
                              <a:pos x="119" y="729"/>
                            </a:cxn>
                            <a:cxn ang="0">
                              <a:pos x="150" y="730"/>
                            </a:cxn>
                            <a:cxn ang="0">
                              <a:pos x="186" y="730"/>
                            </a:cxn>
                            <a:cxn ang="0">
                              <a:pos x="227" y="730"/>
                            </a:cxn>
                            <a:cxn ang="0">
                              <a:pos x="250" y="729"/>
                            </a:cxn>
                            <a:cxn ang="0">
                              <a:pos x="277" y="729"/>
                            </a:cxn>
                            <a:cxn ang="0">
                              <a:pos x="317" y="728"/>
                            </a:cxn>
                            <a:cxn ang="0">
                              <a:pos x="357" y="728"/>
                            </a:cxn>
                            <a:cxn ang="0">
                              <a:pos x="390" y="727"/>
                            </a:cxn>
                            <a:cxn ang="0">
                              <a:pos x="420" y="726"/>
                            </a:cxn>
                            <a:cxn ang="0">
                              <a:pos x="450" y="725"/>
                            </a:cxn>
                            <a:cxn ang="0">
                              <a:pos x="478" y="725"/>
                            </a:cxn>
                            <a:cxn ang="0">
                              <a:pos x="508" y="724"/>
                            </a:cxn>
                            <a:cxn ang="0">
                              <a:pos x="540" y="724"/>
                            </a:cxn>
                            <a:cxn ang="0">
                              <a:pos x="575" y="724"/>
                            </a:cxn>
                            <a:cxn ang="0">
                              <a:pos x="594" y="722"/>
                            </a:cxn>
                            <a:cxn ang="0">
                              <a:pos x="611" y="721"/>
                            </a:cxn>
                            <a:cxn ang="0">
                              <a:pos x="626" y="722"/>
                            </a:cxn>
                            <a:cxn ang="0">
                              <a:pos x="645" y="721"/>
                            </a:cxn>
                            <a:cxn ang="0">
                              <a:pos x="656" y="721"/>
                            </a:cxn>
                            <a:cxn ang="0">
                              <a:pos x="672" y="718"/>
                            </a:cxn>
                            <a:cxn ang="0">
                              <a:pos x="687" y="717"/>
                            </a:cxn>
                            <a:cxn ang="0">
                              <a:pos x="706" y="715"/>
                            </a:cxn>
                            <a:cxn ang="0">
                              <a:pos x="724" y="713"/>
                            </a:cxn>
                            <a:cxn ang="0">
                              <a:pos x="736" y="712"/>
                            </a:cxn>
                            <a:cxn ang="0">
                              <a:pos x="746" y="710"/>
                            </a:cxn>
                            <a:cxn ang="0">
                              <a:pos x="758" y="705"/>
                            </a:cxn>
                            <a:cxn ang="0">
                              <a:pos x="765" y="705"/>
                            </a:cxn>
                            <a:cxn ang="0">
                              <a:pos x="775" y="705"/>
                            </a:cxn>
                            <a:cxn ang="0">
                              <a:pos x="787" y="703"/>
                            </a:cxn>
                            <a:cxn ang="0">
                              <a:pos x="799" y="703"/>
                            </a:cxn>
                            <a:cxn ang="0">
                              <a:pos x="814" y="702"/>
                            </a:cxn>
                            <a:cxn ang="0">
                              <a:pos x="820" y="701"/>
                            </a:cxn>
                            <a:cxn ang="0">
                              <a:pos x="828" y="696"/>
                            </a:cxn>
                            <a:cxn ang="0">
                              <a:pos x="834" y="692"/>
                            </a:cxn>
                            <a:cxn ang="0">
                              <a:pos x="841" y="688"/>
                            </a:cxn>
                            <a:cxn ang="0">
                              <a:pos x="855" y="683"/>
                            </a:cxn>
                            <a:cxn ang="0">
                              <a:pos x="864" y="681"/>
                            </a:cxn>
                            <a:cxn ang="0">
                              <a:pos x="870" y="682"/>
                            </a:cxn>
                            <a:cxn ang="0">
                              <a:pos x="876" y="682"/>
                            </a:cxn>
                            <a:cxn ang="0">
                              <a:pos x="881" y="680"/>
                            </a:cxn>
                            <a:cxn ang="0">
                              <a:pos x="887" y="675"/>
                            </a:cxn>
                            <a:cxn ang="0">
                              <a:pos x="892" y="671"/>
                            </a:cxn>
                            <a:cxn ang="0">
                              <a:pos x="894" y="667"/>
                            </a:cxn>
                            <a:cxn ang="0">
                              <a:pos x="896" y="664"/>
                            </a:cxn>
                            <a:cxn ang="0">
                              <a:pos x="897" y="659"/>
                            </a:cxn>
                            <a:cxn ang="0">
                              <a:pos x="899" y="650"/>
                            </a:cxn>
                            <a:cxn ang="0">
                              <a:pos x="900" y="639"/>
                            </a:cxn>
                            <a:cxn ang="0">
                              <a:pos x="901" y="625"/>
                            </a:cxn>
                            <a:cxn ang="0">
                              <a:pos x="902" y="607"/>
                            </a:cxn>
                            <a:cxn ang="0">
                              <a:pos x="904" y="584"/>
                            </a:cxn>
                            <a:cxn ang="0">
                              <a:pos x="905" y="557"/>
                            </a:cxn>
                            <a:cxn ang="0">
                              <a:pos x="905" y="542"/>
                            </a:cxn>
                            <a:cxn ang="0">
                              <a:pos x="906" y="526"/>
                            </a:cxn>
                            <a:cxn ang="0">
                              <a:pos x="907" y="493"/>
                            </a:cxn>
                            <a:cxn ang="0">
                              <a:pos x="909" y="433"/>
                            </a:cxn>
                            <a:cxn ang="0">
                              <a:pos x="911" y="318"/>
                            </a:cxn>
                            <a:cxn ang="0">
                              <a:pos x="915" y="147"/>
                            </a:cxn>
                            <a:cxn ang="0">
                              <a:pos x="918" y="46"/>
                            </a:cxn>
                          </a:cxnLst>
                          <a:rect l="0" t="0" r="r" b="b"/>
                          <a:pathLst>
                            <a:path w="920" h="730">
                              <a:moveTo>
                                <a:pt x="0" y="727"/>
                              </a:moveTo>
                              <a:lnTo>
                                <a:pt x="2" y="727"/>
                              </a:lnTo>
                              <a:lnTo>
                                <a:pt x="6" y="727"/>
                              </a:lnTo>
                              <a:lnTo>
                                <a:pt x="11" y="727"/>
                              </a:lnTo>
                              <a:lnTo>
                                <a:pt x="16" y="727"/>
                              </a:lnTo>
                              <a:lnTo>
                                <a:pt x="19" y="727"/>
                              </a:lnTo>
                              <a:lnTo>
                                <a:pt x="21" y="727"/>
                              </a:lnTo>
                              <a:lnTo>
                                <a:pt x="23" y="727"/>
                              </a:lnTo>
                              <a:lnTo>
                                <a:pt x="25" y="727"/>
                              </a:lnTo>
                              <a:lnTo>
                                <a:pt x="27" y="727"/>
                              </a:lnTo>
                              <a:lnTo>
                                <a:pt x="29" y="727"/>
                              </a:lnTo>
                              <a:lnTo>
                                <a:pt x="32" y="727"/>
                              </a:lnTo>
                              <a:lnTo>
                                <a:pt x="34" y="727"/>
                              </a:lnTo>
                              <a:lnTo>
                                <a:pt x="37" y="727"/>
                              </a:lnTo>
                              <a:lnTo>
                                <a:pt x="40" y="727"/>
                              </a:lnTo>
                              <a:lnTo>
                                <a:pt x="45" y="728"/>
                              </a:lnTo>
                              <a:lnTo>
                                <a:pt x="50" y="728"/>
                              </a:lnTo>
                              <a:lnTo>
                                <a:pt x="54" y="728"/>
                              </a:lnTo>
                              <a:lnTo>
                                <a:pt x="57" y="728"/>
                              </a:lnTo>
                              <a:lnTo>
                                <a:pt x="59" y="728"/>
                              </a:lnTo>
                              <a:lnTo>
                                <a:pt x="61" y="728"/>
                              </a:lnTo>
                              <a:lnTo>
                                <a:pt x="63" y="728"/>
                              </a:lnTo>
                              <a:lnTo>
                                <a:pt x="66" y="728"/>
                              </a:lnTo>
                              <a:lnTo>
                                <a:pt x="68" y="728"/>
                              </a:lnTo>
                              <a:lnTo>
                                <a:pt x="71" y="728"/>
                              </a:lnTo>
                              <a:lnTo>
                                <a:pt x="73" y="728"/>
                              </a:lnTo>
                              <a:lnTo>
                                <a:pt x="77" y="728"/>
                              </a:lnTo>
                              <a:lnTo>
                                <a:pt x="82" y="729"/>
                              </a:lnTo>
                              <a:lnTo>
                                <a:pt x="88" y="729"/>
                              </a:lnTo>
                              <a:lnTo>
                                <a:pt x="92" y="729"/>
                              </a:lnTo>
                              <a:lnTo>
                                <a:pt x="94" y="729"/>
                              </a:lnTo>
                              <a:lnTo>
                                <a:pt x="96" y="729"/>
                              </a:lnTo>
                              <a:lnTo>
                                <a:pt x="98" y="729"/>
                              </a:lnTo>
                              <a:lnTo>
                                <a:pt x="100" y="729"/>
                              </a:lnTo>
                              <a:lnTo>
                                <a:pt x="102" y="729"/>
                              </a:lnTo>
                              <a:lnTo>
                                <a:pt x="105" y="729"/>
                              </a:lnTo>
                              <a:lnTo>
                                <a:pt x="108" y="729"/>
                              </a:lnTo>
                              <a:lnTo>
                                <a:pt x="111" y="729"/>
                              </a:lnTo>
                              <a:lnTo>
                                <a:pt x="115" y="729"/>
                              </a:lnTo>
                              <a:lnTo>
                                <a:pt x="119" y="729"/>
                              </a:lnTo>
                              <a:lnTo>
                                <a:pt x="124" y="730"/>
                              </a:lnTo>
                              <a:lnTo>
                                <a:pt x="128" y="730"/>
                              </a:lnTo>
                              <a:lnTo>
                                <a:pt x="131" y="730"/>
                              </a:lnTo>
                              <a:lnTo>
                                <a:pt x="135" y="730"/>
                              </a:lnTo>
                              <a:lnTo>
                                <a:pt x="139" y="730"/>
                              </a:lnTo>
                              <a:lnTo>
                                <a:pt x="143" y="730"/>
                              </a:lnTo>
                              <a:lnTo>
                                <a:pt x="146" y="730"/>
                              </a:lnTo>
                              <a:lnTo>
                                <a:pt x="150" y="730"/>
                              </a:lnTo>
                              <a:lnTo>
                                <a:pt x="154" y="730"/>
                              </a:lnTo>
                              <a:lnTo>
                                <a:pt x="159" y="730"/>
                              </a:lnTo>
                              <a:lnTo>
                                <a:pt x="163" y="730"/>
                              </a:lnTo>
                              <a:lnTo>
                                <a:pt x="166" y="730"/>
                              </a:lnTo>
                              <a:lnTo>
                                <a:pt x="170" y="730"/>
                              </a:lnTo>
                              <a:lnTo>
                                <a:pt x="174" y="730"/>
                              </a:lnTo>
                              <a:lnTo>
                                <a:pt x="180" y="730"/>
                              </a:lnTo>
                              <a:lnTo>
                                <a:pt x="186" y="730"/>
                              </a:lnTo>
                              <a:lnTo>
                                <a:pt x="190" y="730"/>
                              </a:lnTo>
                              <a:lnTo>
                                <a:pt x="197" y="730"/>
                              </a:lnTo>
                              <a:lnTo>
                                <a:pt x="205" y="730"/>
                              </a:lnTo>
                              <a:lnTo>
                                <a:pt x="211" y="730"/>
                              </a:lnTo>
                              <a:lnTo>
                                <a:pt x="215" y="730"/>
                              </a:lnTo>
                              <a:lnTo>
                                <a:pt x="219" y="730"/>
                              </a:lnTo>
                              <a:lnTo>
                                <a:pt x="223" y="730"/>
                              </a:lnTo>
                              <a:lnTo>
                                <a:pt x="227" y="730"/>
                              </a:lnTo>
                              <a:lnTo>
                                <a:pt x="231" y="730"/>
                              </a:lnTo>
                              <a:lnTo>
                                <a:pt x="236" y="730"/>
                              </a:lnTo>
                              <a:lnTo>
                                <a:pt x="240" y="729"/>
                              </a:lnTo>
                              <a:lnTo>
                                <a:pt x="242" y="729"/>
                              </a:lnTo>
                              <a:lnTo>
                                <a:pt x="244" y="730"/>
                              </a:lnTo>
                              <a:lnTo>
                                <a:pt x="246" y="730"/>
                              </a:lnTo>
                              <a:lnTo>
                                <a:pt x="248" y="730"/>
                              </a:lnTo>
                              <a:lnTo>
                                <a:pt x="250" y="729"/>
                              </a:lnTo>
                              <a:lnTo>
                                <a:pt x="252" y="729"/>
                              </a:lnTo>
                              <a:lnTo>
                                <a:pt x="255" y="729"/>
                              </a:lnTo>
                              <a:lnTo>
                                <a:pt x="259" y="729"/>
                              </a:lnTo>
                              <a:lnTo>
                                <a:pt x="262" y="729"/>
                              </a:lnTo>
                              <a:lnTo>
                                <a:pt x="265" y="729"/>
                              </a:lnTo>
                              <a:lnTo>
                                <a:pt x="268" y="729"/>
                              </a:lnTo>
                              <a:lnTo>
                                <a:pt x="272" y="729"/>
                              </a:lnTo>
                              <a:lnTo>
                                <a:pt x="277" y="729"/>
                              </a:lnTo>
                              <a:lnTo>
                                <a:pt x="283" y="729"/>
                              </a:lnTo>
                              <a:lnTo>
                                <a:pt x="288" y="729"/>
                              </a:lnTo>
                              <a:lnTo>
                                <a:pt x="293" y="729"/>
                              </a:lnTo>
                              <a:lnTo>
                                <a:pt x="298" y="729"/>
                              </a:lnTo>
                              <a:lnTo>
                                <a:pt x="303" y="729"/>
                              </a:lnTo>
                              <a:lnTo>
                                <a:pt x="308" y="729"/>
                              </a:lnTo>
                              <a:lnTo>
                                <a:pt x="313" y="729"/>
                              </a:lnTo>
                              <a:lnTo>
                                <a:pt x="317" y="728"/>
                              </a:lnTo>
                              <a:lnTo>
                                <a:pt x="320" y="728"/>
                              </a:lnTo>
                              <a:lnTo>
                                <a:pt x="324" y="728"/>
                              </a:lnTo>
                              <a:lnTo>
                                <a:pt x="329" y="728"/>
                              </a:lnTo>
                              <a:lnTo>
                                <a:pt x="333" y="728"/>
                              </a:lnTo>
                              <a:lnTo>
                                <a:pt x="338" y="728"/>
                              </a:lnTo>
                              <a:lnTo>
                                <a:pt x="345" y="728"/>
                              </a:lnTo>
                              <a:lnTo>
                                <a:pt x="350" y="728"/>
                              </a:lnTo>
                              <a:lnTo>
                                <a:pt x="357" y="728"/>
                              </a:lnTo>
                              <a:lnTo>
                                <a:pt x="363" y="727"/>
                              </a:lnTo>
                              <a:lnTo>
                                <a:pt x="367" y="727"/>
                              </a:lnTo>
                              <a:lnTo>
                                <a:pt x="371" y="727"/>
                              </a:lnTo>
                              <a:lnTo>
                                <a:pt x="374" y="727"/>
                              </a:lnTo>
                              <a:lnTo>
                                <a:pt x="378" y="727"/>
                              </a:lnTo>
                              <a:lnTo>
                                <a:pt x="382" y="727"/>
                              </a:lnTo>
                              <a:lnTo>
                                <a:pt x="386" y="727"/>
                              </a:lnTo>
                              <a:lnTo>
                                <a:pt x="390" y="727"/>
                              </a:lnTo>
                              <a:lnTo>
                                <a:pt x="393" y="727"/>
                              </a:lnTo>
                              <a:lnTo>
                                <a:pt x="396" y="727"/>
                              </a:lnTo>
                              <a:lnTo>
                                <a:pt x="400" y="727"/>
                              </a:lnTo>
                              <a:lnTo>
                                <a:pt x="404" y="727"/>
                              </a:lnTo>
                              <a:lnTo>
                                <a:pt x="408" y="727"/>
                              </a:lnTo>
                              <a:lnTo>
                                <a:pt x="412" y="726"/>
                              </a:lnTo>
                              <a:lnTo>
                                <a:pt x="416" y="726"/>
                              </a:lnTo>
                              <a:lnTo>
                                <a:pt x="420" y="726"/>
                              </a:lnTo>
                              <a:lnTo>
                                <a:pt x="425" y="726"/>
                              </a:lnTo>
                              <a:lnTo>
                                <a:pt x="430" y="726"/>
                              </a:lnTo>
                              <a:lnTo>
                                <a:pt x="434" y="726"/>
                              </a:lnTo>
                              <a:lnTo>
                                <a:pt x="437" y="725"/>
                              </a:lnTo>
                              <a:lnTo>
                                <a:pt x="440" y="725"/>
                              </a:lnTo>
                              <a:lnTo>
                                <a:pt x="443" y="725"/>
                              </a:lnTo>
                              <a:lnTo>
                                <a:pt x="447" y="725"/>
                              </a:lnTo>
                              <a:lnTo>
                                <a:pt x="450" y="725"/>
                              </a:lnTo>
                              <a:lnTo>
                                <a:pt x="454" y="725"/>
                              </a:lnTo>
                              <a:lnTo>
                                <a:pt x="458" y="725"/>
                              </a:lnTo>
                              <a:lnTo>
                                <a:pt x="462" y="725"/>
                              </a:lnTo>
                              <a:lnTo>
                                <a:pt x="464" y="725"/>
                              </a:lnTo>
                              <a:lnTo>
                                <a:pt x="468" y="725"/>
                              </a:lnTo>
                              <a:lnTo>
                                <a:pt x="471" y="725"/>
                              </a:lnTo>
                              <a:lnTo>
                                <a:pt x="475" y="725"/>
                              </a:lnTo>
                              <a:lnTo>
                                <a:pt x="478" y="725"/>
                              </a:lnTo>
                              <a:lnTo>
                                <a:pt x="481" y="725"/>
                              </a:lnTo>
                              <a:lnTo>
                                <a:pt x="484" y="725"/>
                              </a:lnTo>
                              <a:lnTo>
                                <a:pt x="489" y="725"/>
                              </a:lnTo>
                              <a:lnTo>
                                <a:pt x="493" y="725"/>
                              </a:lnTo>
                              <a:lnTo>
                                <a:pt x="496" y="725"/>
                              </a:lnTo>
                              <a:lnTo>
                                <a:pt x="499" y="725"/>
                              </a:lnTo>
                              <a:lnTo>
                                <a:pt x="503" y="724"/>
                              </a:lnTo>
                              <a:lnTo>
                                <a:pt x="508" y="724"/>
                              </a:lnTo>
                              <a:lnTo>
                                <a:pt x="512" y="724"/>
                              </a:lnTo>
                              <a:lnTo>
                                <a:pt x="516" y="724"/>
                              </a:lnTo>
                              <a:lnTo>
                                <a:pt x="519" y="724"/>
                              </a:lnTo>
                              <a:lnTo>
                                <a:pt x="522" y="724"/>
                              </a:lnTo>
                              <a:lnTo>
                                <a:pt x="525" y="724"/>
                              </a:lnTo>
                              <a:lnTo>
                                <a:pt x="529" y="724"/>
                              </a:lnTo>
                              <a:lnTo>
                                <a:pt x="534" y="724"/>
                              </a:lnTo>
                              <a:lnTo>
                                <a:pt x="540" y="724"/>
                              </a:lnTo>
                              <a:lnTo>
                                <a:pt x="547" y="724"/>
                              </a:lnTo>
                              <a:lnTo>
                                <a:pt x="556" y="724"/>
                              </a:lnTo>
                              <a:lnTo>
                                <a:pt x="562" y="724"/>
                              </a:lnTo>
                              <a:lnTo>
                                <a:pt x="566" y="724"/>
                              </a:lnTo>
                              <a:lnTo>
                                <a:pt x="569" y="724"/>
                              </a:lnTo>
                              <a:lnTo>
                                <a:pt x="571" y="724"/>
                              </a:lnTo>
                              <a:lnTo>
                                <a:pt x="573" y="724"/>
                              </a:lnTo>
                              <a:lnTo>
                                <a:pt x="575" y="724"/>
                              </a:lnTo>
                              <a:lnTo>
                                <a:pt x="576" y="724"/>
                              </a:lnTo>
                              <a:lnTo>
                                <a:pt x="577" y="724"/>
                              </a:lnTo>
                              <a:lnTo>
                                <a:pt x="579" y="723"/>
                              </a:lnTo>
                              <a:lnTo>
                                <a:pt x="581" y="723"/>
                              </a:lnTo>
                              <a:lnTo>
                                <a:pt x="583" y="723"/>
                              </a:lnTo>
                              <a:lnTo>
                                <a:pt x="585" y="723"/>
                              </a:lnTo>
                              <a:lnTo>
                                <a:pt x="589" y="723"/>
                              </a:lnTo>
                              <a:lnTo>
                                <a:pt x="594" y="722"/>
                              </a:lnTo>
                              <a:lnTo>
                                <a:pt x="597" y="722"/>
                              </a:lnTo>
                              <a:lnTo>
                                <a:pt x="599" y="722"/>
                              </a:lnTo>
                              <a:lnTo>
                                <a:pt x="601" y="722"/>
                              </a:lnTo>
                              <a:lnTo>
                                <a:pt x="603" y="722"/>
                              </a:lnTo>
                              <a:lnTo>
                                <a:pt x="605" y="721"/>
                              </a:lnTo>
                              <a:lnTo>
                                <a:pt x="607" y="721"/>
                              </a:lnTo>
                              <a:lnTo>
                                <a:pt x="609" y="721"/>
                              </a:lnTo>
                              <a:lnTo>
                                <a:pt x="611" y="721"/>
                              </a:lnTo>
                              <a:lnTo>
                                <a:pt x="614" y="722"/>
                              </a:lnTo>
                              <a:lnTo>
                                <a:pt x="616" y="722"/>
                              </a:lnTo>
                              <a:lnTo>
                                <a:pt x="618" y="722"/>
                              </a:lnTo>
                              <a:lnTo>
                                <a:pt x="619" y="722"/>
                              </a:lnTo>
                              <a:lnTo>
                                <a:pt x="621" y="722"/>
                              </a:lnTo>
                              <a:lnTo>
                                <a:pt x="623" y="722"/>
                              </a:lnTo>
                              <a:lnTo>
                                <a:pt x="624" y="722"/>
                              </a:lnTo>
                              <a:lnTo>
                                <a:pt x="626" y="722"/>
                              </a:lnTo>
                              <a:lnTo>
                                <a:pt x="628" y="722"/>
                              </a:lnTo>
                              <a:lnTo>
                                <a:pt x="630" y="722"/>
                              </a:lnTo>
                              <a:lnTo>
                                <a:pt x="633" y="721"/>
                              </a:lnTo>
                              <a:lnTo>
                                <a:pt x="635" y="721"/>
                              </a:lnTo>
                              <a:lnTo>
                                <a:pt x="638" y="721"/>
                              </a:lnTo>
                              <a:lnTo>
                                <a:pt x="640" y="721"/>
                              </a:lnTo>
                              <a:lnTo>
                                <a:pt x="643" y="721"/>
                              </a:lnTo>
                              <a:lnTo>
                                <a:pt x="645" y="721"/>
                              </a:lnTo>
                              <a:lnTo>
                                <a:pt x="647" y="721"/>
                              </a:lnTo>
                              <a:lnTo>
                                <a:pt x="649" y="721"/>
                              </a:lnTo>
                              <a:lnTo>
                                <a:pt x="650" y="721"/>
                              </a:lnTo>
                              <a:lnTo>
                                <a:pt x="651" y="721"/>
                              </a:lnTo>
                              <a:lnTo>
                                <a:pt x="652" y="721"/>
                              </a:lnTo>
                              <a:lnTo>
                                <a:pt x="653" y="721"/>
                              </a:lnTo>
                              <a:lnTo>
                                <a:pt x="654" y="721"/>
                              </a:lnTo>
                              <a:lnTo>
                                <a:pt x="656" y="721"/>
                              </a:lnTo>
                              <a:lnTo>
                                <a:pt x="658" y="720"/>
                              </a:lnTo>
                              <a:lnTo>
                                <a:pt x="660" y="720"/>
                              </a:lnTo>
                              <a:lnTo>
                                <a:pt x="661" y="720"/>
                              </a:lnTo>
                              <a:lnTo>
                                <a:pt x="663" y="720"/>
                              </a:lnTo>
                              <a:lnTo>
                                <a:pt x="665" y="720"/>
                              </a:lnTo>
                              <a:lnTo>
                                <a:pt x="667" y="719"/>
                              </a:lnTo>
                              <a:lnTo>
                                <a:pt x="670" y="719"/>
                              </a:lnTo>
                              <a:lnTo>
                                <a:pt x="672" y="718"/>
                              </a:lnTo>
                              <a:lnTo>
                                <a:pt x="675" y="718"/>
                              </a:lnTo>
                              <a:lnTo>
                                <a:pt x="677" y="718"/>
                              </a:lnTo>
                              <a:lnTo>
                                <a:pt x="679" y="718"/>
                              </a:lnTo>
                              <a:lnTo>
                                <a:pt x="681" y="718"/>
                              </a:lnTo>
                              <a:lnTo>
                                <a:pt x="683" y="717"/>
                              </a:lnTo>
                              <a:lnTo>
                                <a:pt x="685" y="717"/>
                              </a:lnTo>
                              <a:lnTo>
                                <a:pt x="686" y="717"/>
                              </a:lnTo>
                              <a:lnTo>
                                <a:pt x="687" y="717"/>
                              </a:lnTo>
                              <a:lnTo>
                                <a:pt x="689" y="717"/>
                              </a:lnTo>
                              <a:lnTo>
                                <a:pt x="691" y="717"/>
                              </a:lnTo>
                              <a:lnTo>
                                <a:pt x="694" y="717"/>
                              </a:lnTo>
                              <a:lnTo>
                                <a:pt x="697" y="716"/>
                              </a:lnTo>
                              <a:lnTo>
                                <a:pt x="699" y="716"/>
                              </a:lnTo>
                              <a:lnTo>
                                <a:pt x="701" y="716"/>
                              </a:lnTo>
                              <a:lnTo>
                                <a:pt x="704" y="716"/>
                              </a:lnTo>
                              <a:lnTo>
                                <a:pt x="706" y="715"/>
                              </a:lnTo>
                              <a:lnTo>
                                <a:pt x="710" y="715"/>
                              </a:lnTo>
                              <a:lnTo>
                                <a:pt x="713" y="714"/>
                              </a:lnTo>
                              <a:lnTo>
                                <a:pt x="716" y="714"/>
                              </a:lnTo>
                              <a:lnTo>
                                <a:pt x="718" y="714"/>
                              </a:lnTo>
                              <a:lnTo>
                                <a:pt x="720" y="713"/>
                              </a:lnTo>
                              <a:lnTo>
                                <a:pt x="722" y="713"/>
                              </a:lnTo>
                              <a:lnTo>
                                <a:pt x="723" y="713"/>
                              </a:lnTo>
                              <a:lnTo>
                                <a:pt x="724" y="713"/>
                              </a:lnTo>
                              <a:lnTo>
                                <a:pt x="724" y="713"/>
                              </a:lnTo>
                              <a:lnTo>
                                <a:pt x="725" y="713"/>
                              </a:lnTo>
                              <a:lnTo>
                                <a:pt x="727" y="713"/>
                              </a:lnTo>
                              <a:lnTo>
                                <a:pt x="730" y="713"/>
                              </a:lnTo>
                              <a:lnTo>
                                <a:pt x="732" y="713"/>
                              </a:lnTo>
                              <a:lnTo>
                                <a:pt x="733" y="713"/>
                              </a:lnTo>
                              <a:lnTo>
                                <a:pt x="735" y="712"/>
                              </a:lnTo>
                              <a:lnTo>
                                <a:pt x="736" y="712"/>
                              </a:lnTo>
                              <a:lnTo>
                                <a:pt x="737" y="712"/>
                              </a:lnTo>
                              <a:lnTo>
                                <a:pt x="739" y="712"/>
                              </a:lnTo>
                              <a:lnTo>
                                <a:pt x="740" y="712"/>
                              </a:lnTo>
                              <a:lnTo>
                                <a:pt x="741" y="711"/>
                              </a:lnTo>
                              <a:lnTo>
                                <a:pt x="742" y="711"/>
                              </a:lnTo>
                              <a:lnTo>
                                <a:pt x="743" y="711"/>
                              </a:lnTo>
                              <a:lnTo>
                                <a:pt x="745" y="710"/>
                              </a:lnTo>
                              <a:lnTo>
                                <a:pt x="746" y="710"/>
                              </a:lnTo>
                              <a:lnTo>
                                <a:pt x="748" y="709"/>
                              </a:lnTo>
                              <a:lnTo>
                                <a:pt x="750" y="708"/>
                              </a:lnTo>
                              <a:lnTo>
                                <a:pt x="752" y="708"/>
                              </a:lnTo>
                              <a:lnTo>
                                <a:pt x="753" y="707"/>
                              </a:lnTo>
                              <a:lnTo>
                                <a:pt x="754" y="707"/>
                              </a:lnTo>
                              <a:lnTo>
                                <a:pt x="755" y="706"/>
                              </a:lnTo>
                              <a:lnTo>
                                <a:pt x="757" y="706"/>
                              </a:lnTo>
                              <a:lnTo>
                                <a:pt x="758" y="705"/>
                              </a:lnTo>
                              <a:lnTo>
                                <a:pt x="759" y="705"/>
                              </a:lnTo>
                              <a:lnTo>
                                <a:pt x="760" y="705"/>
                              </a:lnTo>
                              <a:lnTo>
                                <a:pt x="761" y="705"/>
                              </a:lnTo>
                              <a:lnTo>
                                <a:pt x="761" y="705"/>
                              </a:lnTo>
                              <a:lnTo>
                                <a:pt x="762" y="705"/>
                              </a:lnTo>
                              <a:lnTo>
                                <a:pt x="763" y="705"/>
                              </a:lnTo>
                              <a:lnTo>
                                <a:pt x="764" y="705"/>
                              </a:lnTo>
                              <a:lnTo>
                                <a:pt x="765" y="705"/>
                              </a:lnTo>
                              <a:lnTo>
                                <a:pt x="766" y="705"/>
                              </a:lnTo>
                              <a:lnTo>
                                <a:pt x="768" y="705"/>
                              </a:lnTo>
                              <a:lnTo>
                                <a:pt x="769" y="705"/>
                              </a:lnTo>
                              <a:lnTo>
                                <a:pt x="771" y="705"/>
                              </a:lnTo>
                              <a:lnTo>
                                <a:pt x="772" y="705"/>
                              </a:lnTo>
                              <a:lnTo>
                                <a:pt x="773" y="705"/>
                              </a:lnTo>
                              <a:lnTo>
                                <a:pt x="774" y="705"/>
                              </a:lnTo>
                              <a:lnTo>
                                <a:pt x="775" y="705"/>
                              </a:lnTo>
                              <a:lnTo>
                                <a:pt x="776" y="705"/>
                              </a:lnTo>
                              <a:lnTo>
                                <a:pt x="777" y="705"/>
                              </a:lnTo>
                              <a:lnTo>
                                <a:pt x="778" y="705"/>
                              </a:lnTo>
                              <a:lnTo>
                                <a:pt x="780" y="704"/>
                              </a:lnTo>
                              <a:lnTo>
                                <a:pt x="782" y="704"/>
                              </a:lnTo>
                              <a:lnTo>
                                <a:pt x="784" y="703"/>
                              </a:lnTo>
                              <a:lnTo>
                                <a:pt x="785" y="703"/>
                              </a:lnTo>
                              <a:lnTo>
                                <a:pt x="787" y="703"/>
                              </a:lnTo>
                              <a:lnTo>
                                <a:pt x="788" y="703"/>
                              </a:lnTo>
                              <a:lnTo>
                                <a:pt x="789" y="702"/>
                              </a:lnTo>
                              <a:lnTo>
                                <a:pt x="791" y="702"/>
                              </a:lnTo>
                              <a:lnTo>
                                <a:pt x="792" y="702"/>
                              </a:lnTo>
                              <a:lnTo>
                                <a:pt x="793" y="702"/>
                              </a:lnTo>
                              <a:lnTo>
                                <a:pt x="795" y="702"/>
                              </a:lnTo>
                              <a:lnTo>
                                <a:pt x="797" y="702"/>
                              </a:lnTo>
                              <a:lnTo>
                                <a:pt x="799" y="703"/>
                              </a:lnTo>
                              <a:lnTo>
                                <a:pt x="802" y="702"/>
                              </a:lnTo>
                              <a:lnTo>
                                <a:pt x="806" y="702"/>
                              </a:lnTo>
                              <a:lnTo>
                                <a:pt x="808" y="703"/>
                              </a:lnTo>
                              <a:lnTo>
                                <a:pt x="809" y="702"/>
                              </a:lnTo>
                              <a:lnTo>
                                <a:pt x="811" y="702"/>
                              </a:lnTo>
                              <a:lnTo>
                                <a:pt x="812" y="702"/>
                              </a:lnTo>
                              <a:lnTo>
                                <a:pt x="813" y="702"/>
                              </a:lnTo>
                              <a:lnTo>
                                <a:pt x="814" y="702"/>
                              </a:lnTo>
                              <a:lnTo>
                                <a:pt x="815" y="702"/>
                              </a:lnTo>
                              <a:lnTo>
                                <a:pt x="815" y="702"/>
                              </a:lnTo>
                              <a:lnTo>
                                <a:pt x="816" y="702"/>
                              </a:lnTo>
                              <a:lnTo>
                                <a:pt x="817" y="702"/>
                              </a:lnTo>
                              <a:lnTo>
                                <a:pt x="818" y="702"/>
                              </a:lnTo>
                              <a:lnTo>
                                <a:pt x="819" y="701"/>
                              </a:lnTo>
                              <a:lnTo>
                                <a:pt x="819" y="701"/>
                              </a:lnTo>
                              <a:lnTo>
                                <a:pt x="820" y="701"/>
                              </a:lnTo>
                              <a:lnTo>
                                <a:pt x="821" y="700"/>
                              </a:lnTo>
                              <a:lnTo>
                                <a:pt x="822" y="700"/>
                              </a:lnTo>
                              <a:lnTo>
                                <a:pt x="823" y="700"/>
                              </a:lnTo>
                              <a:lnTo>
                                <a:pt x="823" y="699"/>
                              </a:lnTo>
                              <a:lnTo>
                                <a:pt x="824" y="699"/>
                              </a:lnTo>
                              <a:lnTo>
                                <a:pt x="825" y="698"/>
                              </a:lnTo>
                              <a:lnTo>
                                <a:pt x="826" y="697"/>
                              </a:lnTo>
                              <a:lnTo>
                                <a:pt x="828" y="696"/>
                              </a:lnTo>
                              <a:lnTo>
                                <a:pt x="829" y="695"/>
                              </a:lnTo>
                              <a:lnTo>
                                <a:pt x="830" y="694"/>
                              </a:lnTo>
                              <a:lnTo>
                                <a:pt x="831" y="694"/>
                              </a:lnTo>
                              <a:lnTo>
                                <a:pt x="832" y="693"/>
                              </a:lnTo>
                              <a:lnTo>
                                <a:pt x="833" y="693"/>
                              </a:lnTo>
                              <a:lnTo>
                                <a:pt x="833" y="692"/>
                              </a:lnTo>
                              <a:lnTo>
                                <a:pt x="834" y="692"/>
                              </a:lnTo>
                              <a:lnTo>
                                <a:pt x="834" y="692"/>
                              </a:lnTo>
                              <a:lnTo>
                                <a:pt x="834" y="691"/>
                              </a:lnTo>
                              <a:lnTo>
                                <a:pt x="835" y="691"/>
                              </a:lnTo>
                              <a:lnTo>
                                <a:pt x="835" y="691"/>
                              </a:lnTo>
                              <a:lnTo>
                                <a:pt x="837" y="690"/>
                              </a:lnTo>
                              <a:lnTo>
                                <a:pt x="838" y="689"/>
                              </a:lnTo>
                              <a:lnTo>
                                <a:pt x="839" y="689"/>
                              </a:lnTo>
                              <a:lnTo>
                                <a:pt x="840" y="688"/>
                              </a:lnTo>
                              <a:lnTo>
                                <a:pt x="841" y="688"/>
                              </a:lnTo>
                              <a:lnTo>
                                <a:pt x="842" y="687"/>
                              </a:lnTo>
                              <a:lnTo>
                                <a:pt x="844" y="687"/>
                              </a:lnTo>
                              <a:lnTo>
                                <a:pt x="845" y="686"/>
                              </a:lnTo>
                              <a:lnTo>
                                <a:pt x="847" y="686"/>
                              </a:lnTo>
                              <a:lnTo>
                                <a:pt x="850" y="685"/>
                              </a:lnTo>
                              <a:lnTo>
                                <a:pt x="852" y="684"/>
                              </a:lnTo>
                              <a:lnTo>
                                <a:pt x="854" y="683"/>
                              </a:lnTo>
                              <a:lnTo>
                                <a:pt x="855" y="683"/>
                              </a:lnTo>
                              <a:lnTo>
                                <a:pt x="857" y="682"/>
                              </a:lnTo>
                              <a:lnTo>
                                <a:pt x="858" y="682"/>
                              </a:lnTo>
                              <a:lnTo>
                                <a:pt x="859" y="682"/>
                              </a:lnTo>
                              <a:lnTo>
                                <a:pt x="860" y="681"/>
                              </a:lnTo>
                              <a:lnTo>
                                <a:pt x="861" y="681"/>
                              </a:lnTo>
                              <a:lnTo>
                                <a:pt x="862" y="681"/>
                              </a:lnTo>
                              <a:lnTo>
                                <a:pt x="863" y="681"/>
                              </a:lnTo>
                              <a:lnTo>
                                <a:pt x="864" y="681"/>
                              </a:lnTo>
                              <a:lnTo>
                                <a:pt x="865" y="681"/>
                              </a:lnTo>
                              <a:lnTo>
                                <a:pt x="866" y="681"/>
                              </a:lnTo>
                              <a:lnTo>
                                <a:pt x="867" y="681"/>
                              </a:lnTo>
                              <a:lnTo>
                                <a:pt x="868" y="682"/>
                              </a:lnTo>
                              <a:lnTo>
                                <a:pt x="869" y="682"/>
                              </a:lnTo>
                              <a:lnTo>
                                <a:pt x="869" y="682"/>
                              </a:lnTo>
                              <a:lnTo>
                                <a:pt x="870" y="682"/>
                              </a:lnTo>
                              <a:lnTo>
                                <a:pt x="870" y="682"/>
                              </a:lnTo>
                              <a:lnTo>
                                <a:pt x="871" y="682"/>
                              </a:lnTo>
                              <a:lnTo>
                                <a:pt x="871" y="682"/>
                              </a:lnTo>
                              <a:lnTo>
                                <a:pt x="872" y="682"/>
                              </a:lnTo>
                              <a:lnTo>
                                <a:pt x="873" y="682"/>
                              </a:lnTo>
                              <a:lnTo>
                                <a:pt x="873" y="682"/>
                              </a:lnTo>
                              <a:lnTo>
                                <a:pt x="874" y="682"/>
                              </a:lnTo>
                              <a:lnTo>
                                <a:pt x="875" y="682"/>
                              </a:lnTo>
                              <a:lnTo>
                                <a:pt x="876" y="682"/>
                              </a:lnTo>
                              <a:lnTo>
                                <a:pt x="876" y="682"/>
                              </a:lnTo>
                              <a:lnTo>
                                <a:pt x="877" y="682"/>
                              </a:lnTo>
                              <a:lnTo>
                                <a:pt x="878" y="682"/>
                              </a:lnTo>
                              <a:lnTo>
                                <a:pt x="878" y="682"/>
                              </a:lnTo>
                              <a:lnTo>
                                <a:pt x="879" y="681"/>
                              </a:lnTo>
                              <a:lnTo>
                                <a:pt x="879" y="681"/>
                              </a:lnTo>
                              <a:lnTo>
                                <a:pt x="880" y="681"/>
                              </a:lnTo>
                              <a:lnTo>
                                <a:pt x="881" y="680"/>
                              </a:lnTo>
                              <a:lnTo>
                                <a:pt x="882" y="680"/>
                              </a:lnTo>
                              <a:lnTo>
                                <a:pt x="882" y="680"/>
                              </a:lnTo>
                              <a:lnTo>
                                <a:pt x="883" y="679"/>
                              </a:lnTo>
                              <a:lnTo>
                                <a:pt x="884" y="678"/>
                              </a:lnTo>
                              <a:lnTo>
                                <a:pt x="885" y="678"/>
                              </a:lnTo>
                              <a:lnTo>
                                <a:pt x="886" y="677"/>
                              </a:lnTo>
                              <a:lnTo>
                                <a:pt x="886" y="676"/>
                              </a:lnTo>
                              <a:lnTo>
                                <a:pt x="887" y="675"/>
                              </a:lnTo>
                              <a:lnTo>
                                <a:pt x="888" y="675"/>
                              </a:lnTo>
                              <a:lnTo>
                                <a:pt x="889" y="674"/>
                              </a:lnTo>
                              <a:lnTo>
                                <a:pt x="890" y="673"/>
                              </a:lnTo>
                              <a:lnTo>
                                <a:pt x="890" y="672"/>
                              </a:lnTo>
                              <a:lnTo>
                                <a:pt x="891" y="672"/>
                              </a:lnTo>
                              <a:lnTo>
                                <a:pt x="891" y="671"/>
                              </a:lnTo>
                              <a:lnTo>
                                <a:pt x="892" y="671"/>
                              </a:lnTo>
                              <a:lnTo>
                                <a:pt x="892" y="671"/>
                              </a:lnTo>
                              <a:lnTo>
                                <a:pt x="892" y="670"/>
                              </a:lnTo>
                              <a:lnTo>
                                <a:pt x="893" y="670"/>
                              </a:lnTo>
                              <a:lnTo>
                                <a:pt x="893" y="669"/>
                              </a:lnTo>
                              <a:lnTo>
                                <a:pt x="893" y="669"/>
                              </a:lnTo>
                              <a:lnTo>
                                <a:pt x="894" y="669"/>
                              </a:lnTo>
                              <a:lnTo>
                                <a:pt x="894" y="668"/>
                              </a:lnTo>
                              <a:lnTo>
                                <a:pt x="894" y="668"/>
                              </a:lnTo>
                              <a:lnTo>
                                <a:pt x="894" y="667"/>
                              </a:lnTo>
                              <a:lnTo>
                                <a:pt x="895" y="667"/>
                              </a:lnTo>
                              <a:lnTo>
                                <a:pt x="895" y="667"/>
                              </a:lnTo>
                              <a:lnTo>
                                <a:pt x="895" y="666"/>
                              </a:lnTo>
                              <a:lnTo>
                                <a:pt x="895" y="666"/>
                              </a:lnTo>
                              <a:lnTo>
                                <a:pt x="895" y="665"/>
                              </a:lnTo>
                              <a:lnTo>
                                <a:pt x="896" y="665"/>
                              </a:lnTo>
                              <a:lnTo>
                                <a:pt x="896" y="664"/>
                              </a:lnTo>
                              <a:lnTo>
                                <a:pt x="896" y="664"/>
                              </a:lnTo>
                              <a:lnTo>
                                <a:pt x="896" y="663"/>
                              </a:lnTo>
                              <a:lnTo>
                                <a:pt x="896" y="663"/>
                              </a:lnTo>
                              <a:lnTo>
                                <a:pt x="896" y="662"/>
                              </a:lnTo>
                              <a:lnTo>
                                <a:pt x="897" y="662"/>
                              </a:lnTo>
                              <a:lnTo>
                                <a:pt x="897" y="661"/>
                              </a:lnTo>
                              <a:lnTo>
                                <a:pt x="897" y="660"/>
                              </a:lnTo>
                              <a:lnTo>
                                <a:pt x="897" y="660"/>
                              </a:lnTo>
                              <a:lnTo>
                                <a:pt x="897" y="659"/>
                              </a:lnTo>
                              <a:lnTo>
                                <a:pt x="897" y="658"/>
                              </a:lnTo>
                              <a:lnTo>
                                <a:pt x="898" y="657"/>
                              </a:lnTo>
                              <a:lnTo>
                                <a:pt x="898" y="656"/>
                              </a:lnTo>
                              <a:lnTo>
                                <a:pt x="898" y="655"/>
                              </a:lnTo>
                              <a:lnTo>
                                <a:pt x="898" y="654"/>
                              </a:lnTo>
                              <a:lnTo>
                                <a:pt x="898" y="653"/>
                              </a:lnTo>
                              <a:lnTo>
                                <a:pt x="898" y="652"/>
                              </a:lnTo>
                              <a:lnTo>
                                <a:pt x="899" y="650"/>
                              </a:lnTo>
                              <a:lnTo>
                                <a:pt x="899" y="649"/>
                              </a:lnTo>
                              <a:lnTo>
                                <a:pt x="899" y="648"/>
                              </a:lnTo>
                              <a:lnTo>
                                <a:pt x="899" y="646"/>
                              </a:lnTo>
                              <a:lnTo>
                                <a:pt x="899" y="645"/>
                              </a:lnTo>
                              <a:lnTo>
                                <a:pt x="900" y="643"/>
                              </a:lnTo>
                              <a:lnTo>
                                <a:pt x="900" y="642"/>
                              </a:lnTo>
                              <a:lnTo>
                                <a:pt x="900" y="640"/>
                              </a:lnTo>
                              <a:lnTo>
                                <a:pt x="900" y="639"/>
                              </a:lnTo>
                              <a:lnTo>
                                <a:pt x="900" y="637"/>
                              </a:lnTo>
                              <a:lnTo>
                                <a:pt x="900" y="636"/>
                              </a:lnTo>
                              <a:lnTo>
                                <a:pt x="900" y="634"/>
                              </a:lnTo>
                              <a:lnTo>
                                <a:pt x="901" y="632"/>
                              </a:lnTo>
                              <a:lnTo>
                                <a:pt x="901" y="631"/>
                              </a:lnTo>
                              <a:lnTo>
                                <a:pt x="901" y="629"/>
                              </a:lnTo>
                              <a:lnTo>
                                <a:pt x="901" y="627"/>
                              </a:lnTo>
                              <a:lnTo>
                                <a:pt x="901" y="625"/>
                              </a:lnTo>
                              <a:lnTo>
                                <a:pt x="901" y="623"/>
                              </a:lnTo>
                              <a:lnTo>
                                <a:pt x="901" y="621"/>
                              </a:lnTo>
                              <a:lnTo>
                                <a:pt x="902" y="619"/>
                              </a:lnTo>
                              <a:lnTo>
                                <a:pt x="902" y="617"/>
                              </a:lnTo>
                              <a:lnTo>
                                <a:pt x="902" y="614"/>
                              </a:lnTo>
                              <a:lnTo>
                                <a:pt x="902" y="612"/>
                              </a:lnTo>
                              <a:lnTo>
                                <a:pt x="902" y="610"/>
                              </a:lnTo>
                              <a:lnTo>
                                <a:pt x="902" y="607"/>
                              </a:lnTo>
                              <a:lnTo>
                                <a:pt x="903" y="605"/>
                              </a:lnTo>
                              <a:lnTo>
                                <a:pt x="903" y="602"/>
                              </a:lnTo>
                              <a:lnTo>
                                <a:pt x="903" y="600"/>
                              </a:lnTo>
                              <a:lnTo>
                                <a:pt x="903" y="597"/>
                              </a:lnTo>
                              <a:lnTo>
                                <a:pt x="903" y="594"/>
                              </a:lnTo>
                              <a:lnTo>
                                <a:pt x="903" y="591"/>
                              </a:lnTo>
                              <a:lnTo>
                                <a:pt x="903" y="588"/>
                              </a:lnTo>
                              <a:lnTo>
                                <a:pt x="904" y="584"/>
                              </a:lnTo>
                              <a:lnTo>
                                <a:pt x="904" y="580"/>
                              </a:lnTo>
                              <a:lnTo>
                                <a:pt x="904" y="576"/>
                              </a:lnTo>
                              <a:lnTo>
                                <a:pt x="904" y="572"/>
                              </a:lnTo>
                              <a:lnTo>
                                <a:pt x="904" y="568"/>
                              </a:lnTo>
                              <a:lnTo>
                                <a:pt x="905" y="564"/>
                              </a:lnTo>
                              <a:lnTo>
                                <a:pt x="905" y="560"/>
                              </a:lnTo>
                              <a:lnTo>
                                <a:pt x="905" y="559"/>
                              </a:lnTo>
                              <a:lnTo>
                                <a:pt x="905" y="557"/>
                              </a:lnTo>
                              <a:lnTo>
                                <a:pt x="905" y="555"/>
                              </a:lnTo>
                              <a:lnTo>
                                <a:pt x="905" y="553"/>
                              </a:lnTo>
                              <a:lnTo>
                                <a:pt x="905" y="551"/>
                              </a:lnTo>
                              <a:lnTo>
                                <a:pt x="905" y="549"/>
                              </a:lnTo>
                              <a:lnTo>
                                <a:pt x="905" y="548"/>
                              </a:lnTo>
                              <a:lnTo>
                                <a:pt x="905" y="546"/>
                              </a:lnTo>
                              <a:lnTo>
                                <a:pt x="905" y="544"/>
                              </a:lnTo>
                              <a:lnTo>
                                <a:pt x="905" y="542"/>
                              </a:lnTo>
                              <a:lnTo>
                                <a:pt x="905" y="540"/>
                              </a:lnTo>
                              <a:lnTo>
                                <a:pt x="906" y="538"/>
                              </a:lnTo>
                              <a:lnTo>
                                <a:pt x="906" y="537"/>
                              </a:lnTo>
                              <a:lnTo>
                                <a:pt x="906" y="535"/>
                              </a:lnTo>
                              <a:lnTo>
                                <a:pt x="906" y="533"/>
                              </a:lnTo>
                              <a:lnTo>
                                <a:pt x="906" y="531"/>
                              </a:lnTo>
                              <a:lnTo>
                                <a:pt x="906" y="528"/>
                              </a:lnTo>
                              <a:lnTo>
                                <a:pt x="906" y="526"/>
                              </a:lnTo>
                              <a:lnTo>
                                <a:pt x="906" y="524"/>
                              </a:lnTo>
                              <a:lnTo>
                                <a:pt x="906" y="522"/>
                              </a:lnTo>
                              <a:lnTo>
                                <a:pt x="906" y="520"/>
                              </a:lnTo>
                              <a:lnTo>
                                <a:pt x="906" y="516"/>
                              </a:lnTo>
                              <a:lnTo>
                                <a:pt x="906" y="511"/>
                              </a:lnTo>
                              <a:lnTo>
                                <a:pt x="907" y="505"/>
                              </a:lnTo>
                              <a:lnTo>
                                <a:pt x="907" y="499"/>
                              </a:lnTo>
                              <a:lnTo>
                                <a:pt x="907" y="493"/>
                              </a:lnTo>
                              <a:lnTo>
                                <a:pt x="907" y="487"/>
                              </a:lnTo>
                              <a:lnTo>
                                <a:pt x="907" y="481"/>
                              </a:lnTo>
                              <a:lnTo>
                                <a:pt x="908" y="475"/>
                              </a:lnTo>
                              <a:lnTo>
                                <a:pt x="908" y="468"/>
                              </a:lnTo>
                              <a:lnTo>
                                <a:pt x="908" y="461"/>
                              </a:lnTo>
                              <a:lnTo>
                                <a:pt x="908" y="453"/>
                              </a:lnTo>
                              <a:lnTo>
                                <a:pt x="908" y="444"/>
                              </a:lnTo>
                              <a:lnTo>
                                <a:pt x="909" y="433"/>
                              </a:lnTo>
                              <a:lnTo>
                                <a:pt x="909" y="422"/>
                              </a:lnTo>
                              <a:lnTo>
                                <a:pt x="909" y="409"/>
                              </a:lnTo>
                              <a:lnTo>
                                <a:pt x="910" y="396"/>
                              </a:lnTo>
                              <a:lnTo>
                                <a:pt x="910" y="383"/>
                              </a:lnTo>
                              <a:lnTo>
                                <a:pt x="910" y="369"/>
                              </a:lnTo>
                              <a:lnTo>
                                <a:pt x="911" y="354"/>
                              </a:lnTo>
                              <a:lnTo>
                                <a:pt x="911" y="337"/>
                              </a:lnTo>
                              <a:lnTo>
                                <a:pt x="911" y="318"/>
                              </a:lnTo>
                              <a:lnTo>
                                <a:pt x="912" y="297"/>
                              </a:lnTo>
                              <a:lnTo>
                                <a:pt x="912" y="268"/>
                              </a:lnTo>
                              <a:lnTo>
                                <a:pt x="913" y="238"/>
                              </a:lnTo>
                              <a:lnTo>
                                <a:pt x="914" y="214"/>
                              </a:lnTo>
                              <a:lnTo>
                                <a:pt x="914" y="195"/>
                              </a:lnTo>
                              <a:lnTo>
                                <a:pt x="914" y="178"/>
                              </a:lnTo>
                              <a:lnTo>
                                <a:pt x="915" y="163"/>
                              </a:lnTo>
                              <a:lnTo>
                                <a:pt x="915" y="147"/>
                              </a:lnTo>
                              <a:lnTo>
                                <a:pt x="915" y="130"/>
                              </a:lnTo>
                              <a:lnTo>
                                <a:pt x="916" y="115"/>
                              </a:lnTo>
                              <a:lnTo>
                                <a:pt x="916" y="101"/>
                              </a:lnTo>
                              <a:lnTo>
                                <a:pt x="917" y="88"/>
                              </a:lnTo>
                              <a:lnTo>
                                <a:pt x="917" y="76"/>
                              </a:lnTo>
                              <a:lnTo>
                                <a:pt x="917" y="65"/>
                              </a:lnTo>
                              <a:lnTo>
                                <a:pt x="918" y="55"/>
                              </a:lnTo>
                              <a:lnTo>
                                <a:pt x="918" y="46"/>
                              </a:lnTo>
                              <a:lnTo>
                                <a:pt x="918" y="38"/>
                              </a:lnTo>
                              <a:lnTo>
                                <a:pt x="918" y="30"/>
                              </a:lnTo>
                              <a:lnTo>
                                <a:pt x="919" y="23"/>
                              </a:lnTo>
                              <a:lnTo>
                                <a:pt x="919" y="16"/>
                              </a:lnTo>
                              <a:lnTo>
                                <a:pt x="919" y="10"/>
                              </a:lnTo>
                              <a:lnTo>
                                <a:pt x="920" y="5"/>
                              </a:lnTo>
                              <a:lnTo>
                                <a:pt x="920" y="0"/>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18" name="Freeform 294"/>
                        <a:cNvSpPr>
                          <a:spLocks/>
                        </a:cNvSpPr>
                      </a:nvSpPr>
                      <a:spPr bwMode="auto">
                        <a:xfrm>
                          <a:off x="3981450" y="8223367"/>
                          <a:ext cx="601663" cy="1112092"/>
                        </a:xfrm>
                        <a:custGeom>
                          <a:avLst/>
                          <a:gdLst/>
                          <a:ahLst/>
                          <a:cxnLst>
                            <a:cxn ang="0">
                              <a:pos x="2" y="0"/>
                            </a:cxn>
                            <a:cxn ang="0">
                              <a:pos x="4" y="18"/>
                            </a:cxn>
                            <a:cxn ang="0">
                              <a:pos x="7" y="83"/>
                            </a:cxn>
                            <a:cxn ang="0">
                              <a:pos x="13" y="245"/>
                            </a:cxn>
                            <a:cxn ang="0">
                              <a:pos x="17" y="361"/>
                            </a:cxn>
                            <a:cxn ang="0">
                              <a:pos x="21" y="443"/>
                            </a:cxn>
                            <a:cxn ang="0">
                              <a:pos x="23" y="476"/>
                            </a:cxn>
                            <a:cxn ang="0">
                              <a:pos x="24" y="488"/>
                            </a:cxn>
                            <a:cxn ang="0">
                              <a:pos x="25" y="511"/>
                            </a:cxn>
                            <a:cxn ang="0">
                              <a:pos x="28" y="548"/>
                            </a:cxn>
                            <a:cxn ang="0">
                              <a:pos x="32" y="581"/>
                            </a:cxn>
                            <a:cxn ang="0">
                              <a:pos x="35" y="608"/>
                            </a:cxn>
                            <a:cxn ang="0">
                              <a:pos x="39" y="626"/>
                            </a:cxn>
                            <a:cxn ang="0">
                              <a:pos x="43" y="644"/>
                            </a:cxn>
                            <a:cxn ang="0">
                              <a:pos x="47" y="659"/>
                            </a:cxn>
                            <a:cxn ang="0">
                              <a:pos x="53" y="673"/>
                            </a:cxn>
                            <a:cxn ang="0">
                              <a:pos x="58" y="683"/>
                            </a:cxn>
                            <a:cxn ang="0">
                              <a:pos x="63" y="689"/>
                            </a:cxn>
                            <a:cxn ang="0">
                              <a:pos x="69" y="696"/>
                            </a:cxn>
                            <a:cxn ang="0">
                              <a:pos x="82" y="709"/>
                            </a:cxn>
                            <a:cxn ang="0">
                              <a:pos x="91" y="717"/>
                            </a:cxn>
                            <a:cxn ang="0">
                              <a:pos x="100" y="722"/>
                            </a:cxn>
                            <a:cxn ang="0">
                              <a:pos x="109" y="725"/>
                            </a:cxn>
                            <a:cxn ang="0">
                              <a:pos x="119" y="727"/>
                            </a:cxn>
                            <a:cxn ang="0">
                              <a:pos x="130" y="727"/>
                            </a:cxn>
                            <a:cxn ang="0">
                              <a:pos x="136" y="727"/>
                            </a:cxn>
                            <a:cxn ang="0">
                              <a:pos x="140" y="726"/>
                            </a:cxn>
                            <a:cxn ang="0">
                              <a:pos x="146" y="723"/>
                            </a:cxn>
                            <a:cxn ang="0">
                              <a:pos x="153" y="717"/>
                            </a:cxn>
                            <a:cxn ang="0">
                              <a:pos x="158" y="715"/>
                            </a:cxn>
                            <a:cxn ang="0">
                              <a:pos x="163" y="716"/>
                            </a:cxn>
                            <a:cxn ang="0">
                              <a:pos x="170" y="720"/>
                            </a:cxn>
                            <a:cxn ang="0">
                              <a:pos x="175" y="722"/>
                            </a:cxn>
                            <a:cxn ang="0">
                              <a:pos x="187" y="725"/>
                            </a:cxn>
                            <a:cxn ang="0">
                              <a:pos x="200" y="727"/>
                            </a:cxn>
                            <a:cxn ang="0">
                              <a:pos x="223" y="728"/>
                            </a:cxn>
                            <a:cxn ang="0">
                              <a:pos x="247" y="727"/>
                            </a:cxn>
                            <a:cxn ang="0">
                              <a:pos x="263" y="726"/>
                            </a:cxn>
                            <a:cxn ang="0">
                              <a:pos x="283" y="723"/>
                            </a:cxn>
                            <a:cxn ang="0">
                              <a:pos x="289" y="722"/>
                            </a:cxn>
                            <a:cxn ang="0">
                              <a:pos x="303" y="718"/>
                            </a:cxn>
                            <a:cxn ang="0">
                              <a:pos x="314" y="714"/>
                            </a:cxn>
                            <a:cxn ang="0">
                              <a:pos x="318" y="712"/>
                            </a:cxn>
                            <a:cxn ang="0">
                              <a:pos x="319" y="711"/>
                            </a:cxn>
                            <a:cxn ang="0">
                              <a:pos x="320" y="710"/>
                            </a:cxn>
                            <a:cxn ang="0">
                              <a:pos x="323" y="708"/>
                            </a:cxn>
                            <a:cxn ang="0">
                              <a:pos x="325" y="704"/>
                            </a:cxn>
                            <a:cxn ang="0">
                              <a:pos x="327" y="698"/>
                            </a:cxn>
                            <a:cxn ang="0">
                              <a:pos x="329" y="692"/>
                            </a:cxn>
                            <a:cxn ang="0">
                              <a:pos x="330" y="683"/>
                            </a:cxn>
                            <a:cxn ang="0">
                              <a:pos x="332" y="673"/>
                            </a:cxn>
                            <a:cxn ang="0">
                              <a:pos x="334" y="653"/>
                            </a:cxn>
                            <a:cxn ang="0">
                              <a:pos x="337" y="628"/>
                            </a:cxn>
                            <a:cxn ang="0">
                              <a:pos x="341" y="578"/>
                            </a:cxn>
                            <a:cxn ang="0">
                              <a:pos x="345" y="525"/>
                            </a:cxn>
                            <a:cxn ang="0">
                              <a:pos x="348" y="500"/>
                            </a:cxn>
                            <a:cxn ang="0">
                              <a:pos x="350" y="485"/>
                            </a:cxn>
                            <a:cxn ang="0">
                              <a:pos x="353" y="481"/>
                            </a:cxn>
                            <a:cxn ang="0">
                              <a:pos x="356" y="484"/>
                            </a:cxn>
                            <a:cxn ang="0">
                              <a:pos x="357" y="490"/>
                            </a:cxn>
                            <a:cxn ang="0">
                              <a:pos x="360" y="505"/>
                            </a:cxn>
                            <a:cxn ang="0">
                              <a:pos x="368" y="559"/>
                            </a:cxn>
                            <a:cxn ang="0">
                              <a:pos x="375" y="606"/>
                            </a:cxn>
                          </a:cxnLst>
                          <a:rect l="0" t="0" r="r" b="b"/>
                          <a:pathLst>
                            <a:path w="379" h="728">
                              <a:moveTo>
                                <a:pt x="0" y="16"/>
                              </a:moveTo>
                              <a:lnTo>
                                <a:pt x="0" y="12"/>
                              </a:lnTo>
                              <a:lnTo>
                                <a:pt x="0" y="8"/>
                              </a:lnTo>
                              <a:lnTo>
                                <a:pt x="1" y="6"/>
                              </a:lnTo>
                              <a:lnTo>
                                <a:pt x="1" y="3"/>
                              </a:lnTo>
                              <a:lnTo>
                                <a:pt x="1" y="1"/>
                              </a:lnTo>
                              <a:lnTo>
                                <a:pt x="2" y="0"/>
                              </a:lnTo>
                              <a:lnTo>
                                <a:pt x="2" y="0"/>
                              </a:lnTo>
                              <a:lnTo>
                                <a:pt x="2" y="0"/>
                              </a:lnTo>
                              <a:lnTo>
                                <a:pt x="3" y="1"/>
                              </a:lnTo>
                              <a:lnTo>
                                <a:pt x="3" y="2"/>
                              </a:lnTo>
                              <a:lnTo>
                                <a:pt x="3" y="4"/>
                              </a:lnTo>
                              <a:lnTo>
                                <a:pt x="3" y="6"/>
                              </a:lnTo>
                              <a:lnTo>
                                <a:pt x="4" y="9"/>
                              </a:lnTo>
                              <a:lnTo>
                                <a:pt x="4" y="13"/>
                              </a:lnTo>
                              <a:lnTo>
                                <a:pt x="4" y="18"/>
                              </a:lnTo>
                              <a:lnTo>
                                <a:pt x="5" y="23"/>
                              </a:lnTo>
                              <a:lnTo>
                                <a:pt x="5" y="29"/>
                              </a:lnTo>
                              <a:lnTo>
                                <a:pt x="5" y="36"/>
                              </a:lnTo>
                              <a:lnTo>
                                <a:pt x="6" y="43"/>
                              </a:lnTo>
                              <a:lnTo>
                                <a:pt x="6" y="51"/>
                              </a:lnTo>
                              <a:lnTo>
                                <a:pt x="7" y="61"/>
                              </a:lnTo>
                              <a:lnTo>
                                <a:pt x="7" y="71"/>
                              </a:lnTo>
                              <a:lnTo>
                                <a:pt x="7" y="83"/>
                              </a:lnTo>
                              <a:lnTo>
                                <a:pt x="8" y="95"/>
                              </a:lnTo>
                              <a:lnTo>
                                <a:pt x="8" y="110"/>
                              </a:lnTo>
                              <a:lnTo>
                                <a:pt x="9" y="126"/>
                              </a:lnTo>
                              <a:lnTo>
                                <a:pt x="10" y="145"/>
                              </a:lnTo>
                              <a:lnTo>
                                <a:pt x="11" y="169"/>
                              </a:lnTo>
                              <a:lnTo>
                                <a:pt x="11" y="196"/>
                              </a:lnTo>
                              <a:lnTo>
                                <a:pt x="12" y="223"/>
                              </a:lnTo>
                              <a:lnTo>
                                <a:pt x="13" y="245"/>
                              </a:lnTo>
                              <a:lnTo>
                                <a:pt x="14" y="264"/>
                              </a:lnTo>
                              <a:lnTo>
                                <a:pt x="14" y="281"/>
                              </a:lnTo>
                              <a:lnTo>
                                <a:pt x="15" y="297"/>
                              </a:lnTo>
                              <a:lnTo>
                                <a:pt x="15" y="311"/>
                              </a:lnTo>
                              <a:lnTo>
                                <a:pt x="16" y="324"/>
                              </a:lnTo>
                              <a:lnTo>
                                <a:pt x="16" y="337"/>
                              </a:lnTo>
                              <a:lnTo>
                                <a:pt x="17" y="350"/>
                              </a:lnTo>
                              <a:lnTo>
                                <a:pt x="17" y="361"/>
                              </a:lnTo>
                              <a:lnTo>
                                <a:pt x="18" y="372"/>
                              </a:lnTo>
                              <a:lnTo>
                                <a:pt x="18" y="383"/>
                              </a:lnTo>
                              <a:lnTo>
                                <a:pt x="19" y="394"/>
                              </a:lnTo>
                              <a:lnTo>
                                <a:pt x="19" y="404"/>
                              </a:lnTo>
                              <a:lnTo>
                                <a:pt x="20" y="414"/>
                              </a:lnTo>
                              <a:lnTo>
                                <a:pt x="20" y="424"/>
                              </a:lnTo>
                              <a:lnTo>
                                <a:pt x="21" y="434"/>
                              </a:lnTo>
                              <a:lnTo>
                                <a:pt x="21" y="443"/>
                              </a:lnTo>
                              <a:lnTo>
                                <a:pt x="22" y="451"/>
                              </a:lnTo>
                              <a:lnTo>
                                <a:pt x="22" y="457"/>
                              </a:lnTo>
                              <a:lnTo>
                                <a:pt x="22" y="462"/>
                              </a:lnTo>
                              <a:lnTo>
                                <a:pt x="22" y="465"/>
                              </a:lnTo>
                              <a:lnTo>
                                <a:pt x="23" y="468"/>
                              </a:lnTo>
                              <a:lnTo>
                                <a:pt x="23" y="471"/>
                              </a:lnTo>
                              <a:lnTo>
                                <a:pt x="23" y="474"/>
                              </a:lnTo>
                              <a:lnTo>
                                <a:pt x="23" y="476"/>
                              </a:lnTo>
                              <a:lnTo>
                                <a:pt x="23" y="478"/>
                              </a:lnTo>
                              <a:lnTo>
                                <a:pt x="23" y="480"/>
                              </a:lnTo>
                              <a:lnTo>
                                <a:pt x="23" y="482"/>
                              </a:lnTo>
                              <a:lnTo>
                                <a:pt x="23" y="483"/>
                              </a:lnTo>
                              <a:lnTo>
                                <a:pt x="24" y="485"/>
                              </a:lnTo>
                              <a:lnTo>
                                <a:pt x="24" y="486"/>
                              </a:lnTo>
                              <a:lnTo>
                                <a:pt x="24" y="487"/>
                              </a:lnTo>
                              <a:lnTo>
                                <a:pt x="24" y="488"/>
                              </a:lnTo>
                              <a:lnTo>
                                <a:pt x="24" y="490"/>
                              </a:lnTo>
                              <a:lnTo>
                                <a:pt x="24" y="491"/>
                              </a:lnTo>
                              <a:lnTo>
                                <a:pt x="24" y="492"/>
                              </a:lnTo>
                              <a:lnTo>
                                <a:pt x="24" y="493"/>
                              </a:lnTo>
                              <a:lnTo>
                                <a:pt x="24" y="496"/>
                              </a:lnTo>
                              <a:lnTo>
                                <a:pt x="25" y="501"/>
                              </a:lnTo>
                              <a:lnTo>
                                <a:pt x="25" y="506"/>
                              </a:lnTo>
                              <a:lnTo>
                                <a:pt x="25" y="511"/>
                              </a:lnTo>
                              <a:lnTo>
                                <a:pt x="26" y="516"/>
                              </a:lnTo>
                              <a:lnTo>
                                <a:pt x="26" y="521"/>
                              </a:lnTo>
                              <a:lnTo>
                                <a:pt x="26" y="526"/>
                              </a:lnTo>
                              <a:lnTo>
                                <a:pt x="27" y="531"/>
                              </a:lnTo>
                              <a:lnTo>
                                <a:pt x="27" y="535"/>
                              </a:lnTo>
                              <a:lnTo>
                                <a:pt x="27" y="539"/>
                              </a:lnTo>
                              <a:lnTo>
                                <a:pt x="28" y="544"/>
                              </a:lnTo>
                              <a:lnTo>
                                <a:pt x="28" y="548"/>
                              </a:lnTo>
                              <a:lnTo>
                                <a:pt x="29" y="552"/>
                              </a:lnTo>
                              <a:lnTo>
                                <a:pt x="29" y="557"/>
                              </a:lnTo>
                              <a:lnTo>
                                <a:pt x="29" y="561"/>
                              </a:lnTo>
                              <a:lnTo>
                                <a:pt x="30" y="565"/>
                              </a:lnTo>
                              <a:lnTo>
                                <a:pt x="30" y="569"/>
                              </a:lnTo>
                              <a:lnTo>
                                <a:pt x="31" y="573"/>
                              </a:lnTo>
                              <a:lnTo>
                                <a:pt x="31" y="577"/>
                              </a:lnTo>
                              <a:lnTo>
                                <a:pt x="32" y="581"/>
                              </a:lnTo>
                              <a:lnTo>
                                <a:pt x="32" y="584"/>
                              </a:lnTo>
                              <a:lnTo>
                                <a:pt x="32" y="588"/>
                              </a:lnTo>
                              <a:lnTo>
                                <a:pt x="33" y="592"/>
                              </a:lnTo>
                              <a:lnTo>
                                <a:pt x="33" y="595"/>
                              </a:lnTo>
                              <a:lnTo>
                                <a:pt x="34" y="599"/>
                              </a:lnTo>
                              <a:lnTo>
                                <a:pt x="34" y="603"/>
                              </a:lnTo>
                              <a:lnTo>
                                <a:pt x="35" y="606"/>
                              </a:lnTo>
                              <a:lnTo>
                                <a:pt x="35" y="608"/>
                              </a:lnTo>
                              <a:lnTo>
                                <a:pt x="36" y="610"/>
                              </a:lnTo>
                              <a:lnTo>
                                <a:pt x="36" y="613"/>
                              </a:lnTo>
                              <a:lnTo>
                                <a:pt x="37" y="615"/>
                              </a:lnTo>
                              <a:lnTo>
                                <a:pt x="37" y="617"/>
                              </a:lnTo>
                              <a:lnTo>
                                <a:pt x="37" y="620"/>
                              </a:lnTo>
                              <a:lnTo>
                                <a:pt x="38" y="622"/>
                              </a:lnTo>
                              <a:lnTo>
                                <a:pt x="38" y="624"/>
                              </a:lnTo>
                              <a:lnTo>
                                <a:pt x="39" y="626"/>
                              </a:lnTo>
                              <a:lnTo>
                                <a:pt x="39" y="629"/>
                              </a:lnTo>
                              <a:lnTo>
                                <a:pt x="40" y="631"/>
                              </a:lnTo>
                              <a:lnTo>
                                <a:pt x="40" y="633"/>
                              </a:lnTo>
                              <a:lnTo>
                                <a:pt x="41" y="635"/>
                              </a:lnTo>
                              <a:lnTo>
                                <a:pt x="41" y="637"/>
                              </a:lnTo>
                              <a:lnTo>
                                <a:pt x="42" y="640"/>
                              </a:lnTo>
                              <a:lnTo>
                                <a:pt x="42" y="642"/>
                              </a:lnTo>
                              <a:lnTo>
                                <a:pt x="43" y="644"/>
                              </a:lnTo>
                              <a:lnTo>
                                <a:pt x="43" y="646"/>
                              </a:lnTo>
                              <a:lnTo>
                                <a:pt x="44" y="648"/>
                              </a:lnTo>
                              <a:lnTo>
                                <a:pt x="44" y="650"/>
                              </a:lnTo>
                              <a:lnTo>
                                <a:pt x="45" y="652"/>
                              </a:lnTo>
                              <a:lnTo>
                                <a:pt x="46" y="654"/>
                              </a:lnTo>
                              <a:lnTo>
                                <a:pt x="46" y="656"/>
                              </a:lnTo>
                              <a:lnTo>
                                <a:pt x="47" y="658"/>
                              </a:lnTo>
                              <a:lnTo>
                                <a:pt x="47" y="659"/>
                              </a:lnTo>
                              <a:lnTo>
                                <a:pt x="48" y="661"/>
                              </a:lnTo>
                              <a:lnTo>
                                <a:pt x="49" y="663"/>
                              </a:lnTo>
                              <a:lnTo>
                                <a:pt x="49" y="665"/>
                              </a:lnTo>
                              <a:lnTo>
                                <a:pt x="50" y="667"/>
                              </a:lnTo>
                              <a:lnTo>
                                <a:pt x="51" y="668"/>
                              </a:lnTo>
                              <a:lnTo>
                                <a:pt x="52" y="670"/>
                              </a:lnTo>
                              <a:lnTo>
                                <a:pt x="52" y="672"/>
                              </a:lnTo>
                              <a:lnTo>
                                <a:pt x="53" y="673"/>
                              </a:lnTo>
                              <a:lnTo>
                                <a:pt x="54" y="675"/>
                              </a:lnTo>
                              <a:lnTo>
                                <a:pt x="55" y="676"/>
                              </a:lnTo>
                              <a:lnTo>
                                <a:pt x="55" y="678"/>
                              </a:lnTo>
                              <a:lnTo>
                                <a:pt x="56" y="679"/>
                              </a:lnTo>
                              <a:lnTo>
                                <a:pt x="56" y="680"/>
                              </a:lnTo>
                              <a:lnTo>
                                <a:pt x="57" y="681"/>
                              </a:lnTo>
                              <a:lnTo>
                                <a:pt x="58" y="682"/>
                              </a:lnTo>
                              <a:lnTo>
                                <a:pt x="58" y="683"/>
                              </a:lnTo>
                              <a:lnTo>
                                <a:pt x="59" y="684"/>
                              </a:lnTo>
                              <a:lnTo>
                                <a:pt x="60" y="685"/>
                              </a:lnTo>
                              <a:lnTo>
                                <a:pt x="61" y="686"/>
                              </a:lnTo>
                              <a:lnTo>
                                <a:pt x="61" y="687"/>
                              </a:lnTo>
                              <a:lnTo>
                                <a:pt x="62" y="688"/>
                              </a:lnTo>
                              <a:lnTo>
                                <a:pt x="62" y="688"/>
                              </a:lnTo>
                              <a:lnTo>
                                <a:pt x="62" y="689"/>
                              </a:lnTo>
                              <a:lnTo>
                                <a:pt x="63" y="689"/>
                              </a:lnTo>
                              <a:lnTo>
                                <a:pt x="63" y="689"/>
                              </a:lnTo>
                              <a:lnTo>
                                <a:pt x="63" y="690"/>
                              </a:lnTo>
                              <a:lnTo>
                                <a:pt x="64" y="690"/>
                              </a:lnTo>
                              <a:lnTo>
                                <a:pt x="65" y="692"/>
                              </a:lnTo>
                              <a:lnTo>
                                <a:pt x="66" y="693"/>
                              </a:lnTo>
                              <a:lnTo>
                                <a:pt x="67" y="694"/>
                              </a:lnTo>
                              <a:lnTo>
                                <a:pt x="68" y="695"/>
                              </a:lnTo>
                              <a:lnTo>
                                <a:pt x="69" y="696"/>
                              </a:lnTo>
                              <a:lnTo>
                                <a:pt x="70" y="698"/>
                              </a:lnTo>
                              <a:lnTo>
                                <a:pt x="71" y="699"/>
                              </a:lnTo>
                              <a:lnTo>
                                <a:pt x="73" y="701"/>
                              </a:lnTo>
                              <a:lnTo>
                                <a:pt x="75" y="702"/>
                              </a:lnTo>
                              <a:lnTo>
                                <a:pt x="77" y="704"/>
                              </a:lnTo>
                              <a:lnTo>
                                <a:pt x="79" y="706"/>
                              </a:lnTo>
                              <a:lnTo>
                                <a:pt x="80" y="708"/>
                              </a:lnTo>
                              <a:lnTo>
                                <a:pt x="82" y="709"/>
                              </a:lnTo>
                              <a:lnTo>
                                <a:pt x="83" y="710"/>
                              </a:lnTo>
                              <a:lnTo>
                                <a:pt x="85" y="712"/>
                              </a:lnTo>
                              <a:lnTo>
                                <a:pt x="86" y="713"/>
                              </a:lnTo>
                              <a:lnTo>
                                <a:pt x="87" y="714"/>
                              </a:lnTo>
                              <a:lnTo>
                                <a:pt x="88" y="714"/>
                              </a:lnTo>
                              <a:lnTo>
                                <a:pt x="89" y="715"/>
                              </a:lnTo>
                              <a:lnTo>
                                <a:pt x="90" y="716"/>
                              </a:lnTo>
                              <a:lnTo>
                                <a:pt x="91" y="717"/>
                              </a:lnTo>
                              <a:lnTo>
                                <a:pt x="92" y="718"/>
                              </a:lnTo>
                              <a:lnTo>
                                <a:pt x="93" y="718"/>
                              </a:lnTo>
                              <a:lnTo>
                                <a:pt x="94" y="719"/>
                              </a:lnTo>
                              <a:lnTo>
                                <a:pt x="95" y="719"/>
                              </a:lnTo>
                              <a:lnTo>
                                <a:pt x="97" y="720"/>
                              </a:lnTo>
                              <a:lnTo>
                                <a:pt x="98" y="721"/>
                              </a:lnTo>
                              <a:lnTo>
                                <a:pt x="99" y="721"/>
                              </a:lnTo>
                              <a:lnTo>
                                <a:pt x="100" y="722"/>
                              </a:lnTo>
                              <a:lnTo>
                                <a:pt x="101" y="722"/>
                              </a:lnTo>
                              <a:lnTo>
                                <a:pt x="101" y="722"/>
                              </a:lnTo>
                              <a:lnTo>
                                <a:pt x="103" y="723"/>
                              </a:lnTo>
                              <a:lnTo>
                                <a:pt x="104" y="723"/>
                              </a:lnTo>
                              <a:lnTo>
                                <a:pt x="105" y="724"/>
                              </a:lnTo>
                              <a:lnTo>
                                <a:pt x="106" y="724"/>
                              </a:lnTo>
                              <a:lnTo>
                                <a:pt x="107" y="725"/>
                              </a:lnTo>
                              <a:lnTo>
                                <a:pt x="109" y="725"/>
                              </a:lnTo>
                              <a:lnTo>
                                <a:pt x="110" y="725"/>
                              </a:lnTo>
                              <a:lnTo>
                                <a:pt x="111" y="726"/>
                              </a:lnTo>
                              <a:lnTo>
                                <a:pt x="112" y="726"/>
                              </a:lnTo>
                              <a:lnTo>
                                <a:pt x="114" y="726"/>
                              </a:lnTo>
                              <a:lnTo>
                                <a:pt x="115" y="726"/>
                              </a:lnTo>
                              <a:lnTo>
                                <a:pt x="117" y="727"/>
                              </a:lnTo>
                              <a:lnTo>
                                <a:pt x="118" y="727"/>
                              </a:lnTo>
                              <a:lnTo>
                                <a:pt x="119" y="727"/>
                              </a:lnTo>
                              <a:lnTo>
                                <a:pt x="121" y="727"/>
                              </a:lnTo>
                              <a:lnTo>
                                <a:pt x="122" y="727"/>
                              </a:lnTo>
                              <a:lnTo>
                                <a:pt x="124" y="727"/>
                              </a:lnTo>
                              <a:lnTo>
                                <a:pt x="125" y="727"/>
                              </a:lnTo>
                              <a:lnTo>
                                <a:pt x="127" y="727"/>
                              </a:lnTo>
                              <a:lnTo>
                                <a:pt x="128" y="727"/>
                              </a:lnTo>
                              <a:lnTo>
                                <a:pt x="129" y="727"/>
                              </a:lnTo>
                              <a:lnTo>
                                <a:pt x="130" y="727"/>
                              </a:lnTo>
                              <a:lnTo>
                                <a:pt x="131" y="727"/>
                              </a:lnTo>
                              <a:lnTo>
                                <a:pt x="132" y="727"/>
                              </a:lnTo>
                              <a:lnTo>
                                <a:pt x="133" y="727"/>
                              </a:lnTo>
                              <a:lnTo>
                                <a:pt x="134" y="727"/>
                              </a:lnTo>
                              <a:lnTo>
                                <a:pt x="134" y="727"/>
                              </a:lnTo>
                              <a:lnTo>
                                <a:pt x="135" y="727"/>
                              </a:lnTo>
                              <a:lnTo>
                                <a:pt x="136" y="727"/>
                              </a:lnTo>
                              <a:lnTo>
                                <a:pt x="136" y="727"/>
                              </a:lnTo>
                              <a:lnTo>
                                <a:pt x="136" y="727"/>
                              </a:lnTo>
                              <a:lnTo>
                                <a:pt x="137" y="727"/>
                              </a:lnTo>
                              <a:lnTo>
                                <a:pt x="137" y="727"/>
                              </a:lnTo>
                              <a:lnTo>
                                <a:pt x="138" y="727"/>
                              </a:lnTo>
                              <a:lnTo>
                                <a:pt x="138" y="727"/>
                              </a:lnTo>
                              <a:lnTo>
                                <a:pt x="139" y="727"/>
                              </a:lnTo>
                              <a:lnTo>
                                <a:pt x="139" y="726"/>
                              </a:lnTo>
                              <a:lnTo>
                                <a:pt x="140" y="726"/>
                              </a:lnTo>
                              <a:lnTo>
                                <a:pt x="141" y="726"/>
                              </a:lnTo>
                              <a:lnTo>
                                <a:pt x="141" y="726"/>
                              </a:lnTo>
                              <a:lnTo>
                                <a:pt x="142" y="725"/>
                              </a:lnTo>
                              <a:lnTo>
                                <a:pt x="143" y="725"/>
                              </a:lnTo>
                              <a:lnTo>
                                <a:pt x="143" y="724"/>
                              </a:lnTo>
                              <a:lnTo>
                                <a:pt x="144" y="724"/>
                              </a:lnTo>
                              <a:lnTo>
                                <a:pt x="145" y="723"/>
                              </a:lnTo>
                              <a:lnTo>
                                <a:pt x="146" y="723"/>
                              </a:lnTo>
                              <a:lnTo>
                                <a:pt x="147" y="722"/>
                              </a:lnTo>
                              <a:lnTo>
                                <a:pt x="148" y="721"/>
                              </a:lnTo>
                              <a:lnTo>
                                <a:pt x="149" y="720"/>
                              </a:lnTo>
                              <a:lnTo>
                                <a:pt x="150" y="719"/>
                              </a:lnTo>
                              <a:lnTo>
                                <a:pt x="151" y="719"/>
                              </a:lnTo>
                              <a:lnTo>
                                <a:pt x="152" y="718"/>
                              </a:lnTo>
                              <a:lnTo>
                                <a:pt x="153" y="718"/>
                              </a:lnTo>
                              <a:lnTo>
                                <a:pt x="153" y="717"/>
                              </a:lnTo>
                              <a:lnTo>
                                <a:pt x="154" y="717"/>
                              </a:lnTo>
                              <a:lnTo>
                                <a:pt x="155" y="716"/>
                              </a:lnTo>
                              <a:lnTo>
                                <a:pt x="155" y="716"/>
                              </a:lnTo>
                              <a:lnTo>
                                <a:pt x="156" y="716"/>
                              </a:lnTo>
                              <a:lnTo>
                                <a:pt x="156" y="716"/>
                              </a:lnTo>
                              <a:lnTo>
                                <a:pt x="157" y="716"/>
                              </a:lnTo>
                              <a:lnTo>
                                <a:pt x="157" y="716"/>
                              </a:lnTo>
                              <a:lnTo>
                                <a:pt x="158" y="715"/>
                              </a:lnTo>
                              <a:lnTo>
                                <a:pt x="159" y="715"/>
                              </a:lnTo>
                              <a:lnTo>
                                <a:pt x="159" y="715"/>
                              </a:lnTo>
                              <a:lnTo>
                                <a:pt x="160" y="715"/>
                              </a:lnTo>
                              <a:lnTo>
                                <a:pt x="160" y="716"/>
                              </a:lnTo>
                              <a:lnTo>
                                <a:pt x="161" y="716"/>
                              </a:lnTo>
                              <a:lnTo>
                                <a:pt x="161" y="716"/>
                              </a:lnTo>
                              <a:lnTo>
                                <a:pt x="162" y="716"/>
                              </a:lnTo>
                              <a:lnTo>
                                <a:pt x="163" y="716"/>
                              </a:lnTo>
                              <a:lnTo>
                                <a:pt x="163" y="716"/>
                              </a:lnTo>
                              <a:lnTo>
                                <a:pt x="164" y="717"/>
                              </a:lnTo>
                              <a:lnTo>
                                <a:pt x="165" y="717"/>
                              </a:lnTo>
                              <a:lnTo>
                                <a:pt x="166" y="717"/>
                              </a:lnTo>
                              <a:lnTo>
                                <a:pt x="166" y="718"/>
                              </a:lnTo>
                              <a:lnTo>
                                <a:pt x="168" y="718"/>
                              </a:lnTo>
                              <a:lnTo>
                                <a:pt x="169" y="719"/>
                              </a:lnTo>
                              <a:lnTo>
                                <a:pt x="170" y="720"/>
                              </a:lnTo>
                              <a:lnTo>
                                <a:pt x="171" y="720"/>
                              </a:lnTo>
                              <a:lnTo>
                                <a:pt x="172" y="721"/>
                              </a:lnTo>
                              <a:lnTo>
                                <a:pt x="173" y="721"/>
                              </a:lnTo>
                              <a:lnTo>
                                <a:pt x="173" y="721"/>
                              </a:lnTo>
                              <a:lnTo>
                                <a:pt x="174" y="721"/>
                              </a:lnTo>
                              <a:lnTo>
                                <a:pt x="174" y="721"/>
                              </a:lnTo>
                              <a:lnTo>
                                <a:pt x="174" y="722"/>
                              </a:lnTo>
                              <a:lnTo>
                                <a:pt x="175" y="722"/>
                              </a:lnTo>
                              <a:lnTo>
                                <a:pt x="176" y="722"/>
                              </a:lnTo>
                              <a:lnTo>
                                <a:pt x="177" y="723"/>
                              </a:lnTo>
                              <a:lnTo>
                                <a:pt x="179" y="723"/>
                              </a:lnTo>
                              <a:lnTo>
                                <a:pt x="180" y="723"/>
                              </a:lnTo>
                              <a:lnTo>
                                <a:pt x="182" y="724"/>
                              </a:lnTo>
                              <a:lnTo>
                                <a:pt x="183" y="724"/>
                              </a:lnTo>
                              <a:lnTo>
                                <a:pt x="185" y="725"/>
                              </a:lnTo>
                              <a:lnTo>
                                <a:pt x="187" y="725"/>
                              </a:lnTo>
                              <a:lnTo>
                                <a:pt x="189" y="725"/>
                              </a:lnTo>
                              <a:lnTo>
                                <a:pt x="191" y="726"/>
                              </a:lnTo>
                              <a:lnTo>
                                <a:pt x="192" y="726"/>
                              </a:lnTo>
                              <a:lnTo>
                                <a:pt x="194" y="726"/>
                              </a:lnTo>
                              <a:lnTo>
                                <a:pt x="195" y="727"/>
                              </a:lnTo>
                              <a:lnTo>
                                <a:pt x="197" y="727"/>
                              </a:lnTo>
                              <a:lnTo>
                                <a:pt x="199" y="727"/>
                              </a:lnTo>
                              <a:lnTo>
                                <a:pt x="200" y="727"/>
                              </a:lnTo>
                              <a:lnTo>
                                <a:pt x="202" y="727"/>
                              </a:lnTo>
                              <a:lnTo>
                                <a:pt x="204" y="727"/>
                              </a:lnTo>
                              <a:lnTo>
                                <a:pt x="207" y="727"/>
                              </a:lnTo>
                              <a:lnTo>
                                <a:pt x="210" y="727"/>
                              </a:lnTo>
                              <a:lnTo>
                                <a:pt x="213" y="727"/>
                              </a:lnTo>
                              <a:lnTo>
                                <a:pt x="215" y="727"/>
                              </a:lnTo>
                              <a:lnTo>
                                <a:pt x="219" y="728"/>
                              </a:lnTo>
                              <a:lnTo>
                                <a:pt x="223" y="728"/>
                              </a:lnTo>
                              <a:lnTo>
                                <a:pt x="227" y="728"/>
                              </a:lnTo>
                              <a:lnTo>
                                <a:pt x="232" y="728"/>
                              </a:lnTo>
                              <a:lnTo>
                                <a:pt x="235" y="728"/>
                              </a:lnTo>
                              <a:lnTo>
                                <a:pt x="238" y="728"/>
                              </a:lnTo>
                              <a:lnTo>
                                <a:pt x="241" y="728"/>
                              </a:lnTo>
                              <a:lnTo>
                                <a:pt x="244" y="727"/>
                              </a:lnTo>
                              <a:lnTo>
                                <a:pt x="245" y="727"/>
                              </a:lnTo>
                              <a:lnTo>
                                <a:pt x="247" y="727"/>
                              </a:lnTo>
                              <a:lnTo>
                                <a:pt x="248" y="727"/>
                              </a:lnTo>
                              <a:lnTo>
                                <a:pt x="249" y="727"/>
                              </a:lnTo>
                              <a:lnTo>
                                <a:pt x="251" y="727"/>
                              </a:lnTo>
                              <a:lnTo>
                                <a:pt x="253" y="727"/>
                              </a:lnTo>
                              <a:lnTo>
                                <a:pt x="256" y="727"/>
                              </a:lnTo>
                              <a:lnTo>
                                <a:pt x="258" y="726"/>
                              </a:lnTo>
                              <a:lnTo>
                                <a:pt x="260" y="726"/>
                              </a:lnTo>
                              <a:lnTo>
                                <a:pt x="263" y="726"/>
                              </a:lnTo>
                              <a:lnTo>
                                <a:pt x="267" y="725"/>
                              </a:lnTo>
                              <a:lnTo>
                                <a:pt x="270" y="725"/>
                              </a:lnTo>
                              <a:lnTo>
                                <a:pt x="273" y="725"/>
                              </a:lnTo>
                              <a:lnTo>
                                <a:pt x="276" y="724"/>
                              </a:lnTo>
                              <a:lnTo>
                                <a:pt x="278" y="724"/>
                              </a:lnTo>
                              <a:lnTo>
                                <a:pt x="280" y="724"/>
                              </a:lnTo>
                              <a:lnTo>
                                <a:pt x="282" y="723"/>
                              </a:lnTo>
                              <a:lnTo>
                                <a:pt x="283" y="723"/>
                              </a:lnTo>
                              <a:lnTo>
                                <a:pt x="284" y="723"/>
                              </a:lnTo>
                              <a:lnTo>
                                <a:pt x="284" y="723"/>
                              </a:lnTo>
                              <a:lnTo>
                                <a:pt x="285" y="723"/>
                              </a:lnTo>
                              <a:lnTo>
                                <a:pt x="286" y="723"/>
                              </a:lnTo>
                              <a:lnTo>
                                <a:pt x="286" y="723"/>
                              </a:lnTo>
                              <a:lnTo>
                                <a:pt x="287" y="722"/>
                              </a:lnTo>
                              <a:lnTo>
                                <a:pt x="288" y="722"/>
                              </a:lnTo>
                              <a:lnTo>
                                <a:pt x="289" y="722"/>
                              </a:lnTo>
                              <a:lnTo>
                                <a:pt x="291" y="722"/>
                              </a:lnTo>
                              <a:lnTo>
                                <a:pt x="293" y="721"/>
                              </a:lnTo>
                              <a:lnTo>
                                <a:pt x="295" y="721"/>
                              </a:lnTo>
                              <a:lnTo>
                                <a:pt x="297" y="720"/>
                              </a:lnTo>
                              <a:lnTo>
                                <a:pt x="298" y="720"/>
                              </a:lnTo>
                              <a:lnTo>
                                <a:pt x="300" y="719"/>
                              </a:lnTo>
                              <a:lnTo>
                                <a:pt x="302" y="719"/>
                              </a:lnTo>
                              <a:lnTo>
                                <a:pt x="303" y="718"/>
                              </a:lnTo>
                              <a:lnTo>
                                <a:pt x="305" y="718"/>
                              </a:lnTo>
                              <a:lnTo>
                                <a:pt x="307" y="717"/>
                              </a:lnTo>
                              <a:lnTo>
                                <a:pt x="308" y="716"/>
                              </a:lnTo>
                              <a:lnTo>
                                <a:pt x="309" y="716"/>
                              </a:lnTo>
                              <a:lnTo>
                                <a:pt x="311" y="715"/>
                              </a:lnTo>
                              <a:lnTo>
                                <a:pt x="312" y="715"/>
                              </a:lnTo>
                              <a:lnTo>
                                <a:pt x="313" y="714"/>
                              </a:lnTo>
                              <a:lnTo>
                                <a:pt x="314" y="714"/>
                              </a:lnTo>
                              <a:lnTo>
                                <a:pt x="315" y="714"/>
                              </a:lnTo>
                              <a:lnTo>
                                <a:pt x="315" y="713"/>
                              </a:lnTo>
                              <a:lnTo>
                                <a:pt x="316" y="713"/>
                              </a:lnTo>
                              <a:lnTo>
                                <a:pt x="317" y="713"/>
                              </a:lnTo>
                              <a:lnTo>
                                <a:pt x="317" y="712"/>
                              </a:lnTo>
                              <a:lnTo>
                                <a:pt x="318" y="712"/>
                              </a:lnTo>
                              <a:lnTo>
                                <a:pt x="318" y="712"/>
                              </a:lnTo>
                              <a:lnTo>
                                <a:pt x="318" y="712"/>
                              </a:lnTo>
                              <a:lnTo>
                                <a:pt x="318" y="712"/>
                              </a:lnTo>
                              <a:lnTo>
                                <a:pt x="318" y="711"/>
                              </a:lnTo>
                              <a:lnTo>
                                <a:pt x="319" y="711"/>
                              </a:lnTo>
                              <a:lnTo>
                                <a:pt x="319" y="711"/>
                              </a:lnTo>
                              <a:lnTo>
                                <a:pt x="319" y="711"/>
                              </a:lnTo>
                              <a:lnTo>
                                <a:pt x="319" y="711"/>
                              </a:lnTo>
                              <a:lnTo>
                                <a:pt x="319" y="711"/>
                              </a:lnTo>
                              <a:lnTo>
                                <a:pt x="319" y="711"/>
                              </a:lnTo>
                              <a:lnTo>
                                <a:pt x="319" y="711"/>
                              </a:lnTo>
                              <a:lnTo>
                                <a:pt x="319" y="711"/>
                              </a:lnTo>
                              <a:lnTo>
                                <a:pt x="319" y="711"/>
                              </a:lnTo>
                              <a:lnTo>
                                <a:pt x="320" y="711"/>
                              </a:lnTo>
                              <a:lnTo>
                                <a:pt x="320" y="711"/>
                              </a:lnTo>
                              <a:lnTo>
                                <a:pt x="320" y="711"/>
                              </a:lnTo>
                              <a:lnTo>
                                <a:pt x="320" y="710"/>
                              </a:lnTo>
                              <a:lnTo>
                                <a:pt x="320" y="710"/>
                              </a:lnTo>
                              <a:lnTo>
                                <a:pt x="320" y="710"/>
                              </a:lnTo>
                              <a:lnTo>
                                <a:pt x="320" y="710"/>
                              </a:lnTo>
                              <a:lnTo>
                                <a:pt x="321" y="710"/>
                              </a:lnTo>
                              <a:lnTo>
                                <a:pt x="321" y="710"/>
                              </a:lnTo>
                              <a:lnTo>
                                <a:pt x="321" y="709"/>
                              </a:lnTo>
                              <a:lnTo>
                                <a:pt x="322" y="709"/>
                              </a:lnTo>
                              <a:lnTo>
                                <a:pt x="322" y="708"/>
                              </a:lnTo>
                              <a:lnTo>
                                <a:pt x="323" y="708"/>
                              </a:lnTo>
                              <a:lnTo>
                                <a:pt x="323" y="707"/>
                              </a:lnTo>
                              <a:lnTo>
                                <a:pt x="323" y="707"/>
                              </a:lnTo>
                              <a:lnTo>
                                <a:pt x="324" y="706"/>
                              </a:lnTo>
                              <a:lnTo>
                                <a:pt x="324" y="706"/>
                              </a:lnTo>
                              <a:lnTo>
                                <a:pt x="324" y="705"/>
                              </a:lnTo>
                              <a:lnTo>
                                <a:pt x="324" y="705"/>
                              </a:lnTo>
                              <a:lnTo>
                                <a:pt x="325" y="704"/>
                              </a:lnTo>
                              <a:lnTo>
                                <a:pt x="325" y="704"/>
                              </a:lnTo>
                              <a:lnTo>
                                <a:pt x="325" y="703"/>
                              </a:lnTo>
                              <a:lnTo>
                                <a:pt x="326" y="702"/>
                              </a:lnTo>
                              <a:lnTo>
                                <a:pt x="326" y="702"/>
                              </a:lnTo>
                              <a:lnTo>
                                <a:pt x="326" y="701"/>
                              </a:lnTo>
                              <a:lnTo>
                                <a:pt x="326" y="700"/>
                              </a:lnTo>
                              <a:lnTo>
                                <a:pt x="327" y="700"/>
                              </a:lnTo>
                              <a:lnTo>
                                <a:pt x="327" y="699"/>
                              </a:lnTo>
                              <a:lnTo>
                                <a:pt x="327" y="698"/>
                              </a:lnTo>
                              <a:lnTo>
                                <a:pt x="327" y="698"/>
                              </a:lnTo>
                              <a:lnTo>
                                <a:pt x="328" y="697"/>
                              </a:lnTo>
                              <a:lnTo>
                                <a:pt x="328" y="696"/>
                              </a:lnTo>
                              <a:lnTo>
                                <a:pt x="328" y="695"/>
                              </a:lnTo>
                              <a:lnTo>
                                <a:pt x="328" y="694"/>
                              </a:lnTo>
                              <a:lnTo>
                                <a:pt x="328" y="694"/>
                              </a:lnTo>
                              <a:lnTo>
                                <a:pt x="329" y="693"/>
                              </a:lnTo>
                              <a:lnTo>
                                <a:pt x="329" y="692"/>
                              </a:lnTo>
                              <a:lnTo>
                                <a:pt x="329" y="691"/>
                              </a:lnTo>
                              <a:lnTo>
                                <a:pt x="329" y="690"/>
                              </a:lnTo>
                              <a:lnTo>
                                <a:pt x="329" y="689"/>
                              </a:lnTo>
                              <a:lnTo>
                                <a:pt x="330" y="688"/>
                              </a:lnTo>
                              <a:lnTo>
                                <a:pt x="330" y="686"/>
                              </a:lnTo>
                              <a:lnTo>
                                <a:pt x="330" y="685"/>
                              </a:lnTo>
                              <a:lnTo>
                                <a:pt x="330" y="684"/>
                              </a:lnTo>
                              <a:lnTo>
                                <a:pt x="330" y="683"/>
                              </a:lnTo>
                              <a:lnTo>
                                <a:pt x="331" y="682"/>
                              </a:lnTo>
                              <a:lnTo>
                                <a:pt x="331" y="681"/>
                              </a:lnTo>
                              <a:lnTo>
                                <a:pt x="331" y="680"/>
                              </a:lnTo>
                              <a:lnTo>
                                <a:pt x="331" y="679"/>
                              </a:lnTo>
                              <a:lnTo>
                                <a:pt x="331" y="678"/>
                              </a:lnTo>
                              <a:lnTo>
                                <a:pt x="332" y="676"/>
                              </a:lnTo>
                              <a:lnTo>
                                <a:pt x="332" y="675"/>
                              </a:lnTo>
                              <a:lnTo>
                                <a:pt x="332" y="673"/>
                              </a:lnTo>
                              <a:lnTo>
                                <a:pt x="332" y="670"/>
                              </a:lnTo>
                              <a:lnTo>
                                <a:pt x="333" y="668"/>
                              </a:lnTo>
                              <a:lnTo>
                                <a:pt x="333" y="666"/>
                              </a:lnTo>
                              <a:lnTo>
                                <a:pt x="333" y="664"/>
                              </a:lnTo>
                              <a:lnTo>
                                <a:pt x="333" y="661"/>
                              </a:lnTo>
                              <a:lnTo>
                                <a:pt x="334" y="659"/>
                              </a:lnTo>
                              <a:lnTo>
                                <a:pt x="334" y="656"/>
                              </a:lnTo>
                              <a:lnTo>
                                <a:pt x="334" y="653"/>
                              </a:lnTo>
                              <a:lnTo>
                                <a:pt x="335" y="650"/>
                              </a:lnTo>
                              <a:lnTo>
                                <a:pt x="335" y="648"/>
                              </a:lnTo>
                              <a:lnTo>
                                <a:pt x="335" y="645"/>
                              </a:lnTo>
                              <a:lnTo>
                                <a:pt x="336" y="642"/>
                              </a:lnTo>
                              <a:lnTo>
                                <a:pt x="336" y="639"/>
                              </a:lnTo>
                              <a:lnTo>
                                <a:pt x="336" y="636"/>
                              </a:lnTo>
                              <a:lnTo>
                                <a:pt x="336" y="632"/>
                              </a:lnTo>
                              <a:lnTo>
                                <a:pt x="337" y="628"/>
                              </a:lnTo>
                              <a:lnTo>
                                <a:pt x="337" y="625"/>
                              </a:lnTo>
                              <a:lnTo>
                                <a:pt x="337" y="621"/>
                              </a:lnTo>
                              <a:lnTo>
                                <a:pt x="338" y="616"/>
                              </a:lnTo>
                              <a:lnTo>
                                <a:pt x="338" y="612"/>
                              </a:lnTo>
                              <a:lnTo>
                                <a:pt x="339" y="606"/>
                              </a:lnTo>
                              <a:lnTo>
                                <a:pt x="339" y="600"/>
                              </a:lnTo>
                              <a:lnTo>
                                <a:pt x="340" y="590"/>
                              </a:lnTo>
                              <a:lnTo>
                                <a:pt x="341" y="578"/>
                              </a:lnTo>
                              <a:lnTo>
                                <a:pt x="342" y="567"/>
                              </a:lnTo>
                              <a:lnTo>
                                <a:pt x="342" y="559"/>
                              </a:lnTo>
                              <a:lnTo>
                                <a:pt x="343" y="552"/>
                              </a:lnTo>
                              <a:lnTo>
                                <a:pt x="343" y="546"/>
                              </a:lnTo>
                              <a:lnTo>
                                <a:pt x="344" y="540"/>
                              </a:lnTo>
                              <a:lnTo>
                                <a:pt x="344" y="534"/>
                              </a:lnTo>
                              <a:lnTo>
                                <a:pt x="345" y="530"/>
                              </a:lnTo>
                              <a:lnTo>
                                <a:pt x="345" y="525"/>
                              </a:lnTo>
                              <a:lnTo>
                                <a:pt x="346" y="521"/>
                              </a:lnTo>
                              <a:lnTo>
                                <a:pt x="346" y="518"/>
                              </a:lnTo>
                              <a:lnTo>
                                <a:pt x="346" y="514"/>
                              </a:lnTo>
                              <a:lnTo>
                                <a:pt x="347" y="511"/>
                              </a:lnTo>
                              <a:lnTo>
                                <a:pt x="347" y="508"/>
                              </a:lnTo>
                              <a:lnTo>
                                <a:pt x="347" y="505"/>
                              </a:lnTo>
                              <a:lnTo>
                                <a:pt x="348" y="502"/>
                              </a:lnTo>
                              <a:lnTo>
                                <a:pt x="348" y="500"/>
                              </a:lnTo>
                              <a:lnTo>
                                <a:pt x="348" y="497"/>
                              </a:lnTo>
                              <a:lnTo>
                                <a:pt x="349" y="495"/>
                              </a:lnTo>
                              <a:lnTo>
                                <a:pt x="349" y="493"/>
                              </a:lnTo>
                              <a:lnTo>
                                <a:pt x="349" y="491"/>
                              </a:lnTo>
                              <a:lnTo>
                                <a:pt x="350" y="490"/>
                              </a:lnTo>
                              <a:lnTo>
                                <a:pt x="350" y="488"/>
                              </a:lnTo>
                              <a:lnTo>
                                <a:pt x="350" y="487"/>
                              </a:lnTo>
                              <a:lnTo>
                                <a:pt x="350" y="485"/>
                              </a:lnTo>
                              <a:lnTo>
                                <a:pt x="351" y="484"/>
                              </a:lnTo>
                              <a:lnTo>
                                <a:pt x="351" y="483"/>
                              </a:lnTo>
                              <a:lnTo>
                                <a:pt x="351" y="482"/>
                              </a:lnTo>
                              <a:lnTo>
                                <a:pt x="352" y="482"/>
                              </a:lnTo>
                              <a:lnTo>
                                <a:pt x="352" y="481"/>
                              </a:lnTo>
                              <a:lnTo>
                                <a:pt x="352" y="481"/>
                              </a:lnTo>
                              <a:lnTo>
                                <a:pt x="353" y="481"/>
                              </a:lnTo>
                              <a:lnTo>
                                <a:pt x="353" y="481"/>
                              </a:lnTo>
                              <a:lnTo>
                                <a:pt x="353" y="481"/>
                              </a:lnTo>
                              <a:lnTo>
                                <a:pt x="354" y="481"/>
                              </a:lnTo>
                              <a:lnTo>
                                <a:pt x="354" y="481"/>
                              </a:lnTo>
                              <a:lnTo>
                                <a:pt x="354" y="482"/>
                              </a:lnTo>
                              <a:lnTo>
                                <a:pt x="355" y="482"/>
                              </a:lnTo>
                              <a:lnTo>
                                <a:pt x="355" y="483"/>
                              </a:lnTo>
                              <a:lnTo>
                                <a:pt x="355" y="484"/>
                              </a:lnTo>
                              <a:lnTo>
                                <a:pt x="356" y="484"/>
                              </a:lnTo>
                              <a:lnTo>
                                <a:pt x="356" y="485"/>
                              </a:lnTo>
                              <a:lnTo>
                                <a:pt x="356" y="486"/>
                              </a:lnTo>
                              <a:lnTo>
                                <a:pt x="356" y="486"/>
                              </a:lnTo>
                              <a:lnTo>
                                <a:pt x="356" y="487"/>
                              </a:lnTo>
                              <a:lnTo>
                                <a:pt x="357" y="488"/>
                              </a:lnTo>
                              <a:lnTo>
                                <a:pt x="357" y="488"/>
                              </a:lnTo>
                              <a:lnTo>
                                <a:pt x="357" y="489"/>
                              </a:lnTo>
                              <a:lnTo>
                                <a:pt x="357" y="490"/>
                              </a:lnTo>
                              <a:lnTo>
                                <a:pt x="357" y="490"/>
                              </a:lnTo>
                              <a:lnTo>
                                <a:pt x="357" y="491"/>
                              </a:lnTo>
                              <a:lnTo>
                                <a:pt x="358" y="492"/>
                              </a:lnTo>
                              <a:lnTo>
                                <a:pt x="358" y="494"/>
                              </a:lnTo>
                              <a:lnTo>
                                <a:pt x="358" y="496"/>
                              </a:lnTo>
                              <a:lnTo>
                                <a:pt x="359" y="499"/>
                              </a:lnTo>
                              <a:lnTo>
                                <a:pt x="359" y="502"/>
                              </a:lnTo>
                              <a:lnTo>
                                <a:pt x="360" y="505"/>
                              </a:lnTo>
                              <a:lnTo>
                                <a:pt x="361" y="509"/>
                              </a:lnTo>
                              <a:lnTo>
                                <a:pt x="361" y="513"/>
                              </a:lnTo>
                              <a:lnTo>
                                <a:pt x="362" y="518"/>
                              </a:lnTo>
                              <a:lnTo>
                                <a:pt x="363" y="523"/>
                              </a:lnTo>
                              <a:lnTo>
                                <a:pt x="364" y="529"/>
                              </a:lnTo>
                              <a:lnTo>
                                <a:pt x="365" y="537"/>
                              </a:lnTo>
                              <a:lnTo>
                                <a:pt x="366" y="548"/>
                              </a:lnTo>
                              <a:lnTo>
                                <a:pt x="368" y="559"/>
                              </a:lnTo>
                              <a:lnTo>
                                <a:pt x="369" y="568"/>
                              </a:lnTo>
                              <a:lnTo>
                                <a:pt x="370" y="575"/>
                              </a:lnTo>
                              <a:lnTo>
                                <a:pt x="371" y="581"/>
                              </a:lnTo>
                              <a:lnTo>
                                <a:pt x="372" y="587"/>
                              </a:lnTo>
                              <a:lnTo>
                                <a:pt x="373" y="592"/>
                              </a:lnTo>
                              <a:lnTo>
                                <a:pt x="374" y="597"/>
                              </a:lnTo>
                              <a:lnTo>
                                <a:pt x="375" y="602"/>
                              </a:lnTo>
                              <a:lnTo>
                                <a:pt x="375" y="606"/>
                              </a:lnTo>
                              <a:lnTo>
                                <a:pt x="376" y="609"/>
                              </a:lnTo>
                              <a:lnTo>
                                <a:pt x="376" y="612"/>
                              </a:lnTo>
                              <a:lnTo>
                                <a:pt x="377" y="614"/>
                              </a:lnTo>
                              <a:lnTo>
                                <a:pt x="377" y="617"/>
                              </a:lnTo>
                              <a:lnTo>
                                <a:pt x="378" y="620"/>
                              </a:lnTo>
                              <a:lnTo>
                                <a:pt x="378" y="623"/>
                              </a:lnTo>
                              <a:lnTo>
                                <a:pt x="379" y="625"/>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19" name="Freeform 295"/>
                        <a:cNvSpPr>
                          <a:spLocks/>
                        </a:cNvSpPr>
                      </a:nvSpPr>
                      <a:spPr bwMode="auto">
                        <a:xfrm>
                          <a:off x="4583113" y="9178117"/>
                          <a:ext cx="2528888" cy="154288"/>
                        </a:xfrm>
                        <a:custGeom>
                          <a:avLst/>
                          <a:gdLst/>
                          <a:ahLst/>
                          <a:cxnLst>
                            <a:cxn ang="0">
                              <a:pos x="4" y="16"/>
                            </a:cxn>
                            <a:cxn ang="0">
                              <a:pos x="8" y="30"/>
                            </a:cxn>
                            <a:cxn ang="0">
                              <a:pos x="14" y="41"/>
                            </a:cxn>
                            <a:cxn ang="0">
                              <a:pos x="21" y="50"/>
                            </a:cxn>
                            <a:cxn ang="0">
                              <a:pos x="27" y="54"/>
                            </a:cxn>
                            <a:cxn ang="0">
                              <a:pos x="37" y="58"/>
                            </a:cxn>
                            <a:cxn ang="0">
                              <a:pos x="53" y="61"/>
                            </a:cxn>
                            <a:cxn ang="0">
                              <a:pos x="77" y="67"/>
                            </a:cxn>
                            <a:cxn ang="0">
                              <a:pos x="93" y="69"/>
                            </a:cxn>
                            <a:cxn ang="0">
                              <a:pos x="111" y="69"/>
                            </a:cxn>
                            <a:cxn ang="0">
                              <a:pos x="126" y="66"/>
                            </a:cxn>
                            <a:cxn ang="0">
                              <a:pos x="136" y="63"/>
                            </a:cxn>
                            <a:cxn ang="0">
                              <a:pos x="153" y="59"/>
                            </a:cxn>
                            <a:cxn ang="0">
                              <a:pos x="168" y="57"/>
                            </a:cxn>
                            <a:cxn ang="0">
                              <a:pos x="182" y="57"/>
                            </a:cxn>
                            <a:cxn ang="0">
                              <a:pos x="196" y="61"/>
                            </a:cxn>
                            <a:cxn ang="0">
                              <a:pos x="206" y="64"/>
                            </a:cxn>
                            <a:cxn ang="0">
                              <a:pos x="228" y="70"/>
                            </a:cxn>
                            <a:cxn ang="0">
                              <a:pos x="240" y="73"/>
                            </a:cxn>
                            <a:cxn ang="0">
                              <a:pos x="264" y="77"/>
                            </a:cxn>
                            <a:cxn ang="0">
                              <a:pos x="283" y="79"/>
                            </a:cxn>
                            <a:cxn ang="0">
                              <a:pos x="313" y="82"/>
                            </a:cxn>
                            <a:cxn ang="0">
                              <a:pos x="339" y="84"/>
                            </a:cxn>
                            <a:cxn ang="0">
                              <a:pos x="365" y="84"/>
                            </a:cxn>
                            <a:cxn ang="0">
                              <a:pos x="398" y="86"/>
                            </a:cxn>
                            <a:cxn ang="0">
                              <a:pos x="424" y="87"/>
                            </a:cxn>
                            <a:cxn ang="0">
                              <a:pos x="447" y="89"/>
                            </a:cxn>
                            <a:cxn ang="0">
                              <a:pos x="471" y="90"/>
                            </a:cxn>
                            <a:cxn ang="0">
                              <a:pos x="499" y="91"/>
                            </a:cxn>
                            <a:cxn ang="0">
                              <a:pos x="523" y="92"/>
                            </a:cxn>
                            <a:cxn ang="0">
                              <a:pos x="547" y="92"/>
                            </a:cxn>
                            <a:cxn ang="0">
                              <a:pos x="585" y="93"/>
                            </a:cxn>
                            <a:cxn ang="0">
                              <a:pos x="617" y="94"/>
                            </a:cxn>
                            <a:cxn ang="0">
                              <a:pos x="648" y="94"/>
                            </a:cxn>
                            <a:cxn ang="0">
                              <a:pos x="675" y="94"/>
                            </a:cxn>
                            <a:cxn ang="0">
                              <a:pos x="701" y="94"/>
                            </a:cxn>
                            <a:cxn ang="0">
                              <a:pos x="732" y="95"/>
                            </a:cxn>
                            <a:cxn ang="0">
                              <a:pos x="760" y="95"/>
                            </a:cxn>
                            <a:cxn ang="0">
                              <a:pos x="801" y="96"/>
                            </a:cxn>
                            <a:cxn ang="0">
                              <a:pos x="840" y="96"/>
                            </a:cxn>
                            <a:cxn ang="0">
                              <a:pos x="888" y="96"/>
                            </a:cxn>
                            <a:cxn ang="0">
                              <a:pos x="924" y="97"/>
                            </a:cxn>
                            <a:cxn ang="0">
                              <a:pos x="969" y="97"/>
                            </a:cxn>
                            <a:cxn ang="0">
                              <a:pos x="1025" y="97"/>
                            </a:cxn>
                            <a:cxn ang="0">
                              <a:pos x="1072" y="98"/>
                            </a:cxn>
                            <a:cxn ang="0">
                              <a:pos x="1123" y="99"/>
                            </a:cxn>
                            <a:cxn ang="0">
                              <a:pos x="1170" y="99"/>
                            </a:cxn>
                            <a:cxn ang="0">
                              <a:pos x="1199" y="99"/>
                            </a:cxn>
                            <a:cxn ang="0">
                              <a:pos x="1242" y="100"/>
                            </a:cxn>
                            <a:cxn ang="0">
                              <a:pos x="1287" y="99"/>
                            </a:cxn>
                            <a:cxn ang="0">
                              <a:pos x="1322" y="99"/>
                            </a:cxn>
                            <a:cxn ang="0">
                              <a:pos x="1357" y="101"/>
                            </a:cxn>
                            <a:cxn ang="0">
                              <a:pos x="1381" y="101"/>
                            </a:cxn>
                            <a:cxn ang="0">
                              <a:pos x="1403" y="100"/>
                            </a:cxn>
                            <a:cxn ang="0">
                              <a:pos x="1422" y="97"/>
                            </a:cxn>
                            <a:cxn ang="0">
                              <a:pos x="1434" y="95"/>
                            </a:cxn>
                            <a:cxn ang="0">
                              <a:pos x="1460" y="89"/>
                            </a:cxn>
                            <a:cxn ang="0">
                              <a:pos x="1475" y="86"/>
                            </a:cxn>
                            <a:cxn ang="0">
                              <a:pos x="1499" y="80"/>
                            </a:cxn>
                            <a:cxn ang="0">
                              <a:pos x="1515" y="76"/>
                            </a:cxn>
                            <a:cxn ang="0">
                              <a:pos x="1534" y="71"/>
                            </a:cxn>
                            <a:cxn ang="0">
                              <a:pos x="1554" y="69"/>
                            </a:cxn>
                            <a:cxn ang="0">
                              <a:pos x="1575" y="66"/>
                            </a:cxn>
                          </a:cxnLst>
                          <a:rect l="0" t="0" r="r" b="b"/>
                          <a:pathLst>
                            <a:path w="1593" h="101">
                              <a:moveTo>
                                <a:pt x="0" y="0"/>
                              </a:moveTo>
                              <a:lnTo>
                                <a:pt x="0" y="3"/>
                              </a:lnTo>
                              <a:lnTo>
                                <a:pt x="1" y="5"/>
                              </a:lnTo>
                              <a:lnTo>
                                <a:pt x="2" y="7"/>
                              </a:lnTo>
                              <a:lnTo>
                                <a:pt x="2" y="10"/>
                              </a:lnTo>
                              <a:lnTo>
                                <a:pt x="3" y="12"/>
                              </a:lnTo>
                              <a:lnTo>
                                <a:pt x="3" y="14"/>
                              </a:lnTo>
                              <a:lnTo>
                                <a:pt x="4" y="16"/>
                              </a:lnTo>
                              <a:lnTo>
                                <a:pt x="4" y="18"/>
                              </a:lnTo>
                              <a:lnTo>
                                <a:pt x="5" y="20"/>
                              </a:lnTo>
                              <a:lnTo>
                                <a:pt x="5" y="21"/>
                              </a:lnTo>
                              <a:lnTo>
                                <a:pt x="6" y="23"/>
                              </a:lnTo>
                              <a:lnTo>
                                <a:pt x="7" y="25"/>
                              </a:lnTo>
                              <a:lnTo>
                                <a:pt x="7" y="27"/>
                              </a:lnTo>
                              <a:lnTo>
                                <a:pt x="8" y="28"/>
                              </a:lnTo>
                              <a:lnTo>
                                <a:pt x="8" y="30"/>
                              </a:lnTo>
                              <a:lnTo>
                                <a:pt x="9" y="31"/>
                              </a:lnTo>
                              <a:lnTo>
                                <a:pt x="10" y="33"/>
                              </a:lnTo>
                              <a:lnTo>
                                <a:pt x="10" y="34"/>
                              </a:lnTo>
                              <a:lnTo>
                                <a:pt x="11" y="36"/>
                              </a:lnTo>
                              <a:lnTo>
                                <a:pt x="11" y="37"/>
                              </a:lnTo>
                              <a:lnTo>
                                <a:pt x="12" y="38"/>
                              </a:lnTo>
                              <a:lnTo>
                                <a:pt x="13" y="40"/>
                              </a:lnTo>
                              <a:lnTo>
                                <a:pt x="14" y="41"/>
                              </a:lnTo>
                              <a:lnTo>
                                <a:pt x="15" y="43"/>
                              </a:lnTo>
                              <a:lnTo>
                                <a:pt x="16" y="44"/>
                              </a:lnTo>
                              <a:lnTo>
                                <a:pt x="17" y="45"/>
                              </a:lnTo>
                              <a:lnTo>
                                <a:pt x="17" y="46"/>
                              </a:lnTo>
                              <a:lnTo>
                                <a:pt x="18" y="46"/>
                              </a:lnTo>
                              <a:lnTo>
                                <a:pt x="19" y="48"/>
                              </a:lnTo>
                              <a:lnTo>
                                <a:pt x="20" y="49"/>
                              </a:lnTo>
                              <a:lnTo>
                                <a:pt x="21" y="50"/>
                              </a:lnTo>
                              <a:lnTo>
                                <a:pt x="21" y="50"/>
                              </a:lnTo>
                              <a:lnTo>
                                <a:pt x="22" y="51"/>
                              </a:lnTo>
                              <a:lnTo>
                                <a:pt x="23" y="51"/>
                              </a:lnTo>
                              <a:lnTo>
                                <a:pt x="24" y="52"/>
                              </a:lnTo>
                              <a:lnTo>
                                <a:pt x="25" y="52"/>
                              </a:lnTo>
                              <a:lnTo>
                                <a:pt x="25" y="53"/>
                              </a:lnTo>
                              <a:lnTo>
                                <a:pt x="26" y="53"/>
                              </a:lnTo>
                              <a:lnTo>
                                <a:pt x="27" y="54"/>
                              </a:lnTo>
                              <a:lnTo>
                                <a:pt x="28" y="54"/>
                              </a:lnTo>
                              <a:lnTo>
                                <a:pt x="29" y="55"/>
                              </a:lnTo>
                              <a:lnTo>
                                <a:pt x="30" y="55"/>
                              </a:lnTo>
                              <a:lnTo>
                                <a:pt x="31" y="56"/>
                              </a:lnTo>
                              <a:lnTo>
                                <a:pt x="33" y="56"/>
                              </a:lnTo>
                              <a:lnTo>
                                <a:pt x="34" y="57"/>
                              </a:lnTo>
                              <a:lnTo>
                                <a:pt x="35" y="57"/>
                              </a:lnTo>
                              <a:lnTo>
                                <a:pt x="37" y="58"/>
                              </a:lnTo>
                              <a:lnTo>
                                <a:pt x="38" y="58"/>
                              </a:lnTo>
                              <a:lnTo>
                                <a:pt x="40" y="58"/>
                              </a:lnTo>
                              <a:lnTo>
                                <a:pt x="42" y="59"/>
                              </a:lnTo>
                              <a:lnTo>
                                <a:pt x="44" y="59"/>
                              </a:lnTo>
                              <a:lnTo>
                                <a:pt x="48" y="60"/>
                              </a:lnTo>
                              <a:lnTo>
                                <a:pt x="50" y="61"/>
                              </a:lnTo>
                              <a:lnTo>
                                <a:pt x="52" y="61"/>
                              </a:lnTo>
                              <a:lnTo>
                                <a:pt x="53" y="61"/>
                              </a:lnTo>
                              <a:lnTo>
                                <a:pt x="54" y="62"/>
                              </a:lnTo>
                              <a:lnTo>
                                <a:pt x="55" y="62"/>
                              </a:lnTo>
                              <a:lnTo>
                                <a:pt x="57" y="62"/>
                              </a:lnTo>
                              <a:lnTo>
                                <a:pt x="62" y="63"/>
                              </a:lnTo>
                              <a:lnTo>
                                <a:pt x="67" y="65"/>
                              </a:lnTo>
                              <a:lnTo>
                                <a:pt x="71" y="66"/>
                              </a:lnTo>
                              <a:lnTo>
                                <a:pt x="74" y="66"/>
                              </a:lnTo>
                              <a:lnTo>
                                <a:pt x="77" y="67"/>
                              </a:lnTo>
                              <a:lnTo>
                                <a:pt x="79" y="68"/>
                              </a:lnTo>
                              <a:lnTo>
                                <a:pt x="82" y="68"/>
                              </a:lnTo>
                              <a:lnTo>
                                <a:pt x="84" y="68"/>
                              </a:lnTo>
                              <a:lnTo>
                                <a:pt x="86" y="69"/>
                              </a:lnTo>
                              <a:lnTo>
                                <a:pt x="88" y="69"/>
                              </a:lnTo>
                              <a:lnTo>
                                <a:pt x="90" y="69"/>
                              </a:lnTo>
                              <a:lnTo>
                                <a:pt x="92" y="69"/>
                              </a:lnTo>
                              <a:lnTo>
                                <a:pt x="93" y="69"/>
                              </a:lnTo>
                              <a:lnTo>
                                <a:pt x="95" y="69"/>
                              </a:lnTo>
                              <a:lnTo>
                                <a:pt x="97" y="69"/>
                              </a:lnTo>
                              <a:lnTo>
                                <a:pt x="99" y="69"/>
                              </a:lnTo>
                              <a:lnTo>
                                <a:pt x="101" y="69"/>
                              </a:lnTo>
                              <a:lnTo>
                                <a:pt x="104" y="69"/>
                              </a:lnTo>
                              <a:lnTo>
                                <a:pt x="106" y="69"/>
                              </a:lnTo>
                              <a:lnTo>
                                <a:pt x="108" y="69"/>
                              </a:lnTo>
                              <a:lnTo>
                                <a:pt x="111" y="69"/>
                              </a:lnTo>
                              <a:lnTo>
                                <a:pt x="113" y="69"/>
                              </a:lnTo>
                              <a:lnTo>
                                <a:pt x="115" y="68"/>
                              </a:lnTo>
                              <a:lnTo>
                                <a:pt x="117" y="68"/>
                              </a:lnTo>
                              <a:lnTo>
                                <a:pt x="119" y="68"/>
                              </a:lnTo>
                              <a:lnTo>
                                <a:pt x="121" y="67"/>
                              </a:lnTo>
                              <a:lnTo>
                                <a:pt x="123" y="67"/>
                              </a:lnTo>
                              <a:lnTo>
                                <a:pt x="125" y="67"/>
                              </a:lnTo>
                              <a:lnTo>
                                <a:pt x="126" y="66"/>
                              </a:lnTo>
                              <a:lnTo>
                                <a:pt x="127" y="66"/>
                              </a:lnTo>
                              <a:lnTo>
                                <a:pt x="128" y="66"/>
                              </a:lnTo>
                              <a:lnTo>
                                <a:pt x="129" y="66"/>
                              </a:lnTo>
                              <a:lnTo>
                                <a:pt x="130" y="65"/>
                              </a:lnTo>
                              <a:lnTo>
                                <a:pt x="130" y="65"/>
                              </a:lnTo>
                              <a:lnTo>
                                <a:pt x="132" y="65"/>
                              </a:lnTo>
                              <a:lnTo>
                                <a:pt x="134" y="64"/>
                              </a:lnTo>
                              <a:lnTo>
                                <a:pt x="136" y="63"/>
                              </a:lnTo>
                              <a:lnTo>
                                <a:pt x="139" y="62"/>
                              </a:lnTo>
                              <a:lnTo>
                                <a:pt x="142" y="62"/>
                              </a:lnTo>
                              <a:lnTo>
                                <a:pt x="144" y="61"/>
                              </a:lnTo>
                              <a:lnTo>
                                <a:pt x="146" y="60"/>
                              </a:lnTo>
                              <a:lnTo>
                                <a:pt x="148" y="60"/>
                              </a:lnTo>
                              <a:lnTo>
                                <a:pt x="149" y="59"/>
                              </a:lnTo>
                              <a:lnTo>
                                <a:pt x="151" y="59"/>
                              </a:lnTo>
                              <a:lnTo>
                                <a:pt x="153" y="59"/>
                              </a:lnTo>
                              <a:lnTo>
                                <a:pt x="155" y="58"/>
                              </a:lnTo>
                              <a:lnTo>
                                <a:pt x="157" y="58"/>
                              </a:lnTo>
                              <a:lnTo>
                                <a:pt x="159" y="58"/>
                              </a:lnTo>
                              <a:lnTo>
                                <a:pt x="161" y="57"/>
                              </a:lnTo>
                              <a:lnTo>
                                <a:pt x="163" y="57"/>
                              </a:lnTo>
                              <a:lnTo>
                                <a:pt x="165" y="57"/>
                              </a:lnTo>
                              <a:lnTo>
                                <a:pt x="166" y="57"/>
                              </a:lnTo>
                              <a:lnTo>
                                <a:pt x="168" y="57"/>
                              </a:lnTo>
                              <a:lnTo>
                                <a:pt x="170" y="57"/>
                              </a:lnTo>
                              <a:lnTo>
                                <a:pt x="172" y="57"/>
                              </a:lnTo>
                              <a:lnTo>
                                <a:pt x="173" y="57"/>
                              </a:lnTo>
                              <a:lnTo>
                                <a:pt x="175" y="57"/>
                              </a:lnTo>
                              <a:lnTo>
                                <a:pt x="177" y="57"/>
                              </a:lnTo>
                              <a:lnTo>
                                <a:pt x="178" y="57"/>
                              </a:lnTo>
                              <a:lnTo>
                                <a:pt x="180" y="57"/>
                              </a:lnTo>
                              <a:lnTo>
                                <a:pt x="182" y="57"/>
                              </a:lnTo>
                              <a:lnTo>
                                <a:pt x="183" y="58"/>
                              </a:lnTo>
                              <a:lnTo>
                                <a:pt x="185" y="58"/>
                              </a:lnTo>
                              <a:lnTo>
                                <a:pt x="187" y="58"/>
                              </a:lnTo>
                              <a:lnTo>
                                <a:pt x="188" y="59"/>
                              </a:lnTo>
                              <a:lnTo>
                                <a:pt x="190" y="59"/>
                              </a:lnTo>
                              <a:lnTo>
                                <a:pt x="192" y="60"/>
                              </a:lnTo>
                              <a:lnTo>
                                <a:pt x="194" y="60"/>
                              </a:lnTo>
                              <a:lnTo>
                                <a:pt x="196" y="61"/>
                              </a:lnTo>
                              <a:lnTo>
                                <a:pt x="198" y="61"/>
                              </a:lnTo>
                              <a:lnTo>
                                <a:pt x="199" y="62"/>
                              </a:lnTo>
                              <a:lnTo>
                                <a:pt x="201" y="62"/>
                              </a:lnTo>
                              <a:lnTo>
                                <a:pt x="202" y="63"/>
                              </a:lnTo>
                              <a:lnTo>
                                <a:pt x="202" y="63"/>
                              </a:lnTo>
                              <a:lnTo>
                                <a:pt x="203" y="63"/>
                              </a:lnTo>
                              <a:lnTo>
                                <a:pt x="204" y="64"/>
                              </a:lnTo>
                              <a:lnTo>
                                <a:pt x="206" y="64"/>
                              </a:lnTo>
                              <a:lnTo>
                                <a:pt x="209" y="65"/>
                              </a:lnTo>
                              <a:lnTo>
                                <a:pt x="212" y="66"/>
                              </a:lnTo>
                              <a:lnTo>
                                <a:pt x="214" y="67"/>
                              </a:lnTo>
                              <a:lnTo>
                                <a:pt x="217" y="68"/>
                              </a:lnTo>
                              <a:lnTo>
                                <a:pt x="219" y="68"/>
                              </a:lnTo>
                              <a:lnTo>
                                <a:pt x="221" y="69"/>
                              </a:lnTo>
                              <a:lnTo>
                                <a:pt x="224" y="70"/>
                              </a:lnTo>
                              <a:lnTo>
                                <a:pt x="228" y="70"/>
                              </a:lnTo>
                              <a:lnTo>
                                <a:pt x="233" y="71"/>
                              </a:lnTo>
                              <a:lnTo>
                                <a:pt x="235" y="72"/>
                              </a:lnTo>
                              <a:lnTo>
                                <a:pt x="236" y="72"/>
                              </a:lnTo>
                              <a:lnTo>
                                <a:pt x="237" y="72"/>
                              </a:lnTo>
                              <a:lnTo>
                                <a:pt x="238" y="72"/>
                              </a:lnTo>
                              <a:lnTo>
                                <a:pt x="238" y="73"/>
                              </a:lnTo>
                              <a:lnTo>
                                <a:pt x="238" y="73"/>
                              </a:lnTo>
                              <a:lnTo>
                                <a:pt x="240" y="73"/>
                              </a:lnTo>
                              <a:lnTo>
                                <a:pt x="243" y="73"/>
                              </a:lnTo>
                              <a:lnTo>
                                <a:pt x="245" y="74"/>
                              </a:lnTo>
                              <a:lnTo>
                                <a:pt x="248" y="74"/>
                              </a:lnTo>
                              <a:lnTo>
                                <a:pt x="250" y="75"/>
                              </a:lnTo>
                              <a:lnTo>
                                <a:pt x="254" y="75"/>
                              </a:lnTo>
                              <a:lnTo>
                                <a:pt x="258" y="76"/>
                              </a:lnTo>
                              <a:lnTo>
                                <a:pt x="261" y="76"/>
                              </a:lnTo>
                              <a:lnTo>
                                <a:pt x="264" y="77"/>
                              </a:lnTo>
                              <a:lnTo>
                                <a:pt x="268" y="77"/>
                              </a:lnTo>
                              <a:lnTo>
                                <a:pt x="273" y="78"/>
                              </a:lnTo>
                              <a:lnTo>
                                <a:pt x="274" y="78"/>
                              </a:lnTo>
                              <a:lnTo>
                                <a:pt x="275" y="78"/>
                              </a:lnTo>
                              <a:lnTo>
                                <a:pt x="276" y="78"/>
                              </a:lnTo>
                              <a:lnTo>
                                <a:pt x="278" y="78"/>
                              </a:lnTo>
                              <a:lnTo>
                                <a:pt x="280" y="79"/>
                              </a:lnTo>
                              <a:lnTo>
                                <a:pt x="283" y="79"/>
                              </a:lnTo>
                              <a:lnTo>
                                <a:pt x="286" y="79"/>
                              </a:lnTo>
                              <a:lnTo>
                                <a:pt x="288" y="80"/>
                              </a:lnTo>
                              <a:lnTo>
                                <a:pt x="291" y="80"/>
                              </a:lnTo>
                              <a:lnTo>
                                <a:pt x="296" y="80"/>
                              </a:lnTo>
                              <a:lnTo>
                                <a:pt x="301" y="81"/>
                              </a:lnTo>
                              <a:lnTo>
                                <a:pt x="306" y="81"/>
                              </a:lnTo>
                              <a:lnTo>
                                <a:pt x="311" y="82"/>
                              </a:lnTo>
                              <a:lnTo>
                                <a:pt x="313" y="82"/>
                              </a:lnTo>
                              <a:lnTo>
                                <a:pt x="314" y="82"/>
                              </a:lnTo>
                              <a:lnTo>
                                <a:pt x="316" y="82"/>
                              </a:lnTo>
                              <a:lnTo>
                                <a:pt x="320" y="82"/>
                              </a:lnTo>
                              <a:lnTo>
                                <a:pt x="325" y="83"/>
                              </a:lnTo>
                              <a:lnTo>
                                <a:pt x="329" y="83"/>
                              </a:lnTo>
                              <a:lnTo>
                                <a:pt x="332" y="83"/>
                              </a:lnTo>
                              <a:lnTo>
                                <a:pt x="335" y="83"/>
                              </a:lnTo>
                              <a:lnTo>
                                <a:pt x="339" y="84"/>
                              </a:lnTo>
                              <a:lnTo>
                                <a:pt x="344" y="84"/>
                              </a:lnTo>
                              <a:lnTo>
                                <a:pt x="348" y="84"/>
                              </a:lnTo>
                              <a:lnTo>
                                <a:pt x="350" y="84"/>
                              </a:lnTo>
                              <a:lnTo>
                                <a:pt x="352" y="84"/>
                              </a:lnTo>
                              <a:lnTo>
                                <a:pt x="355" y="84"/>
                              </a:lnTo>
                              <a:lnTo>
                                <a:pt x="358" y="84"/>
                              </a:lnTo>
                              <a:lnTo>
                                <a:pt x="360" y="84"/>
                              </a:lnTo>
                              <a:lnTo>
                                <a:pt x="365" y="84"/>
                              </a:lnTo>
                              <a:lnTo>
                                <a:pt x="371" y="85"/>
                              </a:lnTo>
                              <a:lnTo>
                                <a:pt x="379" y="85"/>
                              </a:lnTo>
                              <a:lnTo>
                                <a:pt x="385" y="85"/>
                              </a:lnTo>
                              <a:lnTo>
                                <a:pt x="387" y="86"/>
                              </a:lnTo>
                              <a:lnTo>
                                <a:pt x="389" y="86"/>
                              </a:lnTo>
                              <a:lnTo>
                                <a:pt x="391" y="86"/>
                              </a:lnTo>
                              <a:lnTo>
                                <a:pt x="394" y="86"/>
                              </a:lnTo>
                              <a:lnTo>
                                <a:pt x="398" y="86"/>
                              </a:lnTo>
                              <a:lnTo>
                                <a:pt x="401" y="86"/>
                              </a:lnTo>
                              <a:lnTo>
                                <a:pt x="405" y="87"/>
                              </a:lnTo>
                              <a:lnTo>
                                <a:pt x="409" y="87"/>
                              </a:lnTo>
                              <a:lnTo>
                                <a:pt x="413" y="87"/>
                              </a:lnTo>
                              <a:lnTo>
                                <a:pt x="417" y="87"/>
                              </a:lnTo>
                              <a:lnTo>
                                <a:pt x="420" y="87"/>
                              </a:lnTo>
                              <a:lnTo>
                                <a:pt x="422" y="87"/>
                              </a:lnTo>
                              <a:lnTo>
                                <a:pt x="424" y="87"/>
                              </a:lnTo>
                              <a:lnTo>
                                <a:pt x="427" y="88"/>
                              </a:lnTo>
                              <a:lnTo>
                                <a:pt x="429" y="88"/>
                              </a:lnTo>
                              <a:lnTo>
                                <a:pt x="431" y="88"/>
                              </a:lnTo>
                              <a:lnTo>
                                <a:pt x="433" y="88"/>
                              </a:lnTo>
                              <a:lnTo>
                                <a:pt x="436" y="88"/>
                              </a:lnTo>
                              <a:lnTo>
                                <a:pt x="440" y="88"/>
                              </a:lnTo>
                              <a:lnTo>
                                <a:pt x="443" y="89"/>
                              </a:lnTo>
                              <a:lnTo>
                                <a:pt x="447" y="89"/>
                              </a:lnTo>
                              <a:lnTo>
                                <a:pt x="450" y="89"/>
                              </a:lnTo>
                              <a:lnTo>
                                <a:pt x="454" y="89"/>
                              </a:lnTo>
                              <a:lnTo>
                                <a:pt x="457" y="89"/>
                              </a:lnTo>
                              <a:lnTo>
                                <a:pt x="460" y="89"/>
                              </a:lnTo>
                              <a:lnTo>
                                <a:pt x="463" y="89"/>
                              </a:lnTo>
                              <a:lnTo>
                                <a:pt x="465" y="89"/>
                              </a:lnTo>
                              <a:lnTo>
                                <a:pt x="468" y="89"/>
                              </a:lnTo>
                              <a:lnTo>
                                <a:pt x="471" y="90"/>
                              </a:lnTo>
                              <a:lnTo>
                                <a:pt x="476" y="90"/>
                              </a:lnTo>
                              <a:lnTo>
                                <a:pt x="480" y="90"/>
                              </a:lnTo>
                              <a:lnTo>
                                <a:pt x="484" y="90"/>
                              </a:lnTo>
                              <a:lnTo>
                                <a:pt x="488" y="90"/>
                              </a:lnTo>
                              <a:lnTo>
                                <a:pt x="490" y="91"/>
                              </a:lnTo>
                              <a:lnTo>
                                <a:pt x="493" y="90"/>
                              </a:lnTo>
                              <a:lnTo>
                                <a:pt x="497" y="91"/>
                              </a:lnTo>
                              <a:lnTo>
                                <a:pt x="499" y="91"/>
                              </a:lnTo>
                              <a:lnTo>
                                <a:pt x="501" y="91"/>
                              </a:lnTo>
                              <a:lnTo>
                                <a:pt x="504" y="91"/>
                              </a:lnTo>
                              <a:lnTo>
                                <a:pt x="507" y="91"/>
                              </a:lnTo>
                              <a:lnTo>
                                <a:pt x="510" y="91"/>
                              </a:lnTo>
                              <a:lnTo>
                                <a:pt x="513" y="91"/>
                              </a:lnTo>
                              <a:lnTo>
                                <a:pt x="516" y="91"/>
                              </a:lnTo>
                              <a:lnTo>
                                <a:pt x="520" y="91"/>
                              </a:lnTo>
                              <a:lnTo>
                                <a:pt x="523" y="92"/>
                              </a:lnTo>
                              <a:lnTo>
                                <a:pt x="527" y="92"/>
                              </a:lnTo>
                              <a:lnTo>
                                <a:pt x="532" y="92"/>
                              </a:lnTo>
                              <a:lnTo>
                                <a:pt x="536" y="92"/>
                              </a:lnTo>
                              <a:lnTo>
                                <a:pt x="537" y="92"/>
                              </a:lnTo>
                              <a:lnTo>
                                <a:pt x="539" y="92"/>
                              </a:lnTo>
                              <a:lnTo>
                                <a:pt x="541" y="92"/>
                              </a:lnTo>
                              <a:lnTo>
                                <a:pt x="543" y="92"/>
                              </a:lnTo>
                              <a:lnTo>
                                <a:pt x="547" y="92"/>
                              </a:lnTo>
                              <a:lnTo>
                                <a:pt x="552" y="93"/>
                              </a:lnTo>
                              <a:lnTo>
                                <a:pt x="557" y="93"/>
                              </a:lnTo>
                              <a:lnTo>
                                <a:pt x="561" y="93"/>
                              </a:lnTo>
                              <a:lnTo>
                                <a:pt x="566" y="93"/>
                              </a:lnTo>
                              <a:lnTo>
                                <a:pt x="571" y="93"/>
                              </a:lnTo>
                              <a:lnTo>
                                <a:pt x="574" y="93"/>
                              </a:lnTo>
                              <a:lnTo>
                                <a:pt x="578" y="93"/>
                              </a:lnTo>
                              <a:lnTo>
                                <a:pt x="585" y="93"/>
                              </a:lnTo>
                              <a:lnTo>
                                <a:pt x="592" y="93"/>
                              </a:lnTo>
                              <a:lnTo>
                                <a:pt x="597" y="93"/>
                              </a:lnTo>
                              <a:lnTo>
                                <a:pt x="602" y="93"/>
                              </a:lnTo>
                              <a:lnTo>
                                <a:pt x="607" y="94"/>
                              </a:lnTo>
                              <a:lnTo>
                                <a:pt x="611" y="94"/>
                              </a:lnTo>
                              <a:lnTo>
                                <a:pt x="613" y="94"/>
                              </a:lnTo>
                              <a:lnTo>
                                <a:pt x="615" y="94"/>
                              </a:lnTo>
                              <a:lnTo>
                                <a:pt x="617" y="94"/>
                              </a:lnTo>
                              <a:lnTo>
                                <a:pt x="620" y="94"/>
                              </a:lnTo>
                              <a:lnTo>
                                <a:pt x="624" y="94"/>
                              </a:lnTo>
                              <a:lnTo>
                                <a:pt x="627" y="94"/>
                              </a:lnTo>
                              <a:lnTo>
                                <a:pt x="631" y="94"/>
                              </a:lnTo>
                              <a:lnTo>
                                <a:pt x="635" y="94"/>
                              </a:lnTo>
                              <a:lnTo>
                                <a:pt x="640" y="94"/>
                              </a:lnTo>
                              <a:lnTo>
                                <a:pt x="645" y="94"/>
                              </a:lnTo>
                              <a:lnTo>
                                <a:pt x="648" y="94"/>
                              </a:lnTo>
                              <a:lnTo>
                                <a:pt x="651" y="95"/>
                              </a:lnTo>
                              <a:lnTo>
                                <a:pt x="654" y="95"/>
                              </a:lnTo>
                              <a:lnTo>
                                <a:pt x="657" y="95"/>
                              </a:lnTo>
                              <a:lnTo>
                                <a:pt x="659" y="95"/>
                              </a:lnTo>
                              <a:lnTo>
                                <a:pt x="662" y="94"/>
                              </a:lnTo>
                              <a:lnTo>
                                <a:pt x="666" y="94"/>
                              </a:lnTo>
                              <a:lnTo>
                                <a:pt x="671" y="94"/>
                              </a:lnTo>
                              <a:lnTo>
                                <a:pt x="675" y="94"/>
                              </a:lnTo>
                              <a:lnTo>
                                <a:pt x="680" y="94"/>
                              </a:lnTo>
                              <a:lnTo>
                                <a:pt x="684" y="94"/>
                              </a:lnTo>
                              <a:lnTo>
                                <a:pt x="686" y="94"/>
                              </a:lnTo>
                              <a:lnTo>
                                <a:pt x="689" y="94"/>
                              </a:lnTo>
                              <a:lnTo>
                                <a:pt x="691" y="94"/>
                              </a:lnTo>
                              <a:lnTo>
                                <a:pt x="695" y="94"/>
                              </a:lnTo>
                              <a:lnTo>
                                <a:pt x="698" y="94"/>
                              </a:lnTo>
                              <a:lnTo>
                                <a:pt x="701" y="94"/>
                              </a:lnTo>
                              <a:lnTo>
                                <a:pt x="704" y="95"/>
                              </a:lnTo>
                              <a:lnTo>
                                <a:pt x="708" y="95"/>
                              </a:lnTo>
                              <a:lnTo>
                                <a:pt x="713" y="95"/>
                              </a:lnTo>
                              <a:lnTo>
                                <a:pt x="717" y="95"/>
                              </a:lnTo>
                              <a:lnTo>
                                <a:pt x="721" y="95"/>
                              </a:lnTo>
                              <a:lnTo>
                                <a:pt x="725" y="95"/>
                              </a:lnTo>
                              <a:lnTo>
                                <a:pt x="729" y="95"/>
                              </a:lnTo>
                              <a:lnTo>
                                <a:pt x="732" y="95"/>
                              </a:lnTo>
                              <a:lnTo>
                                <a:pt x="734" y="95"/>
                              </a:lnTo>
                              <a:lnTo>
                                <a:pt x="737" y="95"/>
                              </a:lnTo>
                              <a:lnTo>
                                <a:pt x="740" y="95"/>
                              </a:lnTo>
                              <a:lnTo>
                                <a:pt x="744" y="95"/>
                              </a:lnTo>
                              <a:lnTo>
                                <a:pt x="747" y="95"/>
                              </a:lnTo>
                              <a:lnTo>
                                <a:pt x="752" y="95"/>
                              </a:lnTo>
                              <a:lnTo>
                                <a:pt x="757" y="95"/>
                              </a:lnTo>
                              <a:lnTo>
                                <a:pt x="760" y="95"/>
                              </a:lnTo>
                              <a:lnTo>
                                <a:pt x="764" y="95"/>
                              </a:lnTo>
                              <a:lnTo>
                                <a:pt x="769" y="95"/>
                              </a:lnTo>
                              <a:lnTo>
                                <a:pt x="773" y="95"/>
                              </a:lnTo>
                              <a:lnTo>
                                <a:pt x="778" y="95"/>
                              </a:lnTo>
                              <a:lnTo>
                                <a:pt x="786" y="95"/>
                              </a:lnTo>
                              <a:lnTo>
                                <a:pt x="793" y="96"/>
                              </a:lnTo>
                              <a:lnTo>
                                <a:pt x="798" y="96"/>
                              </a:lnTo>
                              <a:lnTo>
                                <a:pt x="801" y="96"/>
                              </a:lnTo>
                              <a:lnTo>
                                <a:pt x="805" y="96"/>
                              </a:lnTo>
                              <a:lnTo>
                                <a:pt x="809" y="96"/>
                              </a:lnTo>
                              <a:lnTo>
                                <a:pt x="813" y="96"/>
                              </a:lnTo>
                              <a:lnTo>
                                <a:pt x="818" y="96"/>
                              </a:lnTo>
                              <a:lnTo>
                                <a:pt x="822" y="96"/>
                              </a:lnTo>
                              <a:lnTo>
                                <a:pt x="827" y="96"/>
                              </a:lnTo>
                              <a:lnTo>
                                <a:pt x="833" y="96"/>
                              </a:lnTo>
                              <a:lnTo>
                                <a:pt x="840" y="96"/>
                              </a:lnTo>
                              <a:lnTo>
                                <a:pt x="846" y="96"/>
                              </a:lnTo>
                              <a:lnTo>
                                <a:pt x="852" y="96"/>
                              </a:lnTo>
                              <a:lnTo>
                                <a:pt x="859" y="96"/>
                              </a:lnTo>
                              <a:lnTo>
                                <a:pt x="864" y="96"/>
                              </a:lnTo>
                              <a:lnTo>
                                <a:pt x="869" y="96"/>
                              </a:lnTo>
                              <a:lnTo>
                                <a:pt x="875" y="96"/>
                              </a:lnTo>
                              <a:lnTo>
                                <a:pt x="882" y="96"/>
                              </a:lnTo>
                              <a:lnTo>
                                <a:pt x="888" y="96"/>
                              </a:lnTo>
                              <a:lnTo>
                                <a:pt x="894" y="96"/>
                              </a:lnTo>
                              <a:lnTo>
                                <a:pt x="899" y="96"/>
                              </a:lnTo>
                              <a:lnTo>
                                <a:pt x="904" y="96"/>
                              </a:lnTo>
                              <a:lnTo>
                                <a:pt x="910" y="96"/>
                              </a:lnTo>
                              <a:lnTo>
                                <a:pt x="914" y="97"/>
                              </a:lnTo>
                              <a:lnTo>
                                <a:pt x="917" y="97"/>
                              </a:lnTo>
                              <a:lnTo>
                                <a:pt x="920" y="97"/>
                              </a:lnTo>
                              <a:lnTo>
                                <a:pt x="924" y="97"/>
                              </a:lnTo>
                              <a:lnTo>
                                <a:pt x="930" y="97"/>
                              </a:lnTo>
                              <a:lnTo>
                                <a:pt x="936" y="97"/>
                              </a:lnTo>
                              <a:lnTo>
                                <a:pt x="941" y="97"/>
                              </a:lnTo>
                              <a:lnTo>
                                <a:pt x="947" y="97"/>
                              </a:lnTo>
                              <a:lnTo>
                                <a:pt x="954" y="97"/>
                              </a:lnTo>
                              <a:lnTo>
                                <a:pt x="959" y="97"/>
                              </a:lnTo>
                              <a:lnTo>
                                <a:pt x="964" y="97"/>
                              </a:lnTo>
                              <a:lnTo>
                                <a:pt x="969" y="97"/>
                              </a:lnTo>
                              <a:lnTo>
                                <a:pt x="976" y="97"/>
                              </a:lnTo>
                              <a:lnTo>
                                <a:pt x="984" y="97"/>
                              </a:lnTo>
                              <a:lnTo>
                                <a:pt x="992" y="97"/>
                              </a:lnTo>
                              <a:lnTo>
                                <a:pt x="998" y="97"/>
                              </a:lnTo>
                              <a:lnTo>
                                <a:pt x="1005" y="97"/>
                              </a:lnTo>
                              <a:lnTo>
                                <a:pt x="1013" y="97"/>
                              </a:lnTo>
                              <a:lnTo>
                                <a:pt x="1020" y="97"/>
                              </a:lnTo>
                              <a:lnTo>
                                <a:pt x="1025" y="97"/>
                              </a:lnTo>
                              <a:lnTo>
                                <a:pt x="1031" y="98"/>
                              </a:lnTo>
                              <a:lnTo>
                                <a:pt x="1039" y="98"/>
                              </a:lnTo>
                              <a:lnTo>
                                <a:pt x="1047" y="98"/>
                              </a:lnTo>
                              <a:lnTo>
                                <a:pt x="1054" y="98"/>
                              </a:lnTo>
                              <a:lnTo>
                                <a:pt x="1059" y="98"/>
                              </a:lnTo>
                              <a:lnTo>
                                <a:pt x="1062" y="98"/>
                              </a:lnTo>
                              <a:lnTo>
                                <a:pt x="1066" y="98"/>
                              </a:lnTo>
                              <a:lnTo>
                                <a:pt x="1072" y="98"/>
                              </a:lnTo>
                              <a:lnTo>
                                <a:pt x="1077" y="98"/>
                              </a:lnTo>
                              <a:lnTo>
                                <a:pt x="1083" y="98"/>
                              </a:lnTo>
                              <a:lnTo>
                                <a:pt x="1088" y="98"/>
                              </a:lnTo>
                              <a:lnTo>
                                <a:pt x="1094" y="98"/>
                              </a:lnTo>
                              <a:lnTo>
                                <a:pt x="1101" y="98"/>
                              </a:lnTo>
                              <a:lnTo>
                                <a:pt x="1109" y="98"/>
                              </a:lnTo>
                              <a:lnTo>
                                <a:pt x="1116" y="99"/>
                              </a:lnTo>
                              <a:lnTo>
                                <a:pt x="1123" y="99"/>
                              </a:lnTo>
                              <a:lnTo>
                                <a:pt x="1130" y="99"/>
                              </a:lnTo>
                              <a:lnTo>
                                <a:pt x="1136" y="99"/>
                              </a:lnTo>
                              <a:lnTo>
                                <a:pt x="1143" y="99"/>
                              </a:lnTo>
                              <a:lnTo>
                                <a:pt x="1149" y="99"/>
                              </a:lnTo>
                              <a:lnTo>
                                <a:pt x="1157" y="99"/>
                              </a:lnTo>
                              <a:lnTo>
                                <a:pt x="1164" y="99"/>
                              </a:lnTo>
                              <a:lnTo>
                                <a:pt x="1167" y="99"/>
                              </a:lnTo>
                              <a:lnTo>
                                <a:pt x="1170" y="99"/>
                              </a:lnTo>
                              <a:lnTo>
                                <a:pt x="1172" y="99"/>
                              </a:lnTo>
                              <a:lnTo>
                                <a:pt x="1175" y="99"/>
                              </a:lnTo>
                              <a:lnTo>
                                <a:pt x="1178" y="99"/>
                              </a:lnTo>
                              <a:lnTo>
                                <a:pt x="1181" y="99"/>
                              </a:lnTo>
                              <a:lnTo>
                                <a:pt x="1186" y="99"/>
                              </a:lnTo>
                              <a:lnTo>
                                <a:pt x="1190" y="100"/>
                              </a:lnTo>
                              <a:lnTo>
                                <a:pt x="1194" y="99"/>
                              </a:lnTo>
                              <a:lnTo>
                                <a:pt x="1199" y="99"/>
                              </a:lnTo>
                              <a:lnTo>
                                <a:pt x="1206" y="99"/>
                              </a:lnTo>
                              <a:lnTo>
                                <a:pt x="1213" y="99"/>
                              </a:lnTo>
                              <a:lnTo>
                                <a:pt x="1218" y="99"/>
                              </a:lnTo>
                              <a:lnTo>
                                <a:pt x="1223" y="99"/>
                              </a:lnTo>
                              <a:lnTo>
                                <a:pt x="1228" y="99"/>
                              </a:lnTo>
                              <a:lnTo>
                                <a:pt x="1234" y="100"/>
                              </a:lnTo>
                              <a:lnTo>
                                <a:pt x="1239" y="100"/>
                              </a:lnTo>
                              <a:lnTo>
                                <a:pt x="1242" y="100"/>
                              </a:lnTo>
                              <a:lnTo>
                                <a:pt x="1248" y="100"/>
                              </a:lnTo>
                              <a:lnTo>
                                <a:pt x="1255" y="100"/>
                              </a:lnTo>
                              <a:lnTo>
                                <a:pt x="1264" y="100"/>
                              </a:lnTo>
                              <a:lnTo>
                                <a:pt x="1271" y="100"/>
                              </a:lnTo>
                              <a:lnTo>
                                <a:pt x="1276" y="100"/>
                              </a:lnTo>
                              <a:lnTo>
                                <a:pt x="1281" y="100"/>
                              </a:lnTo>
                              <a:lnTo>
                                <a:pt x="1284" y="100"/>
                              </a:lnTo>
                              <a:lnTo>
                                <a:pt x="1287" y="99"/>
                              </a:lnTo>
                              <a:lnTo>
                                <a:pt x="1290" y="99"/>
                              </a:lnTo>
                              <a:lnTo>
                                <a:pt x="1293" y="99"/>
                              </a:lnTo>
                              <a:lnTo>
                                <a:pt x="1296" y="99"/>
                              </a:lnTo>
                              <a:lnTo>
                                <a:pt x="1300" y="99"/>
                              </a:lnTo>
                              <a:lnTo>
                                <a:pt x="1304" y="99"/>
                              </a:lnTo>
                              <a:lnTo>
                                <a:pt x="1310" y="99"/>
                              </a:lnTo>
                              <a:lnTo>
                                <a:pt x="1316" y="99"/>
                              </a:lnTo>
                              <a:lnTo>
                                <a:pt x="1322" y="99"/>
                              </a:lnTo>
                              <a:lnTo>
                                <a:pt x="1328" y="100"/>
                              </a:lnTo>
                              <a:lnTo>
                                <a:pt x="1333" y="100"/>
                              </a:lnTo>
                              <a:lnTo>
                                <a:pt x="1337" y="100"/>
                              </a:lnTo>
                              <a:lnTo>
                                <a:pt x="1342" y="100"/>
                              </a:lnTo>
                              <a:lnTo>
                                <a:pt x="1347" y="100"/>
                              </a:lnTo>
                              <a:lnTo>
                                <a:pt x="1351" y="100"/>
                              </a:lnTo>
                              <a:lnTo>
                                <a:pt x="1354" y="101"/>
                              </a:lnTo>
                              <a:lnTo>
                                <a:pt x="1357" y="101"/>
                              </a:lnTo>
                              <a:lnTo>
                                <a:pt x="1362" y="101"/>
                              </a:lnTo>
                              <a:lnTo>
                                <a:pt x="1366" y="101"/>
                              </a:lnTo>
                              <a:lnTo>
                                <a:pt x="1369" y="101"/>
                              </a:lnTo>
                              <a:lnTo>
                                <a:pt x="1372" y="101"/>
                              </a:lnTo>
                              <a:lnTo>
                                <a:pt x="1374" y="101"/>
                              </a:lnTo>
                              <a:lnTo>
                                <a:pt x="1376" y="101"/>
                              </a:lnTo>
                              <a:lnTo>
                                <a:pt x="1379" y="101"/>
                              </a:lnTo>
                              <a:lnTo>
                                <a:pt x="1381" y="101"/>
                              </a:lnTo>
                              <a:lnTo>
                                <a:pt x="1384" y="101"/>
                              </a:lnTo>
                              <a:lnTo>
                                <a:pt x="1386" y="101"/>
                              </a:lnTo>
                              <a:lnTo>
                                <a:pt x="1387" y="101"/>
                              </a:lnTo>
                              <a:lnTo>
                                <a:pt x="1390" y="101"/>
                              </a:lnTo>
                              <a:lnTo>
                                <a:pt x="1394" y="100"/>
                              </a:lnTo>
                              <a:lnTo>
                                <a:pt x="1397" y="100"/>
                              </a:lnTo>
                              <a:lnTo>
                                <a:pt x="1400" y="100"/>
                              </a:lnTo>
                              <a:lnTo>
                                <a:pt x="1403" y="100"/>
                              </a:lnTo>
                              <a:lnTo>
                                <a:pt x="1405" y="99"/>
                              </a:lnTo>
                              <a:lnTo>
                                <a:pt x="1408" y="99"/>
                              </a:lnTo>
                              <a:lnTo>
                                <a:pt x="1410" y="99"/>
                              </a:lnTo>
                              <a:lnTo>
                                <a:pt x="1413" y="99"/>
                              </a:lnTo>
                              <a:lnTo>
                                <a:pt x="1415" y="98"/>
                              </a:lnTo>
                              <a:lnTo>
                                <a:pt x="1418" y="98"/>
                              </a:lnTo>
                              <a:lnTo>
                                <a:pt x="1420" y="97"/>
                              </a:lnTo>
                              <a:lnTo>
                                <a:pt x="1422" y="97"/>
                              </a:lnTo>
                              <a:lnTo>
                                <a:pt x="1423" y="97"/>
                              </a:lnTo>
                              <a:lnTo>
                                <a:pt x="1424" y="97"/>
                              </a:lnTo>
                              <a:lnTo>
                                <a:pt x="1426" y="96"/>
                              </a:lnTo>
                              <a:lnTo>
                                <a:pt x="1426" y="96"/>
                              </a:lnTo>
                              <a:lnTo>
                                <a:pt x="1427" y="96"/>
                              </a:lnTo>
                              <a:lnTo>
                                <a:pt x="1429" y="96"/>
                              </a:lnTo>
                              <a:lnTo>
                                <a:pt x="1432" y="95"/>
                              </a:lnTo>
                              <a:lnTo>
                                <a:pt x="1434" y="95"/>
                              </a:lnTo>
                              <a:lnTo>
                                <a:pt x="1437" y="94"/>
                              </a:lnTo>
                              <a:lnTo>
                                <a:pt x="1440" y="93"/>
                              </a:lnTo>
                              <a:lnTo>
                                <a:pt x="1444" y="92"/>
                              </a:lnTo>
                              <a:lnTo>
                                <a:pt x="1449" y="91"/>
                              </a:lnTo>
                              <a:lnTo>
                                <a:pt x="1453" y="91"/>
                              </a:lnTo>
                              <a:lnTo>
                                <a:pt x="1457" y="90"/>
                              </a:lnTo>
                              <a:lnTo>
                                <a:pt x="1459" y="89"/>
                              </a:lnTo>
                              <a:lnTo>
                                <a:pt x="1460" y="89"/>
                              </a:lnTo>
                              <a:lnTo>
                                <a:pt x="1461" y="89"/>
                              </a:lnTo>
                              <a:lnTo>
                                <a:pt x="1462" y="89"/>
                              </a:lnTo>
                              <a:lnTo>
                                <a:pt x="1463" y="88"/>
                              </a:lnTo>
                              <a:lnTo>
                                <a:pt x="1464" y="88"/>
                              </a:lnTo>
                              <a:lnTo>
                                <a:pt x="1465" y="88"/>
                              </a:lnTo>
                              <a:lnTo>
                                <a:pt x="1468" y="87"/>
                              </a:lnTo>
                              <a:lnTo>
                                <a:pt x="1471" y="87"/>
                              </a:lnTo>
                              <a:lnTo>
                                <a:pt x="1475" y="86"/>
                              </a:lnTo>
                              <a:lnTo>
                                <a:pt x="1480" y="85"/>
                              </a:lnTo>
                              <a:lnTo>
                                <a:pt x="1484" y="84"/>
                              </a:lnTo>
                              <a:lnTo>
                                <a:pt x="1488" y="83"/>
                              </a:lnTo>
                              <a:lnTo>
                                <a:pt x="1491" y="82"/>
                              </a:lnTo>
                              <a:lnTo>
                                <a:pt x="1494" y="81"/>
                              </a:lnTo>
                              <a:lnTo>
                                <a:pt x="1496" y="81"/>
                              </a:lnTo>
                              <a:lnTo>
                                <a:pt x="1498" y="81"/>
                              </a:lnTo>
                              <a:lnTo>
                                <a:pt x="1499" y="80"/>
                              </a:lnTo>
                              <a:lnTo>
                                <a:pt x="1499" y="80"/>
                              </a:lnTo>
                              <a:lnTo>
                                <a:pt x="1500" y="80"/>
                              </a:lnTo>
                              <a:lnTo>
                                <a:pt x="1501" y="80"/>
                              </a:lnTo>
                              <a:lnTo>
                                <a:pt x="1503" y="79"/>
                              </a:lnTo>
                              <a:lnTo>
                                <a:pt x="1506" y="78"/>
                              </a:lnTo>
                              <a:lnTo>
                                <a:pt x="1509" y="78"/>
                              </a:lnTo>
                              <a:lnTo>
                                <a:pt x="1512" y="77"/>
                              </a:lnTo>
                              <a:lnTo>
                                <a:pt x="1515" y="76"/>
                              </a:lnTo>
                              <a:lnTo>
                                <a:pt x="1517" y="76"/>
                              </a:lnTo>
                              <a:lnTo>
                                <a:pt x="1520" y="75"/>
                              </a:lnTo>
                              <a:lnTo>
                                <a:pt x="1523" y="74"/>
                              </a:lnTo>
                              <a:lnTo>
                                <a:pt x="1526" y="73"/>
                              </a:lnTo>
                              <a:lnTo>
                                <a:pt x="1528" y="72"/>
                              </a:lnTo>
                              <a:lnTo>
                                <a:pt x="1530" y="72"/>
                              </a:lnTo>
                              <a:lnTo>
                                <a:pt x="1532" y="72"/>
                              </a:lnTo>
                              <a:lnTo>
                                <a:pt x="1534" y="71"/>
                              </a:lnTo>
                              <a:lnTo>
                                <a:pt x="1536" y="71"/>
                              </a:lnTo>
                              <a:lnTo>
                                <a:pt x="1537" y="71"/>
                              </a:lnTo>
                              <a:lnTo>
                                <a:pt x="1537" y="71"/>
                              </a:lnTo>
                              <a:lnTo>
                                <a:pt x="1540" y="70"/>
                              </a:lnTo>
                              <a:lnTo>
                                <a:pt x="1543" y="70"/>
                              </a:lnTo>
                              <a:lnTo>
                                <a:pt x="1546" y="70"/>
                              </a:lnTo>
                              <a:lnTo>
                                <a:pt x="1549" y="69"/>
                              </a:lnTo>
                              <a:lnTo>
                                <a:pt x="1554" y="69"/>
                              </a:lnTo>
                              <a:lnTo>
                                <a:pt x="1558" y="68"/>
                              </a:lnTo>
                              <a:lnTo>
                                <a:pt x="1561" y="68"/>
                              </a:lnTo>
                              <a:lnTo>
                                <a:pt x="1564" y="68"/>
                              </a:lnTo>
                              <a:lnTo>
                                <a:pt x="1568" y="67"/>
                              </a:lnTo>
                              <a:lnTo>
                                <a:pt x="1570" y="67"/>
                              </a:lnTo>
                              <a:lnTo>
                                <a:pt x="1572" y="66"/>
                              </a:lnTo>
                              <a:lnTo>
                                <a:pt x="1574" y="66"/>
                              </a:lnTo>
                              <a:lnTo>
                                <a:pt x="1575" y="66"/>
                              </a:lnTo>
                              <a:lnTo>
                                <a:pt x="1577" y="65"/>
                              </a:lnTo>
                              <a:lnTo>
                                <a:pt x="1579" y="65"/>
                              </a:lnTo>
                              <a:lnTo>
                                <a:pt x="1582" y="65"/>
                              </a:lnTo>
                              <a:lnTo>
                                <a:pt x="1585" y="64"/>
                              </a:lnTo>
                              <a:lnTo>
                                <a:pt x="1588" y="64"/>
                              </a:lnTo>
                              <a:lnTo>
                                <a:pt x="1590" y="64"/>
                              </a:lnTo>
                              <a:lnTo>
                                <a:pt x="1593" y="64"/>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0" name="Freeform 296"/>
                        <a:cNvSpPr>
                          <a:spLocks/>
                        </a:cNvSpPr>
                      </a:nvSpPr>
                      <a:spPr bwMode="auto">
                        <a:xfrm>
                          <a:off x="7112000" y="9054381"/>
                          <a:ext cx="1444625" cy="310103"/>
                        </a:xfrm>
                        <a:custGeom>
                          <a:avLst/>
                          <a:gdLst/>
                          <a:ahLst/>
                          <a:cxnLst>
                            <a:cxn ang="0">
                              <a:pos x="23" y="144"/>
                            </a:cxn>
                            <a:cxn ang="0">
                              <a:pos x="50" y="143"/>
                            </a:cxn>
                            <a:cxn ang="0">
                              <a:pos x="66" y="144"/>
                            </a:cxn>
                            <a:cxn ang="0">
                              <a:pos x="92" y="144"/>
                            </a:cxn>
                            <a:cxn ang="0">
                              <a:pos x="116" y="146"/>
                            </a:cxn>
                            <a:cxn ang="0">
                              <a:pos x="137" y="146"/>
                            </a:cxn>
                            <a:cxn ang="0">
                              <a:pos x="166" y="148"/>
                            </a:cxn>
                            <a:cxn ang="0">
                              <a:pos x="191" y="150"/>
                            </a:cxn>
                            <a:cxn ang="0">
                              <a:pos x="215" y="150"/>
                            </a:cxn>
                            <a:cxn ang="0">
                              <a:pos x="246" y="152"/>
                            </a:cxn>
                            <a:cxn ang="0">
                              <a:pos x="277" y="153"/>
                            </a:cxn>
                            <a:cxn ang="0">
                              <a:pos x="292" y="154"/>
                            </a:cxn>
                            <a:cxn ang="0">
                              <a:pos x="317" y="155"/>
                            </a:cxn>
                            <a:cxn ang="0">
                              <a:pos x="357" y="155"/>
                            </a:cxn>
                            <a:cxn ang="0">
                              <a:pos x="375" y="155"/>
                            </a:cxn>
                            <a:cxn ang="0">
                              <a:pos x="385" y="154"/>
                            </a:cxn>
                            <a:cxn ang="0">
                              <a:pos x="389" y="152"/>
                            </a:cxn>
                            <a:cxn ang="0">
                              <a:pos x="395" y="150"/>
                            </a:cxn>
                            <a:cxn ang="0">
                              <a:pos x="402" y="145"/>
                            </a:cxn>
                            <a:cxn ang="0">
                              <a:pos x="408" y="139"/>
                            </a:cxn>
                            <a:cxn ang="0">
                              <a:pos x="413" y="132"/>
                            </a:cxn>
                            <a:cxn ang="0">
                              <a:pos x="420" y="120"/>
                            </a:cxn>
                            <a:cxn ang="0">
                              <a:pos x="424" y="113"/>
                            </a:cxn>
                            <a:cxn ang="0">
                              <a:pos x="426" y="108"/>
                            </a:cxn>
                            <a:cxn ang="0">
                              <a:pos x="436" y="80"/>
                            </a:cxn>
                            <a:cxn ang="0">
                              <a:pos x="454" y="33"/>
                            </a:cxn>
                            <a:cxn ang="0">
                              <a:pos x="461" y="17"/>
                            </a:cxn>
                            <a:cxn ang="0">
                              <a:pos x="468" y="6"/>
                            </a:cxn>
                            <a:cxn ang="0">
                              <a:pos x="476" y="0"/>
                            </a:cxn>
                            <a:cxn ang="0">
                              <a:pos x="485" y="2"/>
                            </a:cxn>
                            <a:cxn ang="0">
                              <a:pos x="494" y="12"/>
                            </a:cxn>
                            <a:cxn ang="0">
                              <a:pos x="499" y="21"/>
                            </a:cxn>
                            <a:cxn ang="0">
                              <a:pos x="513" y="47"/>
                            </a:cxn>
                            <a:cxn ang="0">
                              <a:pos x="533" y="92"/>
                            </a:cxn>
                            <a:cxn ang="0">
                              <a:pos x="537" y="100"/>
                            </a:cxn>
                            <a:cxn ang="0">
                              <a:pos x="545" y="115"/>
                            </a:cxn>
                            <a:cxn ang="0">
                              <a:pos x="555" y="132"/>
                            </a:cxn>
                            <a:cxn ang="0">
                              <a:pos x="564" y="144"/>
                            </a:cxn>
                            <a:cxn ang="0">
                              <a:pos x="572" y="153"/>
                            </a:cxn>
                            <a:cxn ang="0">
                              <a:pos x="575" y="156"/>
                            </a:cxn>
                            <a:cxn ang="0">
                              <a:pos x="586" y="165"/>
                            </a:cxn>
                            <a:cxn ang="0">
                              <a:pos x="596" y="172"/>
                            </a:cxn>
                            <a:cxn ang="0">
                              <a:pos x="607" y="178"/>
                            </a:cxn>
                            <a:cxn ang="0">
                              <a:pos x="611" y="180"/>
                            </a:cxn>
                            <a:cxn ang="0">
                              <a:pos x="622" y="185"/>
                            </a:cxn>
                            <a:cxn ang="0">
                              <a:pos x="636" y="189"/>
                            </a:cxn>
                            <a:cxn ang="0">
                              <a:pos x="648" y="192"/>
                            </a:cxn>
                            <a:cxn ang="0">
                              <a:pos x="660" y="194"/>
                            </a:cxn>
                            <a:cxn ang="0">
                              <a:pos x="681" y="197"/>
                            </a:cxn>
                            <a:cxn ang="0">
                              <a:pos x="689" y="198"/>
                            </a:cxn>
                            <a:cxn ang="0">
                              <a:pos x="713" y="199"/>
                            </a:cxn>
                            <a:cxn ang="0">
                              <a:pos x="731" y="200"/>
                            </a:cxn>
                            <a:cxn ang="0">
                              <a:pos x="761" y="201"/>
                            </a:cxn>
                            <a:cxn ang="0">
                              <a:pos x="786" y="202"/>
                            </a:cxn>
                            <a:cxn ang="0">
                              <a:pos x="836" y="203"/>
                            </a:cxn>
                            <a:cxn ang="0">
                              <a:pos x="877" y="203"/>
                            </a:cxn>
                            <a:cxn ang="0">
                              <a:pos x="891" y="203"/>
                            </a:cxn>
                            <a:cxn ang="0">
                              <a:pos x="903" y="203"/>
                            </a:cxn>
                          </a:cxnLst>
                          <a:rect l="0" t="0" r="r" b="b"/>
                          <a:pathLst>
                            <a:path w="910" h="203">
                              <a:moveTo>
                                <a:pt x="0" y="145"/>
                              </a:moveTo>
                              <a:lnTo>
                                <a:pt x="4" y="144"/>
                              </a:lnTo>
                              <a:lnTo>
                                <a:pt x="9" y="144"/>
                              </a:lnTo>
                              <a:lnTo>
                                <a:pt x="13" y="144"/>
                              </a:lnTo>
                              <a:lnTo>
                                <a:pt x="17" y="144"/>
                              </a:lnTo>
                              <a:lnTo>
                                <a:pt x="19" y="144"/>
                              </a:lnTo>
                              <a:lnTo>
                                <a:pt x="23" y="144"/>
                              </a:lnTo>
                              <a:lnTo>
                                <a:pt x="28" y="143"/>
                              </a:lnTo>
                              <a:lnTo>
                                <a:pt x="33" y="143"/>
                              </a:lnTo>
                              <a:lnTo>
                                <a:pt x="36" y="143"/>
                              </a:lnTo>
                              <a:lnTo>
                                <a:pt x="39" y="143"/>
                              </a:lnTo>
                              <a:lnTo>
                                <a:pt x="42" y="143"/>
                              </a:lnTo>
                              <a:lnTo>
                                <a:pt x="46" y="143"/>
                              </a:lnTo>
                              <a:lnTo>
                                <a:pt x="50" y="143"/>
                              </a:lnTo>
                              <a:lnTo>
                                <a:pt x="52" y="143"/>
                              </a:lnTo>
                              <a:lnTo>
                                <a:pt x="54" y="143"/>
                              </a:lnTo>
                              <a:lnTo>
                                <a:pt x="56" y="143"/>
                              </a:lnTo>
                              <a:lnTo>
                                <a:pt x="58" y="143"/>
                              </a:lnTo>
                              <a:lnTo>
                                <a:pt x="60" y="144"/>
                              </a:lnTo>
                              <a:lnTo>
                                <a:pt x="63" y="144"/>
                              </a:lnTo>
                              <a:lnTo>
                                <a:pt x="66" y="144"/>
                              </a:lnTo>
                              <a:lnTo>
                                <a:pt x="69" y="144"/>
                              </a:lnTo>
                              <a:lnTo>
                                <a:pt x="74" y="144"/>
                              </a:lnTo>
                              <a:lnTo>
                                <a:pt x="80" y="144"/>
                              </a:lnTo>
                              <a:lnTo>
                                <a:pt x="85" y="144"/>
                              </a:lnTo>
                              <a:lnTo>
                                <a:pt x="88" y="144"/>
                              </a:lnTo>
                              <a:lnTo>
                                <a:pt x="91" y="144"/>
                              </a:lnTo>
                              <a:lnTo>
                                <a:pt x="92" y="144"/>
                              </a:lnTo>
                              <a:lnTo>
                                <a:pt x="94" y="144"/>
                              </a:lnTo>
                              <a:lnTo>
                                <a:pt x="98" y="145"/>
                              </a:lnTo>
                              <a:lnTo>
                                <a:pt x="102" y="145"/>
                              </a:lnTo>
                              <a:lnTo>
                                <a:pt x="106" y="145"/>
                              </a:lnTo>
                              <a:lnTo>
                                <a:pt x="109" y="145"/>
                              </a:lnTo>
                              <a:lnTo>
                                <a:pt x="113" y="145"/>
                              </a:lnTo>
                              <a:lnTo>
                                <a:pt x="116" y="146"/>
                              </a:lnTo>
                              <a:lnTo>
                                <a:pt x="121" y="146"/>
                              </a:lnTo>
                              <a:lnTo>
                                <a:pt x="126" y="146"/>
                              </a:lnTo>
                              <a:lnTo>
                                <a:pt x="128" y="146"/>
                              </a:lnTo>
                              <a:lnTo>
                                <a:pt x="130" y="146"/>
                              </a:lnTo>
                              <a:lnTo>
                                <a:pt x="132" y="146"/>
                              </a:lnTo>
                              <a:lnTo>
                                <a:pt x="134" y="146"/>
                              </a:lnTo>
                              <a:lnTo>
                                <a:pt x="137" y="146"/>
                              </a:lnTo>
                              <a:lnTo>
                                <a:pt x="140" y="146"/>
                              </a:lnTo>
                              <a:lnTo>
                                <a:pt x="144" y="147"/>
                              </a:lnTo>
                              <a:lnTo>
                                <a:pt x="149" y="147"/>
                              </a:lnTo>
                              <a:lnTo>
                                <a:pt x="155" y="148"/>
                              </a:lnTo>
                              <a:lnTo>
                                <a:pt x="160" y="148"/>
                              </a:lnTo>
                              <a:lnTo>
                                <a:pt x="164" y="148"/>
                              </a:lnTo>
                              <a:lnTo>
                                <a:pt x="166" y="148"/>
                              </a:lnTo>
                              <a:lnTo>
                                <a:pt x="168" y="148"/>
                              </a:lnTo>
                              <a:lnTo>
                                <a:pt x="170" y="149"/>
                              </a:lnTo>
                              <a:lnTo>
                                <a:pt x="174" y="149"/>
                              </a:lnTo>
                              <a:lnTo>
                                <a:pt x="178" y="149"/>
                              </a:lnTo>
                              <a:lnTo>
                                <a:pt x="182" y="149"/>
                              </a:lnTo>
                              <a:lnTo>
                                <a:pt x="186" y="150"/>
                              </a:lnTo>
                              <a:lnTo>
                                <a:pt x="191" y="150"/>
                              </a:lnTo>
                              <a:lnTo>
                                <a:pt x="196" y="150"/>
                              </a:lnTo>
                              <a:lnTo>
                                <a:pt x="200" y="150"/>
                              </a:lnTo>
                              <a:lnTo>
                                <a:pt x="203" y="150"/>
                              </a:lnTo>
                              <a:lnTo>
                                <a:pt x="206" y="150"/>
                              </a:lnTo>
                              <a:lnTo>
                                <a:pt x="209" y="150"/>
                              </a:lnTo>
                              <a:lnTo>
                                <a:pt x="212" y="150"/>
                              </a:lnTo>
                              <a:lnTo>
                                <a:pt x="215" y="150"/>
                              </a:lnTo>
                              <a:lnTo>
                                <a:pt x="219" y="151"/>
                              </a:lnTo>
                              <a:lnTo>
                                <a:pt x="224" y="151"/>
                              </a:lnTo>
                              <a:lnTo>
                                <a:pt x="230" y="151"/>
                              </a:lnTo>
                              <a:lnTo>
                                <a:pt x="234" y="152"/>
                              </a:lnTo>
                              <a:lnTo>
                                <a:pt x="238" y="152"/>
                              </a:lnTo>
                              <a:lnTo>
                                <a:pt x="242" y="152"/>
                              </a:lnTo>
                              <a:lnTo>
                                <a:pt x="246" y="152"/>
                              </a:lnTo>
                              <a:lnTo>
                                <a:pt x="250" y="152"/>
                              </a:lnTo>
                              <a:lnTo>
                                <a:pt x="255" y="153"/>
                              </a:lnTo>
                              <a:lnTo>
                                <a:pt x="260" y="153"/>
                              </a:lnTo>
                              <a:lnTo>
                                <a:pt x="266" y="153"/>
                              </a:lnTo>
                              <a:lnTo>
                                <a:pt x="272" y="153"/>
                              </a:lnTo>
                              <a:lnTo>
                                <a:pt x="275" y="153"/>
                              </a:lnTo>
                              <a:lnTo>
                                <a:pt x="277" y="153"/>
                              </a:lnTo>
                              <a:lnTo>
                                <a:pt x="279" y="154"/>
                              </a:lnTo>
                              <a:lnTo>
                                <a:pt x="281" y="154"/>
                              </a:lnTo>
                              <a:lnTo>
                                <a:pt x="283" y="153"/>
                              </a:lnTo>
                              <a:lnTo>
                                <a:pt x="285" y="153"/>
                              </a:lnTo>
                              <a:lnTo>
                                <a:pt x="287" y="154"/>
                              </a:lnTo>
                              <a:lnTo>
                                <a:pt x="289" y="154"/>
                              </a:lnTo>
                              <a:lnTo>
                                <a:pt x="292" y="154"/>
                              </a:lnTo>
                              <a:lnTo>
                                <a:pt x="295" y="154"/>
                              </a:lnTo>
                              <a:lnTo>
                                <a:pt x="299" y="154"/>
                              </a:lnTo>
                              <a:lnTo>
                                <a:pt x="302" y="154"/>
                              </a:lnTo>
                              <a:lnTo>
                                <a:pt x="306" y="154"/>
                              </a:lnTo>
                              <a:lnTo>
                                <a:pt x="311" y="155"/>
                              </a:lnTo>
                              <a:lnTo>
                                <a:pt x="315" y="155"/>
                              </a:lnTo>
                              <a:lnTo>
                                <a:pt x="317" y="155"/>
                              </a:lnTo>
                              <a:lnTo>
                                <a:pt x="320" y="155"/>
                              </a:lnTo>
                              <a:lnTo>
                                <a:pt x="323" y="155"/>
                              </a:lnTo>
                              <a:lnTo>
                                <a:pt x="329" y="155"/>
                              </a:lnTo>
                              <a:lnTo>
                                <a:pt x="336" y="155"/>
                              </a:lnTo>
                              <a:lnTo>
                                <a:pt x="342" y="155"/>
                              </a:lnTo>
                              <a:lnTo>
                                <a:pt x="350" y="155"/>
                              </a:lnTo>
                              <a:lnTo>
                                <a:pt x="357" y="155"/>
                              </a:lnTo>
                              <a:lnTo>
                                <a:pt x="361" y="155"/>
                              </a:lnTo>
                              <a:lnTo>
                                <a:pt x="364" y="155"/>
                              </a:lnTo>
                              <a:lnTo>
                                <a:pt x="367" y="155"/>
                              </a:lnTo>
                              <a:lnTo>
                                <a:pt x="369" y="155"/>
                              </a:lnTo>
                              <a:lnTo>
                                <a:pt x="371" y="155"/>
                              </a:lnTo>
                              <a:lnTo>
                                <a:pt x="373" y="155"/>
                              </a:lnTo>
                              <a:lnTo>
                                <a:pt x="375" y="155"/>
                              </a:lnTo>
                              <a:lnTo>
                                <a:pt x="377" y="155"/>
                              </a:lnTo>
                              <a:lnTo>
                                <a:pt x="378" y="155"/>
                              </a:lnTo>
                              <a:lnTo>
                                <a:pt x="380" y="155"/>
                              </a:lnTo>
                              <a:lnTo>
                                <a:pt x="381" y="154"/>
                              </a:lnTo>
                              <a:lnTo>
                                <a:pt x="382" y="154"/>
                              </a:lnTo>
                              <a:lnTo>
                                <a:pt x="384" y="154"/>
                              </a:lnTo>
                              <a:lnTo>
                                <a:pt x="385" y="154"/>
                              </a:lnTo>
                              <a:lnTo>
                                <a:pt x="385" y="153"/>
                              </a:lnTo>
                              <a:lnTo>
                                <a:pt x="386" y="153"/>
                              </a:lnTo>
                              <a:lnTo>
                                <a:pt x="387" y="153"/>
                              </a:lnTo>
                              <a:lnTo>
                                <a:pt x="387" y="153"/>
                              </a:lnTo>
                              <a:lnTo>
                                <a:pt x="388" y="153"/>
                              </a:lnTo>
                              <a:lnTo>
                                <a:pt x="388" y="153"/>
                              </a:lnTo>
                              <a:lnTo>
                                <a:pt x="389" y="152"/>
                              </a:lnTo>
                              <a:lnTo>
                                <a:pt x="389" y="152"/>
                              </a:lnTo>
                              <a:lnTo>
                                <a:pt x="390" y="152"/>
                              </a:lnTo>
                              <a:lnTo>
                                <a:pt x="391" y="152"/>
                              </a:lnTo>
                              <a:lnTo>
                                <a:pt x="392" y="151"/>
                              </a:lnTo>
                              <a:lnTo>
                                <a:pt x="393" y="151"/>
                              </a:lnTo>
                              <a:lnTo>
                                <a:pt x="394" y="150"/>
                              </a:lnTo>
                              <a:lnTo>
                                <a:pt x="395" y="150"/>
                              </a:lnTo>
                              <a:lnTo>
                                <a:pt x="396" y="149"/>
                              </a:lnTo>
                              <a:lnTo>
                                <a:pt x="397" y="149"/>
                              </a:lnTo>
                              <a:lnTo>
                                <a:pt x="398" y="148"/>
                              </a:lnTo>
                              <a:lnTo>
                                <a:pt x="399" y="147"/>
                              </a:lnTo>
                              <a:lnTo>
                                <a:pt x="400" y="146"/>
                              </a:lnTo>
                              <a:lnTo>
                                <a:pt x="401" y="146"/>
                              </a:lnTo>
                              <a:lnTo>
                                <a:pt x="402" y="145"/>
                              </a:lnTo>
                              <a:lnTo>
                                <a:pt x="403" y="144"/>
                              </a:lnTo>
                              <a:lnTo>
                                <a:pt x="404" y="143"/>
                              </a:lnTo>
                              <a:lnTo>
                                <a:pt x="404" y="142"/>
                              </a:lnTo>
                              <a:lnTo>
                                <a:pt x="405" y="142"/>
                              </a:lnTo>
                              <a:lnTo>
                                <a:pt x="406" y="141"/>
                              </a:lnTo>
                              <a:lnTo>
                                <a:pt x="407" y="140"/>
                              </a:lnTo>
                              <a:lnTo>
                                <a:pt x="408" y="139"/>
                              </a:lnTo>
                              <a:lnTo>
                                <a:pt x="409" y="138"/>
                              </a:lnTo>
                              <a:lnTo>
                                <a:pt x="409" y="137"/>
                              </a:lnTo>
                              <a:lnTo>
                                <a:pt x="410" y="136"/>
                              </a:lnTo>
                              <a:lnTo>
                                <a:pt x="411" y="135"/>
                              </a:lnTo>
                              <a:lnTo>
                                <a:pt x="412" y="134"/>
                              </a:lnTo>
                              <a:lnTo>
                                <a:pt x="412" y="133"/>
                              </a:lnTo>
                              <a:lnTo>
                                <a:pt x="413" y="132"/>
                              </a:lnTo>
                              <a:lnTo>
                                <a:pt x="414" y="131"/>
                              </a:lnTo>
                              <a:lnTo>
                                <a:pt x="415" y="129"/>
                              </a:lnTo>
                              <a:lnTo>
                                <a:pt x="416" y="128"/>
                              </a:lnTo>
                              <a:lnTo>
                                <a:pt x="417" y="126"/>
                              </a:lnTo>
                              <a:lnTo>
                                <a:pt x="418" y="124"/>
                              </a:lnTo>
                              <a:lnTo>
                                <a:pt x="419" y="122"/>
                              </a:lnTo>
                              <a:lnTo>
                                <a:pt x="420" y="120"/>
                              </a:lnTo>
                              <a:lnTo>
                                <a:pt x="421" y="119"/>
                              </a:lnTo>
                              <a:lnTo>
                                <a:pt x="422" y="118"/>
                              </a:lnTo>
                              <a:lnTo>
                                <a:pt x="422" y="117"/>
                              </a:lnTo>
                              <a:lnTo>
                                <a:pt x="422" y="116"/>
                              </a:lnTo>
                              <a:lnTo>
                                <a:pt x="423" y="115"/>
                              </a:lnTo>
                              <a:lnTo>
                                <a:pt x="423" y="114"/>
                              </a:lnTo>
                              <a:lnTo>
                                <a:pt x="424" y="113"/>
                              </a:lnTo>
                              <a:lnTo>
                                <a:pt x="424" y="112"/>
                              </a:lnTo>
                              <a:lnTo>
                                <a:pt x="424" y="112"/>
                              </a:lnTo>
                              <a:lnTo>
                                <a:pt x="424" y="111"/>
                              </a:lnTo>
                              <a:lnTo>
                                <a:pt x="425" y="110"/>
                              </a:lnTo>
                              <a:lnTo>
                                <a:pt x="425" y="110"/>
                              </a:lnTo>
                              <a:lnTo>
                                <a:pt x="425" y="109"/>
                              </a:lnTo>
                              <a:lnTo>
                                <a:pt x="426" y="108"/>
                              </a:lnTo>
                              <a:lnTo>
                                <a:pt x="427" y="105"/>
                              </a:lnTo>
                              <a:lnTo>
                                <a:pt x="428" y="102"/>
                              </a:lnTo>
                              <a:lnTo>
                                <a:pt x="430" y="99"/>
                              </a:lnTo>
                              <a:lnTo>
                                <a:pt x="431" y="95"/>
                              </a:lnTo>
                              <a:lnTo>
                                <a:pt x="432" y="91"/>
                              </a:lnTo>
                              <a:lnTo>
                                <a:pt x="434" y="86"/>
                              </a:lnTo>
                              <a:lnTo>
                                <a:pt x="436" y="80"/>
                              </a:lnTo>
                              <a:lnTo>
                                <a:pt x="439" y="71"/>
                              </a:lnTo>
                              <a:lnTo>
                                <a:pt x="443" y="62"/>
                              </a:lnTo>
                              <a:lnTo>
                                <a:pt x="446" y="54"/>
                              </a:lnTo>
                              <a:lnTo>
                                <a:pt x="448" y="47"/>
                              </a:lnTo>
                              <a:lnTo>
                                <a:pt x="450" y="42"/>
                              </a:lnTo>
                              <a:lnTo>
                                <a:pt x="452" y="37"/>
                              </a:lnTo>
                              <a:lnTo>
                                <a:pt x="454" y="33"/>
                              </a:lnTo>
                              <a:lnTo>
                                <a:pt x="455" y="29"/>
                              </a:lnTo>
                              <a:lnTo>
                                <a:pt x="457" y="25"/>
                              </a:lnTo>
                              <a:lnTo>
                                <a:pt x="458" y="22"/>
                              </a:lnTo>
                              <a:lnTo>
                                <a:pt x="459" y="20"/>
                              </a:lnTo>
                              <a:lnTo>
                                <a:pt x="460" y="19"/>
                              </a:lnTo>
                              <a:lnTo>
                                <a:pt x="460" y="18"/>
                              </a:lnTo>
                              <a:lnTo>
                                <a:pt x="461" y="17"/>
                              </a:lnTo>
                              <a:lnTo>
                                <a:pt x="461" y="16"/>
                              </a:lnTo>
                              <a:lnTo>
                                <a:pt x="462" y="15"/>
                              </a:lnTo>
                              <a:lnTo>
                                <a:pt x="464" y="12"/>
                              </a:lnTo>
                              <a:lnTo>
                                <a:pt x="465" y="10"/>
                              </a:lnTo>
                              <a:lnTo>
                                <a:pt x="466" y="9"/>
                              </a:lnTo>
                              <a:lnTo>
                                <a:pt x="467" y="7"/>
                              </a:lnTo>
                              <a:lnTo>
                                <a:pt x="468" y="6"/>
                              </a:lnTo>
                              <a:lnTo>
                                <a:pt x="469" y="4"/>
                              </a:lnTo>
                              <a:lnTo>
                                <a:pt x="470" y="3"/>
                              </a:lnTo>
                              <a:lnTo>
                                <a:pt x="472" y="2"/>
                              </a:lnTo>
                              <a:lnTo>
                                <a:pt x="473" y="1"/>
                              </a:lnTo>
                              <a:lnTo>
                                <a:pt x="474" y="1"/>
                              </a:lnTo>
                              <a:lnTo>
                                <a:pt x="475" y="0"/>
                              </a:lnTo>
                              <a:lnTo>
                                <a:pt x="476" y="0"/>
                              </a:lnTo>
                              <a:lnTo>
                                <a:pt x="477" y="0"/>
                              </a:lnTo>
                              <a:lnTo>
                                <a:pt x="478" y="0"/>
                              </a:lnTo>
                              <a:lnTo>
                                <a:pt x="480" y="0"/>
                              </a:lnTo>
                              <a:lnTo>
                                <a:pt x="481" y="0"/>
                              </a:lnTo>
                              <a:lnTo>
                                <a:pt x="482" y="1"/>
                              </a:lnTo>
                              <a:lnTo>
                                <a:pt x="483" y="1"/>
                              </a:lnTo>
                              <a:lnTo>
                                <a:pt x="485" y="2"/>
                              </a:lnTo>
                              <a:lnTo>
                                <a:pt x="486" y="3"/>
                              </a:lnTo>
                              <a:lnTo>
                                <a:pt x="487" y="4"/>
                              </a:lnTo>
                              <a:lnTo>
                                <a:pt x="489" y="5"/>
                              </a:lnTo>
                              <a:lnTo>
                                <a:pt x="490" y="6"/>
                              </a:lnTo>
                              <a:lnTo>
                                <a:pt x="491" y="8"/>
                              </a:lnTo>
                              <a:lnTo>
                                <a:pt x="493" y="10"/>
                              </a:lnTo>
                              <a:lnTo>
                                <a:pt x="494" y="12"/>
                              </a:lnTo>
                              <a:lnTo>
                                <a:pt x="496" y="14"/>
                              </a:lnTo>
                              <a:lnTo>
                                <a:pt x="496" y="16"/>
                              </a:lnTo>
                              <a:lnTo>
                                <a:pt x="497" y="17"/>
                              </a:lnTo>
                              <a:lnTo>
                                <a:pt x="498" y="18"/>
                              </a:lnTo>
                              <a:lnTo>
                                <a:pt x="498" y="19"/>
                              </a:lnTo>
                              <a:lnTo>
                                <a:pt x="499" y="20"/>
                              </a:lnTo>
                              <a:lnTo>
                                <a:pt x="499" y="21"/>
                              </a:lnTo>
                              <a:lnTo>
                                <a:pt x="500" y="22"/>
                              </a:lnTo>
                              <a:lnTo>
                                <a:pt x="501" y="24"/>
                              </a:lnTo>
                              <a:lnTo>
                                <a:pt x="503" y="28"/>
                              </a:lnTo>
                              <a:lnTo>
                                <a:pt x="505" y="32"/>
                              </a:lnTo>
                              <a:lnTo>
                                <a:pt x="507" y="36"/>
                              </a:lnTo>
                              <a:lnTo>
                                <a:pt x="510" y="41"/>
                              </a:lnTo>
                              <a:lnTo>
                                <a:pt x="513" y="47"/>
                              </a:lnTo>
                              <a:lnTo>
                                <a:pt x="516" y="55"/>
                              </a:lnTo>
                              <a:lnTo>
                                <a:pt x="521" y="65"/>
                              </a:lnTo>
                              <a:lnTo>
                                <a:pt x="524" y="74"/>
                              </a:lnTo>
                              <a:lnTo>
                                <a:pt x="527" y="80"/>
                              </a:lnTo>
                              <a:lnTo>
                                <a:pt x="529" y="85"/>
                              </a:lnTo>
                              <a:lnTo>
                                <a:pt x="531" y="89"/>
                              </a:lnTo>
                              <a:lnTo>
                                <a:pt x="533" y="92"/>
                              </a:lnTo>
                              <a:lnTo>
                                <a:pt x="533" y="94"/>
                              </a:lnTo>
                              <a:lnTo>
                                <a:pt x="534" y="95"/>
                              </a:lnTo>
                              <a:lnTo>
                                <a:pt x="535" y="96"/>
                              </a:lnTo>
                              <a:lnTo>
                                <a:pt x="535" y="98"/>
                              </a:lnTo>
                              <a:lnTo>
                                <a:pt x="536" y="98"/>
                              </a:lnTo>
                              <a:lnTo>
                                <a:pt x="536" y="99"/>
                              </a:lnTo>
                              <a:lnTo>
                                <a:pt x="537" y="100"/>
                              </a:lnTo>
                              <a:lnTo>
                                <a:pt x="537" y="101"/>
                              </a:lnTo>
                              <a:lnTo>
                                <a:pt x="537" y="101"/>
                              </a:lnTo>
                              <a:lnTo>
                                <a:pt x="538" y="103"/>
                              </a:lnTo>
                              <a:lnTo>
                                <a:pt x="540" y="106"/>
                              </a:lnTo>
                              <a:lnTo>
                                <a:pt x="542" y="109"/>
                              </a:lnTo>
                              <a:lnTo>
                                <a:pt x="543" y="112"/>
                              </a:lnTo>
                              <a:lnTo>
                                <a:pt x="545" y="115"/>
                              </a:lnTo>
                              <a:lnTo>
                                <a:pt x="546" y="118"/>
                              </a:lnTo>
                              <a:lnTo>
                                <a:pt x="548" y="120"/>
                              </a:lnTo>
                              <a:lnTo>
                                <a:pt x="549" y="123"/>
                              </a:lnTo>
                              <a:lnTo>
                                <a:pt x="551" y="125"/>
                              </a:lnTo>
                              <a:lnTo>
                                <a:pt x="552" y="128"/>
                              </a:lnTo>
                              <a:lnTo>
                                <a:pt x="554" y="130"/>
                              </a:lnTo>
                              <a:lnTo>
                                <a:pt x="555" y="132"/>
                              </a:lnTo>
                              <a:lnTo>
                                <a:pt x="557" y="134"/>
                              </a:lnTo>
                              <a:lnTo>
                                <a:pt x="558" y="136"/>
                              </a:lnTo>
                              <a:lnTo>
                                <a:pt x="559" y="138"/>
                              </a:lnTo>
                              <a:lnTo>
                                <a:pt x="561" y="139"/>
                              </a:lnTo>
                              <a:lnTo>
                                <a:pt x="562" y="141"/>
                              </a:lnTo>
                              <a:lnTo>
                                <a:pt x="563" y="143"/>
                              </a:lnTo>
                              <a:lnTo>
                                <a:pt x="564" y="144"/>
                              </a:lnTo>
                              <a:lnTo>
                                <a:pt x="566" y="146"/>
                              </a:lnTo>
                              <a:lnTo>
                                <a:pt x="567" y="148"/>
                              </a:lnTo>
                              <a:lnTo>
                                <a:pt x="568" y="149"/>
                              </a:lnTo>
                              <a:lnTo>
                                <a:pt x="569" y="150"/>
                              </a:lnTo>
                              <a:lnTo>
                                <a:pt x="570" y="151"/>
                              </a:lnTo>
                              <a:lnTo>
                                <a:pt x="571" y="152"/>
                              </a:lnTo>
                              <a:lnTo>
                                <a:pt x="572" y="153"/>
                              </a:lnTo>
                              <a:lnTo>
                                <a:pt x="572" y="153"/>
                              </a:lnTo>
                              <a:lnTo>
                                <a:pt x="573" y="154"/>
                              </a:lnTo>
                              <a:lnTo>
                                <a:pt x="573" y="154"/>
                              </a:lnTo>
                              <a:lnTo>
                                <a:pt x="573" y="154"/>
                              </a:lnTo>
                              <a:lnTo>
                                <a:pt x="574" y="155"/>
                              </a:lnTo>
                              <a:lnTo>
                                <a:pt x="574" y="155"/>
                              </a:lnTo>
                              <a:lnTo>
                                <a:pt x="575" y="156"/>
                              </a:lnTo>
                              <a:lnTo>
                                <a:pt x="576" y="157"/>
                              </a:lnTo>
                              <a:lnTo>
                                <a:pt x="578" y="158"/>
                              </a:lnTo>
                              <a:lnTo>
                                <a:pt x="579" y="160"/>
                              </a:lnTo>
                              <a:lnTo>
                                <a:pt x="581" y="161"/>
                              </a:lnTo>
                              <a:lnTo>
                                <a:pt x="583" y="162"/>
                              </a:lnTo>
                              <a:lnTo>
                                <a:pt x="584" y="164"/>
                              </a:lnTo>
                              <a:lnTo>
                                <a:pt x="586" y="165"/>
                              </a:lnTo>
                              <a:lnTo>
                                <a:pt x="588" y="166"/>
                              </a:lnTo>
                              <a:lnTo>
                                <a:pt x="589" y="168"/>
                              </a:lnTo>
                              <a:lnTo>
                                <a:pt x="590" y="169"/>
                              </a:lnTo>
                              <a:lnTo>
                                <a:pt x="592" y="170"/>
                              </a:lnTo>
                              <a:lnTo>
                                <a:pt x="593" y="170"/>
                              </a:lnTo>
                              <a:lnTo>
                                <a:pt x="594" y="171"/>
                              </a:lnTo>
                              <a:lnTo>
                                <a:pt x="596" y="172"/>
                              </a:lnTo>
                              <a:lnTo>
                                <a:pt x="597" y="173"/>
                              </a:lnTo>
                              <a:lnTo>
                                <a:pt x="599" y="174"/>
                              </a:lnTo>
                              <a:lnTo>
                                <a:pt x="600" y="175"/>
                              </a:lnTo>
                              <a:lnTo>
                                <a:pt x="602" y="176"/>
                              </a:lnTo>
                              <a:lnTo>
                                <a:pt x="604" y="177"/>
                              </a:lnTo>
                              <a:lnTo>
                                <a:pt x="605" y="177"/>
                              </a:lnTo>
                              <a:lnTo>
                                <a:pt x="607" y="178"/>
                              </a:lnTo>
                              <a:lnTo>
                                <a:pt x="608" y="179"/>
                              </a:lnTo>
                              <a:lnTo>
                                <a:pt x="609" y="179"/>
                              </a:lnTo>
                              <a:lnTo>
                                <a:pt x="610" y="180"/>
                              </a:lnTo>
                              <a:lnTo>
                                <a:pt x="610" y="180"/>
                              </a:lnTo>
                              <a:lnTo>
                                <a:pt x="611" y="180"/>
                              </a:lnTo>
                              <a:lnTo>
                                <a:pt x="611" y="180"/>
                              </a:lnTo>
                              <a:lnTo>
                                <a:pt x="611" y="180"/>
                              </a:lnTo>
                              <a:lnTo>
                                <a:pt x="613" y="181"/>
                              </a:lnTo>
                              <a:lnTo>
                                <a:pt x="614" y="182"/>
                              </a:lnTo>
                              <a:lnTo>
                                <a:pt x="616" y="182"/>
                              </a:lnTo>
                              <a:lnTo>
                                <a:pt x="617" y="183"/>
                              </a:lnTo>
                              <a:lnTo>
                                <a:pt x="619" y="184"/>
                              </a:lnTo>
                              <a:lnTo>
                                <a:pt x="620" y="184"/>
                              </a:lnTo>
                              <a:lnTo>
                                <a:pt x="622" y="185"/>
                              </a:lnTo>
                              <a:lnTo>
                                <a:pt x="624" y="185"/>
                              </a:lnTo>
                              <a:lnTo>
                                <a:pt x="625" y="186"/>
                              </a:lnTo>
                              <a:lnTo>
                                <a:pt x="627" y="187"/>
                              </a:lnTo>
                              <a:lnTo>
                                <a:pt x="629" y="187"/>
                              </a:lnTo>
                              <a:lnTo>
                                <a:pt x="631" y="188"/>
                              </a:lnTo>
                              <a:lnTo>
                                <a:pt x="634" y="188"/>
                              </a:lnTo>
                              <a:lnTo>
                                <a:pt x="636" y="189"/>
                              </a:lnTo>
                              <a:lnTo>
                                <a:pt x="639" y="190"/>
                              </a:lnTo>
                              <a:lnTo>
                                <a:pt x="641" y="190"/>
                              </a:lnTo>
                              <a:lnTo>
                                <a:pt x="643" y="191"/>
                              </a:lnTo>
                              <a:lnTo>
                                <a:pt x="645" y="191"/>
                              </a:lnTo>
                              <a:lnTo>
                                <a:pt x="646" y="191"/>
                              </a:lnTo>
                              <a:lnTo>
                                <a:pt x="647" y="192"/>
                              </a:lnTo>
                              <a:lnTo>
                                <a:pt x="648" y="192"/>
                              </a:lnTo>
                              <a:lnTo>
                                <a:pt x="648" y="192"/>
                              </a:lnTo>
                              <a:lnTo>
                                <a:pt x="649" y="192"/>
                              </a:lnTo>
                              <a:lnTo>
                                <a:pt x="651" y="193"/>
                              </a:lnTo>
                              <a:lnTo>
                                <a:pt x="653" y="193"/>
                              </a:lnTo>
                              <a:lnTo>
                                <a:pt x="655" y="193"/>
                              </a:lnTo>
                              <a:lnTo>
                                <a:pt x="657" y="194"/>
                              </a:lnTo>
                              <a:lnTo>
                                <a:pt x="660" y="194"/>
                              </a:lnTo>
                              <a:lnTo>
                                <a:pt x="663" y="194"/>
                              </a:lnTo>
                              <a:lnTo>
                                <a:pt x="666" y="195"/>
                              </a:lnTo>
                              <a:lnTo>
                                <a:pt x="668" y="195"/>
                              </a:lnTo>
                              <a:lnTo>
                                <a:pt x="671" y="196"/>
                              </a:lnTo>
                              <a:lnTo>
                                <a:pt x="675" y="196"/>
                              </a:lnTo>
                              <a:lnTo>
                                <a:pt x="678" y="196"/>
                              </a:lnTo>
                              <a:lnTo>
                                <a:pt x="681" y="197"/>
                              </a:lnTo>
                              <a:lnTo>
                                <a:pt x="682" y="197"/>
                              </a:lnTo>
                              <a:lnTo>
                                <a:pt x="684" y="197"/>
                              </a:lnTo>
                              <a:lnTo>
                                <a:pt x="684" y="197"/>
                              </a:lnTo>
                              <a:lnTo>
                                <a:pt x="685" y="197"/>
                              </a:lnTo>
                              <a:lnTo>
                                <a:pt x="686" y="197"/>
                              </a:lnTo>
                              <a:lnTo>
                                <a:pt x="688" y="197"/>
                              </a:lnTo>
                              <a:lnTo>
                                <a:pt x="689" y="198"/>
                              </a:lnTo>
                              <a:lnTo>
                                <a:pt x="692" y="198"/>
                              </a:lnTo>
                              <a:lnTo>
                                <a:pt x="694" y="198"/>
                              </a:lnTo>
                              <a:lnTo>
                                <a:pt x="697" y="198"/>
                              </a:lnTo>
                              <a:lnTo>
                                <a:pt x="700" y="198"/>
                              </a:lnTo>
                              <a:lnTo>
                                <a:pt x="704" y="198"/>
                              </a:lnTo>
                              <a:lnTo>
                                <a:pt x="708" y="199"/>
                              </a:lnTo>
                              <a:lnTo>
                                <a:pt x="713" y="199"/>
                              </a:lnTo>
                              <a:lnTo>
                                <a:pt x="717" y="199"/>
                              </a:lnTo>
                              <a:lnTo>
                                <a:pt x="720" y="200"/>
                              </a:lnTo>
                              <a:lnTo>
                                <a:pt x="722" y="200"/>
                              </a:lnTo>
                              <a:lnTo>
                                <a:pt x="723" y="200"/>
                              </a:lnTo>
                              <a:lnTo>
                                <a:pt x="725" y="200"/>
                              </a:lnTo>
                              <a:lnTo>
                                <a:pt x="728" y="200"/>
                              </a:lnTo>
                              <a:lnTo>
                                <a:pt x="731" y="200"/>
                              </a:lnTo>
                              <a:lnTo>
                                <a:pt x="735" y="200"/>
                              </a:lnTo>
                              <a:lnTo>
                                <a:pt x="740" y="201"/>
                              </a:lnTo>
                              <a:lnTo>
                                <a:pt x="746" y="201"/>
                              </a:lnTo>
                              <a:lnTo>
                                <a:pt x="751" y="201"/>
                              </a:lnTo>
                              <a:lnTo>
                                <a:pt x="755" y="201"/>
                              </a:lnTo>
                              <a:lnTo>
                                <a:pt x="758" y="201"/>
                              </a:lnTo>
                              <a:lnTo>
                                <a:pt x="761" y="201"/>
                              </a:lnTo>
                              <a:lnTo>
                                <a:pt x="763" y="201"/>
                              </a:lnTo>
                              <a:lnTo>
                                <a:pt x="766" y="201"/>
                              </a:lnTo>
                              <a:lnTo>
                                <a:pt x="769" y="201"/>
                              </a:lnTo>
                              <a:lnTo>
                                <a:pt x="773" y="202"/>
                              </a:lnTo>
                              <a:lnTo>
                                <a:pt x="777" y="202"/>
                              </a:lnTo>
                              <a:lnTo>
                                <a:pt x="781" y="202"/>
                              </a:lnTo>
                              <a:lnTo>
                                <a:pt x="786" y="202"/>
                              </a:lnTo>
                              <a:lnTo>
                                <a:pt x="793" y="202"/>
                              </a:lnTo>
                              <a:lnTo>
                                <a:pt x="801" y="202"/>
                              </a:lnTo>
                              <a:lnTo>
                                <a:pt x="809" y="202"/>
                              </a:lnTo>
                              <a:lnTo>
                                <a:pt x="817" y="202"/>
                              </a:lnTo>
                              <a:lnTo>
                                <a:pt x="824" y="202"/>
                              </a:lnTo>
                              <a:lnTo>
                                <a:pt x="830" y="203"/>
                              </a:lnTo>
                              <a:lnTo>
                                <a:pt x="836" y="203"/>
                              </a:lnTo>
                              <a:lnTo>
                                <a:pt x="840" y="203"/>
                              </a:lnTo>
                              <a:lnTo>
                                <a:pt x="846" y="203"/>
                              </a:lnTo>
                              <a:lnTo>
                                <a:pt x="851" y="203"/>
                              </a:lnTo>
                              <a:lnTo>
                                <a:pt x="856" y="203"/>
                              </a:lnTo>
                              <a:lnTo>
                                <a:pt x="861" y="203"/>
                              </a:lnTo>
                              <a:lnTo>
                                <a:pt x="869" y="203"/>
                              </a:lnTo>
                              <a:lnTo>
                                <a:pt x="877" y="203"/>
                              </a:lnTo>
                              <a:lnTo>
                                <a:pt x="880" y="203"/>
                              </a:lnTo>
                              <a:lnTo>
                                <a:pt x="882" y="203"/>
                              </a:lnTo>
                              <a:lnTo>
                                <a:pt x="884" y="203"/>
                              </a:lnTo>
                              <a:lnTo>
                                <a:pt x="885" y="203"/>
                              </a:lnTo>
                              <a:lnTo>
                                <a:pt x="887" y="203"/>
                              </a:lnTo>
                              <a:lnTo>
                                <a:pt x="889" y="203"/>
                              </a:lnTo>
                              <a:lnTo>
                                <a:pt x="891" y="203"/>
                              </a:lnTo>
                              <a:lnTo>
                                <a:pt x="893" y="203"/>
                              </a:lnTo>
                              <a:lnTo>
                                <a:pt x="894" y="203"/>
                              </a:lnTo>
                              <a:lnTo>
                                <a:pt x="896" y="203"/>
                              </a:lnTo>
                              <a:lnTo>
                                <a:pt x="898" y="203"/>
                              </a:lnTo>
                              <a:lnTo>
                                <a:pt x="900" y="203"/>
                              </a:lnTo>
                              <a:lnTo>
                                <a:pt x="902" y="203"/>
                              </a:lnTo>
                              <a:lnTo>
                                <a:pt x="903" y="203"/>
                              </a:lnTo>
                              <a:lnTo>
                                <a:pt x="905" y="203"/>
                              </a:lnTo>
                              <a:lnTo>
                                <a:pt x="907" y="203"/>
                              </a:lnTo>
                              <a:lnTo>
                                <a:pt x="909" y="203"/>
                              </a:lnTo>
                              <a:lnTo>
                                <a:pt x="910" y="203"/>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2" name="Freeform 298"/>
                        <a:cNvSpPr>
                          <a:spLocks/>
                        </a:cNvSpPr>
                      </a:nvSpPr>
                      <a:spPr bwMode="auto">
                        <a:xfrm>
                          <a:off x="1663700" y="9036050"/>
                          <a:ext cx="544513" cy="476611"/>
                        </a:xfrm>
                        <a:custGeom>
                          <a:avLst/>
                          <a:gdLst/>
                          <a:ahLst/>
                          <a:cxnLst>
                            <a:cxn ang="0">
                              <a:pos x="11" y="312"/>
                            </a:cxn>
                            <a:cxn ang="0">
                              <a:pos x="41" y="312"/>
                            </a:cxn>
                            <a:cxn ang="0">
                              <a:pos x="89" y="312"/>
                            </a:cxn>
                            <a:cxn ang="0">
                              <a:pos x="116" y="312"/>
                            </a:cxn>
                            <a:cxn ang="0">
                              <a:pos x="128" y="312"/>
                            </a:cxn>
                            <a:cxn ang="0">
                              <a:pos x="144" y="310"/>
                            </a:cxn>
                            <a:cxn ang="0">
                              <a:pos x="149" y="310"/>
                            </a:cxn>
                            <a:cxn ang="0">
                              <a:pos x="151" y="310"/>
                            </a:cxn>
                            <a:cxn ang="0">
                              <a:pos x="152" y="309"/>
                            </a:cxn>
                            <a:cxn ang="0">
                              <a:pos x="156" y="307"/>
                            </a:cxn>
                            <a:cxn ang="0">
                              <a:pos x="158" y="304"/>
                            </a:cxn>
                            <a:cxn ang="0">
                              <a:pos x="161" y="300"/>
                            </a:cxn>
                            <a:cxn ang="0">
                              <a:pos x="163" y="295"/>
                            </a:cxn>
                            <a:cxn ang="0">
                              <a:pos x="166" y="287"/>
                            </a:cxn>
                            <a:cxn ang="0">
                              <a:pos x="170" y="271"/>
                            </a:cxn>
                            <a:cxn ang="0">
                              <a:pos x="174" y="259"/>
                            </a:cxn>
                            <a:cxn ang="0">
                              <a:pos x="176" y="252"/>
                            </a:cxn>
                            <a:cxn ang="0">
                              <a:pos x="180" y="246"/>
                            </a:cxn>
                            <a:cxn ang="0">
                              <a:pos x="182" y="243"/>
                            </a:cxn>
                            <a:cxn ang="0">
                              <a:pos x="184" y="239"/>
                            </a:cxn>
                            <a:cxn ang="0">
                              <a:pos x="185" y="231"/>
                            </a:cxn>
                            <a:cxn ang="0">
                              <a:pos x="186" y="226"/>
                            </a:cxn>
                            <a:cxn ang="0">
                              <a:pos x="186" y="221"/>
                            </a:cxn>
                            <a:cxn ang="0">
                              <a:pos x="188" y="210"/>
                            </a:cxn>
                            <a:cxn ang="0">
                              <a:pos x="189" y="194"/>
                            </a:cxn>
                            <a:cxn ang="0">
                              <a:pos x="190" y="171"/>
                            </a:cxn>
                            <a:cxn ang="0">
                              <a:pos x="193" y="119"/>
                            </a:cxn>
                            <a:cxn ang="0">
                              <a:pos x="196" y="56"/>
                            </a:cxn>
                            <a:cxn ang="0">
                              <a:pos x="197" y="25"/>
                            </a:cxn>
                            <a:cxn ang="0">
                              <a:pos x="200" y="3"/>
                            </a:cxn>
                            <a:cxn ang="0">
                              <a:pos x="202" y="1"/>
                            </a:cxn>
                            <a:cxn ang="0">
                              <a:pos x="205" y="21"/>
                            </a:cxn>
                            <a:cxn ang="0">
                              <a:pos x="207" y="56"/>
                            </a:cxn>
                            <a:cxn ang="0">
                              <a:pos x="212" y="124"/>
                            </a:cxn>
                            <a:cxn ang="0">
                              <a:pos x="216" y="168"/>
                            </a:cxn>
                            <a:cxn ang="0">
                              <a:pos x="219" y="192"/>
                            </a:cxn>
                            <a:cxn ang="0">
                              <a:pos x="222" y="213"/>
                            </a:cxn>
                            <a:cxn ang="0">
                              <a:pos x="225" y="231"/>
                            </a:cxn>
                            <a:cxn ang="0">
                              <a:pos x="227" y="246"/>
                            </a:cxn>
                            <a:cxn ang="0">
                              <a:pos x="230" y="256"/>
                            </a:cxn>
                            <a:cxn ang="0">
                              <a:pos x="232" y="264"/>
                            </a:cxn>
                            <a:cxn ang="0">
                              <a:pos x="234" y="268"/>
                            </a:cxn>
                            <a:cxn ang="0">
                              <a:pos x="236" y="271"/>
                            </a:cxn>
                            <a:cxn ang="0">
                              <a:pos x="238" y="271"/>
                            </a:cxn>
                            <a:cxn ang="0">
                              <a:pos x="239" y="269"/>
                            </a:cxn>
                            <a:cxn ang="0">
                              <a:pos x="241" y="264"/>
                            </a:cxn>
                            <a:cxn ang="0">
                              <a:pos x="243" y="256"/>
                            </a:cxn>
                            <a:cxn ang="0">
                              <a:pos x="247" y="241"/>
                            </a:cxn>
                            <a:cxn ang="0">
                              <a:pos x="249" y="233"/>
                            </a:cxn>
                            <a:cxn ang="0">
                              <a:pos x="251" y="232"/>
                            </a:cxn>
                            <a:cxn ang="0">
                              <a:pos x="253" y="236"/>
                            </a:cxn>
                            <a:cxn ang="0">
                              <a:pos x="256" y="246"/>
                            </a:cxn>
                            <a:cxn ang="0">
                              <a:pos x="259" y="261"/>
                            </a:cxn>
                            <a:cxn ang="0">
                              <a:pos x="260" y="266"/>
                            </a:cxn>
                            <a:cxn ang="0">
                              <a:pos x="261" y="269"/>
                            </a:cxn>
                            <a:cxn ang="0">
                              <a:pos x="264" y="276"/>
                            </a:cxn>
                            <a:cxn ang="0">
                              <a:pos x="266" y="282"/>
                            </a:cxn>
                            <a:cxn ang="0">
                              <a:pos x="269" y="286"/>
                            </a:cxn>
                            <a:cxn ang="0">
                              <a:pos x="272" y="289"/>
                            </a:cxn>
                            <a:cxn ang="0">
                              <a:pos x="276" y="291"/>
                            </a:cxn>
                            <a:cxn ang="0">
                              <a:pos x="282" y="292"/>
                            </a:cxn>
                            <a:cxn ang="0">
                              <a:pos x="300" y="295"/>
                            </a:cxn>
                            <a:cxn ang="0">
                              <a:pos x="329" y="299"/>
                            </a:cxn>
                          </a:cxnLst>
                          <a:rect l="0" t="0" r="r" b="b"/>
                          <a:pathLst>
                            <a:path w="343" h="312">
                              <a:moveTo>
                                <a:pt x="0" y="312"/>
                              </a:moveTo>
                              <a:lnTo>
                                <a:pt x="1" y="312"/>
                              </a:lnTo>
                              <a:lnTo>
                                <a:pt x="2" y="312"/>
                              </a:lnTo>
                              <a:lnTo>
                                <a:pt x="4" y="312"/>
                              </a:lnTo>
                              <a:lnTo>
                                <a:pt x="6" y="312"/>
                              </a:lnTo>
                              <a:lnTo>
                                <a:pt x="8" y="312"/>
                              </a:lnTo>
                              <a:lnTo>
                                <a:pt x="10" y="312"/>
                              </a:lnTo>
                              <a:lnTo>
                                <a:pt x="11" y="312"/>
                              </a:lnTo>
                              <a:lnTo>
                                <a:pt x="13" y="312"/>
                              </a:lnTo>
                              <a:lnTo>
                                <a:pt x="15" y="312"/>
                              </a:lnTo>
                              <a:lnTo>
                                <a:pt x="17" y="312"/>
                              </a:lnTo>
                              <a:lnTo>
                                <a:pt x="20" y="312"/>
                              </a:lnTo>
                              <a:lnTo>
                                <a:pt x="25" y="312"/>
                              </a:lnTo>
                              <a:lnTo>
                                <a:pt x="31" y="312"/>
                              </a:lnTo>
                              <a:lnTo>
                                <a:pt x="36" y="312"/>
                              </a:lnTo>
                              <a:lnTo>
                                <a:pt x="41" y="312"/>
                              </a:lnTo>
                              <a:lnTo>
                                <a:pt x="46" y="312"/>
                              </a:lnTo>
                              <a:lnTo>
                                <a:pt x="54" y="312"/>
                              </a:lnTo>
                              <a:lnTo>
                                <a:pt x="62" y="312"/>
                              </a:lnTo>
                              <a:lnTo>
                                <a:pt x="68" y="312"/>
                              </a:lnTo>
                              <a:lnTo>
                                <a:pt x="76" y="312"/>
                              </a:lnTo>
                              <a:lnTo>
                                <a:pt x="82" y="312"/>
                              </a:lnTo>
                              <a:lnTo>
                                <a:pt x="85" y="312"/>
                              </a:lnTo>
                              <a:lnTo>
                                <a:pt x="89" y="312"/>
                              </a:lnTo>
                              <a:lnTo>
                                <a:pt x="92" y="312"/>
                              </a:lnTo>
                              <a:lnTo>
                                <a:pt x="96" y="312"/>
                              </a:lnTo>
                              <a:lnTo>
                                <a:pt x="100" y="312"/>
                              </a:lnTo>
                              <a:lnTo>
                                <a:pt x="104" y="311"/>
                              </a:lnTo>
                              <a:lnTo>
                                <a:pt x="107" y="311"/>
                              </a:lnTo>
                              <a:lnTo>
                                <a:pt x="110" y="312"/>
                              </a:lnTo>
                              <a:lnTo>
                                <a:pt x="113" y="312"/>
                              </a:lnTo>
                              <a:lnTo>
                                <a:pt x="116" y="312"/>
                              </a:lnTo>
                              <a:lnTo>
                                <a:pt x="118" y="312"/>
                              </a:lnTo>
                              <a:lnTo>
                                <a:pt x="119" y="312"/>
                              </a:lnTo>
                              <a:lnTo>
                                <a:pt x="121" y="312"/>
                              </a:lnTo>
                              <a:lnTo>
                                <a:pt x="123" y="312"/>
                              </a:lnTo>
                              <a:lnTo>
                                <a:pt x="124" y="312"/>
                              </a:lnTo>
                              <a:lnTo>
                                <a:pt x="125" y="312"/>
                              </a:lnTo>
                              <a:lnTo>
                                <a:pt x="127" y="312"/>
                              </a:lnTo>
                              <a:lnTo>
                                <a:pt x="128" y="312"/>
                              </a:lnTo>
                              <a:lnTo>
                                <a:pt x="130" y="312"/>
                              </a:lnTo>
                              <a:lnTo>
                                <a:pt x="131" y="312"/>
                              </a:lnTo>
                              <a:lnTo>
                                <a:pt x="133" y="312"/>
                              </a:lnTo>
                              <a:lnTo>
                                <a:pt x="135" y="311"/>
                              </a:lnTo>
                              <a:lnTo>
                                <a:pt x="137" y="311"/>
                              </a:lnTo>
                              <a:lnTo>
                                <a:pt x="140" y="311"/>
                              </a:lnTo>
                              <a:lnTo>
                                <a:pt x="143" y="311"/>
                              </a:lnTo>
                              <a:lnTo>
                                <a:pt x="144" y="310"/>
                              </a:lnTo>
                              <a:lnTo>
                                <a:pt x="145" y="310"/>
                              </a:lnTo>
                              <a:lnTo>
                                <a:pt x="146" y="310"/>
                              </a:lnTo>
                              <a:lnTo>
                                <a:pt x="147" y="310"/>
                              </a:lnTo>
                              <a:lnTo>
                                <a:pt x="147" y="310"/>
                              </a:lnTo>
                              <a:lnTo>
                                <a:pt x="148" y="310"/>
                              </a:lnTo>
                              <a:lnTo>
                                <a:pt x="148" y="310"/>
                              </a:lnTo>
                              <a:lnTo>
                                <a:pt x="148" y="310"/>
                              </a:lnTo>
                              <a:lnTo>
                                <a:pt x="149" y="310"/>
                              </a:lnTo>
                              <a:lnTo>
                                <a:pt x="149" y="310"/>
                              </a:lnTo>
                              <a:lnTo>
                                <a:pt x="149" y="310"/>
                              </a:lnTo>
                              <a:lnTo>
                                <a:pt x="150" y="310"/>
                              </a:lnTo>
                              <a:lnTo>
                                <a:pt x="150" y="310"/>
                              </a:lnTo>
                              <a:lnTo>
                                <a:pt x="150" y="310"/>
                              </a:lnTo>
                              <a:lnTo>
                                <a:pt x="150" y="310"/>
                              </a:lnTo>
                              <a:lnTo>
                                <a:pt x="150" y="310"/>
                              </a:lnTo>
                              <a:lnTo>
                                <a:pt x="151" y="310"/>
                              </a:lnTo>
                              <a:lnTo>
                                <a:pt x="151" y="310"/>
                              </a:lnTo>
                              <a:lnTo>
                                <a:pt x="151" y="310"/>
                              </a:lnTo>
                              <a:lnTo>
                                <a:pt x="151" y="310"/>
                              </a:lnTo>
                              <a:lnTo>
                                <a:pt x="151" y="310"/>
                              </a:lnTo>
                              <a:lnTo>
                                <a:pt x="151" y="310"/>
                              </a:lnTo>
                              <a:lnTo>
                                <a:pt x="152" y="310"/>
                              </a:lnTo>
                              <a:lnTo>
                                <a:pt x="152" y="309"/>
                              </a:lnTo>
                              <a:lnTo>
                                <a:pt x="152" y="309"/>
                              </a:lnTo>
                              <a:lnTo>
                                <a:pt x="153" y="309"/>
                              </a:lnTo>
                              <a:lnTo>
                                <a:pt x="153" y="309"/>
                              </a:lnTo>
                              <a:lnTo>
                                <a:pt x="154" y="309"/>
                              </a:lnTo>
                              <a:lnTo>
                                <a:pt x="154" y="308"/>
                              </a:lnTo>
                              <a:lnTo>
                                <a:pt x="154" y="308"/>
                              </a:lnTo>
                              <a:lnTo>
                                <a:pt x="155" y="308"/>
                              </a:lnTo>
                              <a:lnTo>
                                <a:pt x="155" y="308"/>
                              </a:lnTo>
                              <a:lnTo>
                                <a:pt x="156" y="307"/>
                              </a:lnTo>
                              <a:lnTo>
                                <a:pt x="156" y="307"/>
                              </a:lnTo>
                              <a:lnTo>
                                <a:pt x="156" y="306"/>
                              </a:lnTo>
                              <a:lnTo>
                                <a:pt x="157" y="306"/>
                              </a:lnTo>
                              <a:lnTo>
                                <a:pt x="157" y="306"/>
                              </a:lnTo>
                              <a:lnTo>
                                <a:pt x="157" y="305"/>
                              </a:lnTo>
                              <a:lnTo>
                                <a:pt x="158" y="305"/>
                              </a:lnTo>
                              <a:lnTo>
                                <a:pt x="158" y="305"/>
                              </a:lnTo>
                              <a:lnTo>
                                <a:pt x="158" y="304"/>
                              </a:lnTo>
                              <a:lnTo>
                                <a:pt x="159" y="304"/>
                              </a:lnTo>
                              <a:lnTo>
                                <a:pt x="159" y="303"/>
                              </a:lnTo>
                              <a:lnTo>
                                <a:pt x="159" y="303"/>
                              </a:lnTo>
                              <a:lnTo>
                                <a:pt x="160" y="302"/>
                              </a:lnTo>
                              <a:lnTo>
                                <a:pt x="160" y="302"/>
                              </a:lnTo>
                              <a:lnTo>
                                <a:pt x="160" y="301"/>
                              </a:lnTo>
                              <a:lnTo>
                                <a:pt x="160" y="301"/>
                              </a:lnTo>
                              <a:lnTo>
                                <a:pt x="161" y="300"/>
                              </a:lnTo>
                              <a:lnTo>
                                <a:pt x="161" y="300"/>
                              </a:lnTo>
                              <a:lnTo>
                                <a:pt x="161" y="299"/>
                              </a:lnTo>
                              <a:lnTo>
                                <a:pt x="162" y="299"/>
                              </a:lnTo>
                              <a:lnTo>
                                <a:pt x="162" y="298"/>
                              </a:lnTo>
                              <a:lnTo>
                                <a:pt x="162" y="297"/>
                              </a:lnTo>
                              <a:lnTo>
                                <a:pt x="163" y="297"/>
                              </a:lnTo>
                              <a:lnTo>
                                <a:pt x="163" y="296"/>
                              </a:lnTo>
                              <a:lnTo>
                                <a:pt x="163" y="295"/>
                              </a:lnTo>
                              <a:lnTo>
                                <a:pt x="163" y="294"/>
                              </a:lnTo>
                              <a:lnTo>
                                <a:pt x="164" y="294"/>
                              </a:lnTo>
                              <a:lnTo>
                                <a:pt x="164" y="293"/>
                              </a:lnTo>
                              <a:lnTo>
                                <a:pt x="164" y="292"/>
                              </a:lnTo>
                              <a:lnTo>
                                <a:pt x="165" y="291"/>
                              </a:lnTo>
                              <a:lnTo>
                                <a:pt x="165" y="290"/>
                              </a:lnTo>
                              <a:lnTo>
                                <a:pt x="165" y="288"/>
                              </a:lnTo>
                              <a:lnTo>
                                <a:pt x="166" y="287"/>
                              </a:lnTo>
                              <a:lnTo>
                                <a:pt x="166" y="286"/>
                              </a:lnTo>
                              <a:lnTo>
                                <a:pt x="166" y="284"/>
                              </a:lnTo>
                              <a:lnTo>
                                <a:pt x="167" y="283"/>
                              </a:lnTo>
                              <a:lnTo>
                                <a:pt x="167" y="281"/>
                              </a:lnTo>
                              <a:lnTo>
                                <a:pt x="168" y="279"/>
                              </a:lnTo>
                              <a:lnTo>
                                <a:pt x="169" y="277"/>
                              </a:lnTo>
                              <a:lnTo>
                                <a:pt x="169" y="274"/>
                              </a:lnTo>
                              <a:lnTo>
                                <a:pt x="170" y="271"/>
                              </a:lnTo>
                              <a:lnTo>
                                <a:pt x="171" y="269"/>
                              </a:lnTo>
                              <a:lnTo>
                                <a:pt x="171" y="267"/>
                              </a:lnTo>
                              <a:lnTo>
                                <a:pt x="172" y="265"/>
                              </a:lnTo>
                              <a:lnTo>
                                <a:pt x="172" y="264"/>
                              </a:lnTo>
                              <a:lnTo>
                                <a:pt x="173" y="262"/>
                              </a:lnTo>
                              <a:lnTo>
                                <a:pt x="173" y="261"/>
                              </a:lnTo>
                              <a:lnTo>
                                <a:pt x="173" y="260"/>
                              </a:lnTo>
                              <a:lnTo>
                                <a:pt x="174" y="259"/>
                              </a:lnTo>
                              <a:lnTo>
                                <a:pt x="174" y="258"/>
                              </a:lnTo>
                              <a:lnTo>
                                <a:pt x="174" y="257"/>
                              </a:lnTo>
                              <a:lnTo>
                                <a:pt x="175" y="256"/>
                              </a:lnTo>
                              <a:lnTo>
                                <a:pt x="175" y="255"/>
                              </a:lnTo>
                              <a:lnTo>
                                <a:pt x="175" y="254"/>
                              </a:lnTo>
                              <a:lnTo>
                                <a:pt x="176" y="253"/>
                              </a:lnTo>
                              <a:lnTo>
                                <a:pt x="176" y="253"/>
                              </a:lnTo>
                              <a:lnTo>
                                <a:pt x="176" y="252"/>
                              </a:lnTo>
                              <a:lnTo>
                                <a:pt x="177" y="251"/>
                              </a:lnTo>
                              <a:lnTo>
                                <a:pt x="177" y="250"/>
                              </a:lnTo>
                              <a:lnTo>
                                <a:pt x="178" y="250"/>
                              </a:lnTo>
                              <a:lnTo>
                                <a:pt x="178" y="249"/>
                              </a:lnTo>
                              <a:lnTo>
                                <a:pt x="179" y="248"/>
                              </a:lnTo>
                              <a:lnTo>
                                <a:pt x="179" y="247"/>
                              </a:lnTo>
                              <a:lnTo>
                                <a:pt x="180" y="247"/>
                              </a:lnTo>
                              <a:lnTo>
                                <a:pt x="180" y="246"/>
                              </a:lnTo>
                              <a:lnTo>
                                <a:pt x="180" y="246"/>
                              </a:lnTo>
                              <a:lnTo>
                                <a:pt x="181" y="246"/>
                              </a:lnTo>
                              <a:lnTo>
                                <a:pt x="181" y="245"/>
                              </a:lnTo>
                              <a:lnTo>
                                <a:pt x="181" y="245"/>
                              </a:lnTo>
                              <a:lnTo>
                                <a:pt x="181" y="244"/>
                              </a:lnTo>
                              <a:lnTo>
                                <a:pt x="182" y="244"/>
                              </a:lnTo>
                              <a:lnTo>
                                <a:pt x="182" y="244"/>
                              </a:lnTo>
                              <a:lnTo>
                                <a:pt x="182" y="243"/>
                              </a:lnTo>
                              <a:lnTo>
                                <a:pt x="182" y="243"/>
                              </a:lnTo>
                              <a:lnTo>
                                <a:pt x="182" y="242"/>
                              </a:lnTo>
                              <a:lnTo>
                                <a:pt x="183" y="242"/>
                              </a:lnTo>
                              <a:lnTo>
                                <a:pt x="183" y="241"/>
                              </a:lnTo>
                              <a:lnTo>
                                <a:pt x="183" y="241"/>
                              </a:lnTo>
                              <a:lnTo>
                                <a:pt x="183" y="240"/>
                              </a:lnTo>
                              <a:lnTo>
                                <a:pt x="183" y="240"/>
                              </a:lnTo>
                              <a:lnTo>
                                <a:pt x="184" y="239"/>
                              </a:lnTo>
                              <a:lnTo>
                                <a:pt x="184" y="238"/>
                              </a:lnTo>
                              <a:lnTo>
                                <a:pt x="184" y="237"/>
                              </a:lnTo>
                              <a:lnTo>
                                <a:pt x="184" y="236"/>
                              </a:lnTo>
                              <a:lnTo>
                                <a:pt x="184" y="235"/>
                              </a:lnTo>
                              <a:lnTo>
                                <a:pt x="185" y="234"/>
                              </a:lnTo>
                              <a:lnTo>
                                <a:pt x="185" y="233"/>
                              </a:lnTo>
                              <a:lnTo>
                                <a:pt x="185" y="232"/>
                              </a:lnTo>
                              <a:lnTo>
                                <a:pt x="185" y="231"/>
                              </a:lnTo>
                              <a:lnTo>
                                <a:pt x="185" y="231"/>
                              </a:lnTo>
                              <a:lnTo>
                                <a:pt x="185" y="230"/>
                              </a:lnTo>
                              <a:lnTo>
                                <a:pt x="185" y="229"/>
                              </a:lnTo>
                              <a:lnTo>
                                <a:pt x="185" y="229"/>
                              </a:lnTo>
                              <a:lnTo>
                                <a:pt x="185" y="228"/>
                              </a:lnTo>
                              <a:lnTo>
                                <a:pt x="186" y="227"/>
                              </a:lnTo>
                              <a:lnTo>
                                <a:pt x="186" y="226"/>
                              </a:lnTo>
                              <a:lnTo>
                                <a:pt x="186" y="226"/>
                              </a:lnTo>
                              <a:lnTo>
                                <a:pt x="186" y="225"/>
                              </a:lnTo>
                              <a:lnTo>
                                <a:pt x="186" y="225"/>
                              </a:lnTo>
                              <a:lnTo>
                                <a:pt x="186" y="224"/>
                              </a:lnTo>
                              <a:lnTo>
                                <a:pt x="186" y="223"/>
                              </a:lnTo>
                              <a:lnTo>
                                <a:pt x="186" y="223"/>
                              </a:lnTo>
                              <a:lnTo>
                                <a:pt x="186" y="222"/>
                              </a:lnTo>
                              <a:lnTo>
                                <a:pt x="186" y="221"/>
                              </a:lnTo>
                              <a:lnTo>
                                <a:pt x="186" y="221"/>
                              </a:lnTo>
                              <a:lnTo>
                                <a:pt x="186" y="220"/>
                              </a:lnTo>
                              <a:lnTo>
                                <a:pt x="187" y="219"/>
                              </a:lnTo>
                              <a:lnTo>
                                <a:pt x="187" y="218"/>
                              </a:lnTo>
                              <a:lnTo>
                                <a:pt x="187" y="216"/>
                              </a:lnTo>
                              <a:lnTo>
                                <a:pt x="187" y="215"/>
                              </a:lnTo>
                              <a:lnTo>
                                <a:pt x="187" y="213"/>
                              </a:lnTo>
                              <a:lnTo>
                                <a:pt x="187" y="211"/>
                              </a:lnTo>
                              <a:lnTo>
                                <a:pt x="188" y="210"/>
                              </a:lnTo>
                              <a:lnTo>
                                <a:pt x="188" y="208"/>
                              </a:lnTo>
                              <a:lnTo>
                                <a:pt x="188" y="206"/>
                              </a:lnTo>
                              <a:lnTo>
                                <a:pt x="188" y="204"/>
                              </a:lnTo>
                              <a:lnTo>
                                <a:pt x="188" y="202"/>
                              </a:lnTo>
                              <a:lnTo>
                                <a:pt x="188" y="200"/>
                              </a:lnTo>
                              <a:lnTo>
                                <a:pt x="188" y="198"/>
                              </a:lnTo>
                              <a:lnTo>
                                <a:pt x="189" y="196"/>
                              </a:lnTo>
                              <a:lnTo>
                                <a:pt x="189" y="194"/>
                              </a:lnTo>
                              <a:lnTo>
                                <a:pt x="189" y="192"/>
                              </a:lnTo>
                              <a:lnTo>
                                <a:pt x="189" y="189"/>
                              </a:lnTo>
                              <a:lnTo>
                                <a:pt x="189" y="187"/>
                              </a:lnTo>
                              <a:lnTo>
                                <a:pt x="189" y="184"/>
                              </a:lnTo>
                              <a:lnTo>
                                <a:pt x="189" y="181"/>
                              </a:lnTo>
                              <a:lnTo>
                                <a:pt x="190" y="178"/>
                              </a:lnTo>
                              <a:lnTo>
                                <a:pt x="190" y="175"/>
                              </a:lnTo>
                              <a:lnTo>
                                <a:pt x="190" y="171"/>
                              </a:lnTo>
                              <a:lnTo>
                                <a:pt x="190" y="167"/>
                              </a:lnTo>
                              <a:lnTo>
                                <a:pt x="191" y="162"/>
                              </a:lnTo>
                              <a:lnTo>
                                <a:pt x="191" y="157"/>
                              </a:lnTo>
                              <a:lnTo>
                                <a:pt x="191" y="151"/>
                              </a:lnTo>
                              <a:lnTo>
                                <a:pt x="191" y="145"/>
                              </a:lnTo>
                              <a:lnTo>
                                <a:pt x="192" y="137"/>
                              </a:lnTo>
                              <a:lnTo>
                                <a:pt x="192" y="129"/>
                              </a:lnTo>
                              <a:lnTo>
                                <a:pt x="193" y="119"/>
                              </a:lnTo>
                              <a:lnTo>
                                <a:pt x="193" y="107"/>
                              </a:lnTo>
                              <a:lnTo>
                                <a:pt x="194" y="94"/>
                              </a:lnTo>
                              <a:lnTo>
                                <a:pt x="194" y="86"/>
                              </a:lnTo>
                              <a:lnTo>
                                <a:pt x="194" y="78"/>
                              </a:lnTo>
                              <a:lnTo>
                                <a:pt x="195" y="72"/>
                              </a:lnTo>
                              <a:lnTo>
                                <a:pt x="195" y="66"/>
                              </a:lnTo>
                              <a:lnTo>
                                <a:pt x="195" y="61"/>
                              </a:lnTo>
                              <a:lnTo>
                                <a:pt x="196" y="56"/>
                              </a:lnTo>
                              <a:lnTo>
                                <a:pt x="196" y="51"/>
                              </a:lnTo>
                              <a:lnTo>
                                <a:pt x="196" y="46"/>
                              </a:lnTo>
                              <a:lnTo>
                                <a:pt x="196" y="42"/>
                              </a:lnTo>
                              <a:lnTo>
                                <a:pt x="197" y="38"/>
                              </a:lnTo>
                              <a:lnTo>
                                <a:pt x="197" y="35"/>
                              </a:lnTo>
                              <a:lnTo>
                                <a:pt x="197" y="32"/>
                              </a:lnTo>
                              <a:lnTo>
                                <a:pt x="197" y="28"/>
                              </a:lnTo>
                              <a:lnTo>
                                <a:pt x="197" y="25"/>
                              </a:lnTo>
                              <a:lnTo>
                                <a:pt x="198" y="21"/>
                              </a:lnTo>
                              <a:lnTo>
                                <a:pt x="198" y="17"/>
                              </a:lnTo>
                              <a:lnTo>
                                <a:pt x="198" y="14"/>
                              </a:lnTo>
                              <a:lnTo>
                                <a:pt x="199" y="11"/>
                              </a:lnTo>
                              <a:lnTo>
                                <a:pt x="199" y="8"/>
                              </a:lnTo>
                              <a:lnTo>
                                <a:pt x="199" y="6"/>
                              </a:lnTo>
                              <a:lnTo>
                                <a:pt x="199" y="4"/>
                              </a:lnTo>
                              <a:lnTo>
                                <a:pt x="200" y="3"/>
                              </a:lnTo>
                              <a:lnTo>
                                <a:pt x="200" y="2"/>
                              </a:lnTo>
                              <a:lnTo>
                                <a:pt x="200" y="1"/>
                              </a:lnTo>
                              <a:lnTo>
                                <a:pt x="201" y="0"/>
                              </a:lnTo>
                              <a:lnTo>
                                <a:pt x="201" y="0"/>
                              </a:lnTo>
                              <a:lnTo>
                                <a:pt x="201" y="0"/>
                              </a:lnTo>
                              <a:lnTo>
                                <a:pt x="201" y="0"/>
                              </a:lnTo>
                              <a:lnTo>
                                <a:pt x="202" y="0"/>
                              </a:lnTo>
                              <a:lnTo>
                                <a:pt x="202" y="1"/>
                              </a:lnTo>
                              <a:lnTo>
                                <a:pt x="202" y="3"/>
                              </a:lnTo>
                              <a:lnTo>
                                <a:pt x="203" y="4"/>
                              </a:lnTo>
                              <a:lnTo>
                                <a:pt x="203" y="6"/>
                              </a:lnTo>
                              <a:lnTo>
                                <a:pt x="203" y="8"/>
                              </a:lnTo>
                              <a:lnTo>
                                <a:pt x="204" y="11"/>
                              </a:lnTo>
                              <a:lnTo>
                                <a:pt x="204" y="14"/>
                              </a:lnTo>
                              <a:lnTo>
                                <a:pt x="204" y="17"/>
                              </a:lnTo>
                              <a:lnTo>
                                <a:pt x="205" y="21"/>
                              </a:lnTo>
                              <a:lnTo>
                                <a:pt x="205" y="25"/>
                              </a:lnTo>
                              <a:lnTo>
                                <a:pt x="205" y="29"/>
                              </a:lnTo>
                              <a:lnTo>
                                <a:pt x="206" y="32"/>
                              </a:lnTo>
                              <a:lnTo>
                                <a:pt x="206" y="36"/>
                              </a:lnTo>
                              <a:lnTo>
                                <a:pt x="206" y="40"/>
                              </a:lnTo>
                              <a:lnTo>
                                <a:pt x="207" y="45"/>
                              </a:lnTo>
                              <a:lnTo>
                                <a:pt x="207" y="50"/>
                              </a:lnTo>
                              <a:lnTo>
                                <a:pt x="207" y="56"/>
                              </a:lnTo>
                              <a:lnTo>
                                <a:pt x="208" y="62"/>
                              </a:lnTo>
                              <a:lnTo>
                                <a:pt x="208" y="70"/>
                              </a:lnTo>
                              <a:lnTo>
                                <a:pt x="209" y="81"/>
                              </a:lnTo>
                              <a:lnTo>
                                <a:pt x="210" y="93"/>
                              </a:lnTo>
                              <a:lnTo>
                                <a:pt x="211" y="102"/>
                              </a:lnTo>
                              <a:lnTo>
                                <a:pt x="211" y="110"/>
                              </a:lnTo>
                              <a:lnTo>
                                <a:pt x="212" y="117"/>
                              </a:lnTo>
                              <a:lnTo>
                                <a:pt x="212" y="124"/>
                              </a:lnTo>
                              <a:lnTo>
                                <a:pt x="213" y="130"/>
                              </a:lnTo>
                              <a:lnTo>
                                <a:pt x="213" y="136"/>
                              </a:lnTo>
                              <a:lnTo>
                                <a:pt x="214" y="142"/>
                              </a:lnTo>
                              <a:lnTo>
                                <a:pt x="214" y="147"/>
                              </a:lnTo>
                              <a:lnTo>
                                <a:pt x="215" y="153"/>
                              </a:lnTo>
                              <a:lnTo>
                                <a:pt x="215" y="158"/>
                              </a:lnTo>
                              <a:lnTo>
                                <a:pt x="216" y="163"/>
                              </a:lnTo>
                              <a:lnTo>
                                <a:pt x="216" y="168"/>
                              </a:lnTo>
                              <a:lnTo>
                                <a:pt x="216" y="172"/>
                              </a:lnTo>
                              <a:lnTo>
                                <a:pt x="217" y="175"/>
                              </a:lnTo>
                              <a:lnTo>
                                <a:pt x="217" y="178"/>
                              </a:lnTo>
                              <a:lnTo>
                                <a:pt x="217" y="181"/>
                              </a:lnTo>
                              <a:lnTo>
                                <a:pt x="218" y="184"/>
                              </a:lnTo>
                              <a:lnTo>
                                <a:pt x="218" y="187"/>
                              </a:lnTo>
                              <a:lnTo>
                                <a:pt x="218" y="189"/>
                              </a:lnTo>
                              <a:lnTo>
                                <a:pt x="219" y="192"/>
                              </a:lnTo>
                              <a:lnTo>
                                <a:pt x="219" y="195"/>
                              </a:lnTo>
                              <a:lnTo>
                                <a:pt x="219" y="198"/>
                              </a:lnTo>
                              <a:lnTo>
                                <a:pt x="220" y="201"/>
                              </a:lnTo>
                              <a:lnTo>
                                <a:pt x="220" y="203"/>
                              </a:lnTo>
                              <a:lnTo>
                                <a:pt x="220" y="206"/>
                              </a:lnTo>
                              <a:lnTo>
                                <a:pt x="221" y="208"/>
                              </a:lnTo>
                              <a:lnTo>
                                <a:pt x="221" y="211"/>
                              </a:lnTo>
                              <a:lnTo>
                                <a:pt x="222" y="213"/>
                              </a:lnTo>
                              <a:lnTo>
                                <a:pt x="222" y="216"/>
                              </a:lnTo>
                              <a:lnTo>
                                <a:pt x="223" y="220"/>
                              </a:lnTo>
                              <a:lnTo>
                                <a:pt x="223" y="224"/>
                              </a:lnTo>
                              <a:lnTo>
                                <a:pt x="224" y="226"/>
                              </a:lnTo>
                              <a:lnTo>
                                <a:pt x="224" y="228"/>
                              </a:lnTo>
                              <a:lnTo>
                                <a:pt x="224" y="229"/>
                              </a:lnTo>
                              <a:lnTo>
                                <a:pt x="224" y="231"/>
                              </a:lnTo>
                              <a:lnTo>
                                <a:pt x="225" y="231"/>
                              </a:lnTo>
                              <a:lnTo>
                                <a:pt x="225" y="232"/>
                              </a:lnTo>
                              <a:lnTo>
                                <a:pt x="225" y="234"/>
                              </a:lnTo>
                              <a:lnTo>
                                <a:pt x="226" y="237"/>
                              </a:lnTo>
                              <a:lnTo>
                                <a:pt x="226" y="239"/>
                              </a:lnTo>
                              <a:lnTo>
                                <a:pt x="226" y="241"/>
                              </a:lnTo>
                              <a:lnTo>
                                <a:pt x="227" y="243"/>
                              </a:lnTo>
                              <a:lnTo>
                                <a:pt x="227" y="244"/>
                              </a:lnTo>
                              <a:lnTo>
                                <a:pt x="227" y="246"/>
                              </a:lnTo>
                              <a:lnTo>
                                <a:pt x="228" y="247"/>
                              </a:lnTo>
                              <a:lnTo>
                                <a:pt x="228" y="249"/>
                              </a:lnTo>
                              <a:lnTo>
                                <a:pt x="228" y="250"/>
                              </a:lnTo>
                              <a:lnTo>
                                <a:pt x="229" y="252"/>
                              </a:lnTo>
                              <a:lnTo>
                                <a:pt x="229" y="253"/>
                              </a:lnTo>
                              <a:lnTo>
                                <a:pt x="229" y="254"/>
                              </a:lnTo>
                              <a:lnTo>
                                <a:pt x="230" y="255"/>
                              </a:lnTo>
                              <a:lnTo>
                                <a:pt x="230" y="256"/>
                              </a:lnTo>
                              <a:lnTo>
                                <a:pt x="230" y="257"/>
                              </a:lnTo>
                              <a:lnTo>
                                <a:pt x="230" y="258"/>
                              </a:lnTo>
                              <a:lnTo>
                                <a:pt x="231" y="259"/>
                              </a:lnTo>
                              <a:lnTo>
                                <a:pt x="231" y="260"/>
                              </a:lnTo>
                              <a:lnTo>
                                <a:pt x="231" y="261"/>
                              </a:lnTo>
                              <a:lnTo>
                                <a:pt x="231" y="262"/>
                              </a:lnTo>
                              <a:lnTo>
                                <a:pt x="232" y="263"/>
                              </a:lnTo>
                              <a:lnTo>
                                <a:pt x="232" y="264"/>
                              </a:lnTo>
                              <a:lnTo>
                                <a:pt x="232" y="264"/>
                              </a:lnTo>
                              <a:lnTo>
                                <a:pt x="232" y="265"/>
                              </a:lnTo>
                              <a:lnTo>
                                <a:pt x="233" y="266"/>
                              </a:lnTo>
                              <a:lnTo>
                                <a:pt x="233" y="266"/>
                              </a:lnTo>
                              <a:lnTo>
                                <a:pt x="233" y="267"/>
                              </a:lnTo>
                              <a:lnTo>
                                <a:pt x="233" y="267"/>
                              </a:lnTo>
                              <a:lnTo>
                                <a:pt x="234" y="268"/>
                              </a:lnTo>
                              <a:lnTo>
                                <a:pt x="234" y="268"/>
                              </a:lnTo>
                              <a:lnTo>
                                <a:pt x="234" y="269"/>
                              </a:lnTo>
                              <a:lnTo>
                                <a:pt x="234" y="269"/>
                              </a:lnTo>
                              <a:lnTo>
                                <a:pt x="235" y="269"/>
                              </a:lnTo>
                              <a:lnTo>
                                <a:pt x="235" y="270"/>
                              </a:lnTo>
                              <a:lnTo>
                                <a:pt x="235" y="270"/>
                              </a:lnTo>
                              <a:lnTo>
                                <a:pt x="235" y="270"/>
                              </a:lnTo>
                              <a:lnTo>
                                <a:pt x="236" y="271"/>
                              </a:lnTo>
                              <a:lnTo>
                                <a:pt x="236" y="271"/>
                              </a:lnTo>
                              <a:lnTo>
                                <a:pt x="236" y="271"/>
                              </a:lnTo>
                              <a:lnTo>
                                <a:pt x="236" y="271"/>
                              </a:lnTo>
                              <a:lnTo>
                                <a:pt x="236" y="271"/>
                              </a:lnTo>
                              <a:lnTo>
                                <a:pt x="237" y="271"/>
                              </a:lnTo>
                              <a:lnTo>
                                <a:pt x="237" y="271"/>
                              </a:lnTo>
                              <a:lnTo>
                                <a:pt x="237" y="271"/>
                              </a:lnTo>
                              <a:lnTo>
                                <a:pt x="237" y="271"/>
                              </a:lnTo>
                              <a:lnTo>
                                <a:pt x="238" y="271"/>
                              </a:lnTo>
                              <a:lnTo>
                                <a:pt x="238" y="271"/>
                              </a:lnTo>
                              <a:lnTo>
                                <a:pt x="238" y="271"/>
                              </a:lnTo>
                              <a:lnTo>
                                <a:pt x="238" y="270"/>
                              </a:lnTo>
                              <a:lnTo>
                                <a:pt x="238" y="270"/>
                              </a:lnTo>
                              <a:lnTo>
                                <a:pt x="239" y="270"/>
                              </a:lnTo>
                              <a:lnTo>
                                <a:pt x="239" y="269"/>
                              </a:lnTo>
                              <a:lnTo>
                                <a:pt x="239" y="269"/>
                              </a:lnTo>
                              <a:lnTo>
                                <a:pt x="239" y="269"/>
                              </a:lnTo>
                              <a:lnTo>
                                <a:pt x="239" y="268"/>
                              </a:lnTo>
                              <a:lnTo>
                                <a:pt x="240" y="268"/>
                              </a:lnTo>
                              <a:lnTo>
                                <a:pt x="240" y="267"/>
                              </a:lnTo>
                              <a:lnTo>
                                <a:pt x="240" y="267"/>
                              </a:lnTo>
                              <a:lnTo>
                                <a:pt x="240" y="266"/>
                              </a:lnTo>
                              <a:lnTo>
                                <a:pt x="241" y="266"/>
                              </a:lnTo>
                              <a:lnTo>
                                <a:pt x="241" y="265"/>
                              </a:lnTo>
                              <a:lnTo>
                                <a:pt x="241" y="264"/>
                              </a:lnTo>
                              <a:lnTo>
                                <a:pt x="241" y="264"/>
                              </a:lnTo>
                              <a:lnTo>
                                <a:pt x="242" y="263"/>
                              </a:lnTo>
                              <a:lnTo>
                                <a:pt x="242" y="262"/>
                              </a:lnTo>
                              <a:lnTo>
                                <a:pt x="242" y="261"/>
                              </a:lnTo>
                              <a:lnTo>
                                <a:pt x="242" y="260"/>
                              </a:lnTo>
                              <a:lnTo>
                                <a:pt x="243" y="259"/>
                              </a:lnTo>
                              <a:lnTo>
                                <a:pt x="243" y="257"/>
                              </a:lnTo>
                              <a:lnTo>
                                <a:pt x="243" y="256"/>
                              </a:lnTo>
                              <a:lnTo>
                                <a:pt x="244" y="254"/>
                              </a:lnTo>
                              <a:lnTo>
                                <a:pt x="244" y="251"/>
                              </a:lnTo>
                              <a:lnTo>
                                <a:pt x="245" y="248"/>
                              </a:lnTo>
                              <a:lnTo>
                                <a:pt x="245" y="246"/>
                              </a:lnTo>
                              <a:lnTo>
                                <a:pt x="246" y="245"/>
                              </a:lnTo>
                              <a:lnTo>
                                <a:pt x="246" y="243"/>
                              </a:lnTo>
                              <a:lnTo>
                                <a:pt x="246" y="242"/>
                              </a:lnTo>
                              <a:lnTo>
                                <a:pt x="247" y="241"/>
                              </a:lnTo>
                              <a:lnTo>
                                <a:pt x="247" y="240"/>
                              </a:lnTo>
                              <a:lnTo>
                                <a:pt x="247" y="238"/>
                              </a:lnTo>
                              <a:lnTo>
                                <a:pt x="248" y="237"/>
                              </a:lnTo>
                              <a:lnTo>
                                <a:pt x="248" y="236"/>
                              </a:lnTo>
                              <a:lnTo>
                                <a:pt x="248" y="235"/>
                              </a:lnTo>
                              <a:lnTo>
                                <a:pt x="249" y="235"/>
                              </a:lnTo>
                              <a:lnTo>
                                <a:pt x="249" y="234"/>
                              </a:lnTo>
                              <a:lnTo>
                                <a:pt x="249" y="233"/>
                              </a:lnTo>
                              <a:lnTo>
                                <a:pt x="249" y="233"/>
                              </a:lnTo>
                              <a:lnTo>
                                <a:pt x="250" y="232"/>
                              </a:lnTo>
                              <a:lnTo>
                                <a:pt x="250" y="232"/>
                              </a:lnTo>
                              <a:lnTo>
                                <a:pt x="250" y="232"/>
                              </a:lnTo>
                              <a:lnTo>
                                <a:pt x="250" y="232"/>
                              </a:lnTo>
                              <a:lnTo>
                                <a:pt x="251" y="232"/>
                              </a:lnTo>
                              <a:lnTo>
                                <a:pt x="251" y="232"/>
                              </a:lnTo>
                              <a:lnTo>
                                <a:pt x="251" y="232"/>
                              </a:lnTo>
                              <a:lnTo>
                                <a:pt x="251" y="232"/>
                              </a:lnTo>
                              <a:lnTo>
                                <a:pt x="252" y="232"/>
                              </a:lnTo>
                              <a:lnTo>
                                <a:pt x="252" y="233"/>
                              </a:lnTo>
                              <a:lnTo>
                                <a:pt x="252" y="233"/>
                              </a:lnTo>
                              <a:lnTo>
                                <a:pt x="252" y="234"/>
                              </a:lnTo>
                              <a:lnTo>
                                <a:pt x="253" y="235"/>
                              </a:lnTo>
                              <a:lnTo>
                                <a:pt x="253" y="235"/>
                              </a:lnTo>
                              <a:lnTo>
                                <a:pt x="253" y="236"/>
                              </a:lnTo>
                              <a:lnTo>
                                <a:pt x="253" y="237"/>
                              </a:lnTo>
                              <a:lnTo>
                                <a:pt x="254" y="238"/>
                              </a:lnTo>
                              <a:lnTo>
                                <a:pt x="254" y="239"/>
                              </a:lnTo>
                              <a:lnTo>
                                <a:pt x="254" y="241"/>
                              </a:lnTo>
                              <a:lnTo>
                                <a:pt x="255" y="242"/>
                              </a:lnTo>
                              <a:lnTo>
                                <a:pt x="255" y="243"/>
                              </a:lnTo>
                              <a:lnTo>
                                <a:pt x="255" y="244"/>
                              </a:lnTo>
                              <a:lnTo>
                                <a:pt x="256" y="246"/>
                              </a:lnTo>
                              <a:lnTo>
                                <a:pt x="256" y="247"/>
                              </a:lnTo>
                              <a:lnTo>
                                <a:pt x="256" y="249"/>
                              </a:lnTo>
                              <a:lnTo>
                                <a:pt x="257" y="250"/>
                              </a:lnTo>
                              <a:lnTo>
                                <a:pt x="257" y="253"/>
                              </a:lnTo>
                              <a:lnTo>
                                <a:pt x="258" y="255"/>
                              </a:lnTo>
                              <a:lnTo>
                                <a:pt x="258" y="259"/>
                              </a:lnTo>
                              <a:lnTo>
                                <a:pt x="259" y="260"/>
                              </a:lnTo>
                              <a:lnTo>
                                <a:pt x="259" y="261"/>
                              </a:lnTo>
                              <a:lnTo>
                                <a:pt x="259" y="262"/>
                              </a:lnTo>
                              <a:lnTo>
                                <a:pt x="259" y="262"/>
                              </a:lnTo>
                              <a:lnTo>
                                <a:pt x="260" y="263"/>
                              </a:lnTo>
                              <a:lnTo>
                                <a:pt x="260" y="264"/>
                              </a:lnTo>
                              <a:lnTo>
                                <a:pt x="260" y="264"/>
                              </a:lnTo>
                              <a:lnTo>
                                <a:pt x="260" y="265"/>
                              </a:lnTo>
                              <a:lnTo>
                                <a:pt x="260" y="265"/>
                              </a:lnTo>
                              <a:lnTo>
                                <a:pt x="260" y="266"/>
                              </a:lnTo>
                              <a:lnTo>
                                <a:pt x="260" y="267"/>
                              </a:lnTo>
                              <a:lnTo>
                                <a:pt x="261" y="267"/>
                              </a:lnTo>
                              <a:lnTo>
                                <a:pt x="261" y="267"/>
                              </a:lnTo>
                              <a:lnTo>
                                <a:pt x="261" y="268"/>
                              </a:lnTo>
                              <a:lnTo>
                                <a:pt x="261" y="268"/>
                              </a:lnTo>
                              <a:lnTo>
                                <a:pt x="261" y="268"/>
                              </a:lnTo>
                              <a:lnTo>
                                <a:pt x="261" y="269"/>
                              </a:lnTo>
                              <a:lnTo>
                                <a:pt x="261" y="269"/>
                              </a:lnTo>
                              <a:lnTo>
                                <a:pt x="261" y="270"/>
                              </a:lnTo>
                              <a:lnTo>
                                <a:pt x="262" y="271"/>
                              </a:lnTo>
                              <a:lnTo>
                                <a:pt x="262" y="272"/>
                              </a:lnTo>
                              <a:lnTo>
                                <a:pt x="262" y="273"/>
                              </a:lnTo>
                              <a:lnTo>
                                <a:pt x="262" y="274"/>
                              </a:lnTo>
                              <a:lnTo>
                                <a:pt x="263" y="275"/>
                              </a:lnTo>
                              <a:lnTo>
                                <a:pt x="263" y="275"/>
                              </a:lnTo>
                              <a:lnTo>
                                <a:pt x="264" y="276"/>
                              </a:lnTo>
                              <a:lnTo>
                                <a:pt x="264" y="277"/>
                              </a:lnTo>
                              <a:lnTo>
                                <a:pt x="264" y="278"/>
                              </a:lnTo>
                              <a:lnTo>
                                <a:pt x="264" y="278"/>
                              </a:lnTo>
                              <a:lnTo>
                                <a:pt x="265" y="279"/>
                              </a:lnTo>
                              <a:lnTo>
                                <a:pt x="265" y="280"/>
                              </a:lnTo>
                              <a:lnTo>
                                <a:pt x="265" y="280"/>
                              </a:lnTo>
                              <a:lnTo>
                                <a:pt x="266" y="281"/>
                              </a:lnTo>
                              <a:lnTo>
                                <a:pt x="266" y="282"/>
                              </a:lnTo>
                              <a:lnTo>
                                <a:pt x="266" y="282"/>
                              </a:lnTo>
                              <a:lnTo>
                                <a:pt x="267" y="283"/>
                              </a:lnTo>
                              <a:lnTo>
                                <a:pt x="267" y="283"/>
                              </a:lnTo>
                              <a:lnTo>
                                <a:pt x="267" y="284"/>
                              </a:lnTo>
                              <a:lnTo>
                                <a:pt x="268" y="284"/>
                              </a:lnTo>
                              <a:lnTo>
                                <a:pt x="268" y="285"/>
                              </a:lnTo>
                              <a:lnTo>
                                <a:pt x="268" y="285"/>
                              </a:lnTo>
                              <a:lnTo>
                                <a:pt x="269" y="286"/>
                              </a:lnTo>
                              <a:lnTo>
                                <a:pt x="269" y="286"/>
                              </a:lnTo>
                              <a:lnTo>
                                <a:pt x="269" y="287"/>
                              </a:lnTo>
                              <a:lnTo>
                                <a:pt x="270" y="287"/>
                              </a:lnTo>
                              <a:lnTo>
                                <a:pt x="270" y="287"/>
                              </a:lnTo>
                              <a:lnTo>
                                <a:pt x="270" y="288"/>
                              </a:lnTo>
                              <a:lnTo>
                                <a:pt x="271" y="288"/>
                              </a:lnTo>
                              <a:lnTo>
                                <a:pt x="271" y="288"/>
                              </a:lnTo>
                              <a:lnTo>
                                <a:pt x="272" y="289"/>
                              </a:lnTo>
                              <a:lnTo>
                                <a:pt x="272" y="289"/>
                              </a:lnTo>
                              <a:lnTo>
                                <a:pt x="273" y="290"/>
                              </a:lnTo>
                              <a:lnTo>
                                <a:pt x="273" y="290"/>
                              </a:lnTo>
                              <a:lnTo>
                                <a:pt x="274" y="290"/>
                              </a:lnTo>
                              <a:lnTo>
                                <a:pt x="274" y="290"/>
                              </a:lnTo>
                              <a:lnTo>
                                <a:pt x="275" y="291"/>
                              </a:lnTo>
                              <a:lnTo>
                                <a:pt x="275" y="291"/>
                              </a:lnTo>
                              <a:lnTo>
                                <a:pt x="276" y="291"/>
                              </a:lnTo>
                              <a:lnTo>
                                <a:pt x="276" y="291"/>
                              </a:lnTo>
                              <a:lnTo>
                                <a:pt x="277" y="291"/>
                              </a:lnTo>
                              <a:lnTo>
                                <a:pt x="278" y="292"/>
                              </a:lnTo>
                              <a:lnTo>
                                <a:pt x="278" y="292"/>
                              </a:lnTo>
                              <a:lnTo>
                                <a:pt x="279" y="292"/>
                              </a:lnTo>
                              <a:lnTo>
                                <a:pt x="280" y="292"/>
                              </a:lnTo>
                              <a:lnTo>
                                <a:pt x="281" y="292"/>
                              </a:lnTo>
                              <a:lnTo>
                                <a:pt x="282" y="292"/>
                              </a:lnTo>
                              <a:lnTo>
                                <a:pt x="284" y="293"/>
                              </a:lnTo>
                              <a:lnTo>
                                <a:pt x="286" y="293"/>
                              </a:lnTo>
                              <a:lnTo>
                                <a:pt x="290" y="293"/>
                              </a:lnTo>
                              <a:lnTo>
                                <a:pt x="294" y="294"/>
                              </a:lnTo>
                              <a:lnTo>
                                <a:pt x="297" y="295"/>
                              </a:lnTo>
                              <a:lnTo>
                                <a:pt x="298" y="295"/>
                              </a:lnTo>
                              <a:lnTo>
                                <a:pt x="299" y="295"/>
                              </a:lnTo>
                              <a:lnTo>
                                <a:pt x="300" y="295"/>
                              </a:lnTo>
                              <a:lnTo>
                                <a:pt x="300" y="295"/>
                              </a:lnTo>
                              <a:lnTo>
                                <a:pt x="303" y="295"/>
                              </a:lnTo>
                              <a:lnTo>
                                <a:pt x="307" y="296"/>
                              </a:lnTo>
                              <a:lnTo>
                                <a:pt x="310" y="296"/>
                              </a:lnTo>
                              <a:lnTo>
                                <a:pt x="313" y="297"/>
                              </a:lnTo>
                              <a:lnTo>
                                <a:pt x="317" y="297"/>
                              </a:lnTo>
                              <a:lnTo>
                                <a:pt x="322" y="298"/>
                              </a:lnTo>
                              <a:lnTo>
                                <a:pt x="329" y="299"/>
                              </a:lnTo>
                              <a:lnTo>
                                <a:pt x="334" y="299"/>
                              </a:lnTo>
                              <a:lnTo>
                                <a:pt x="335" y="300"/>
                              </a:lnTo>
                              <a:lnTo>
                                <a:pt x="336" y="300"/>
                              </a:lnTo>
                              <a:lnTo>
                                <a:pt x="337" y="300"/>
                              </a:lnTo>
                              <a:lnTo>
                                <a:pt x="338" y="300"/>
                              </a:lnTo>
                              <a:lnTo>
                                <a:pt x="340" y="300"/>
                              </a:lnTo>
                              <a:lnTo>
                                <a:pt x="343" y="301"/>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3" name="Freeform 299"/>
                        <a:cNvSpPr>
                          <a:spLocks/>
                        </a:cNvSpPr>
                      </a:nvSpPr>
                      <a:spPr bwMode="auto">
                        <a:xfrm>
                          <a:off x="2208213" y="9330877"/>
                          <a:ext cx="1916113" cy="181785"/>
                        </a:xfrm>
                        <a:custGeom>
                          <a:avLst/>
                          <a:gdLst/>
                          <a:ahLst/>
                          <a:cxnLst>
                            <a:cxn ang="0">
                              <a:pos x="16" y="110"/>
                            </a:cxn>
                            <a:cxn ang="0">
                              <a:pos x="34" y="111"/>
                            </a:cxn>
                            <a:cxn ang="0">
                              <a:pos x="58" y="112"/>
                            </a:cxn>
                            <a:cxn ang="0">
                              <a:pos x="76" y="113"/>
                            </a:cxn>
                            <a:cxn ang="0">
                              <a:pos x="100" y="114"/>
                            </a:cxn>
                            <a:cxn ang="0">
                              <a:pos x="113" y="114"/>
                            </a:cxn>
                            <a:cxn ang="0">
                              <a:pos x="140" y="115"/>
                            </a:cxn>
                            <a:cxn ang="0">
                              <a:pos x="184" y="115"/>
                            </a:cxn>
                            <a:cxn ang="0">
                              <a:pos x="245" y="116"/>
                            </a:cxn>
                            <a:cxn ang="0">
                              <a:pos x="278" y="117"/>
                            </a:cxn>
                            <a:cxn ang="0">
                              <a:pos x="302" y="118"/>
                            </a:cxn>
                            <a:cxn ang="0">
                              <a:pos x="326" y="118"/>
                            </a:cxn>
                            <a:cxn ang="0">
                              <a:pos x="366" y="119"/>
                            </a:cxn>
                            <a:cxn ang="0">
                              <a:pos x="413" y="119"/>
                            </a:cxn>
                            <a:cxn ang="0">
                              <a:pos x="470" y="119"/>
                            </a:cxn>
                            <a:cxn ang="0">
                              <a:pos x="524" y="118"/>
                            </a:cxn>
                            <a:cxn ang="0">
                              <a:pos x="573" y="118"/>
                            </a:cxn>
                            <a:cxn ang="0">
                              <a:pos x="616" y="118"/>
                            </a:cxn>
                            <a:cxn ang="0">
                              <a:pos x="659" y="116"/>
                            </a:cxn>
                            <a:cxn ang="0">
                              <a:pos x="679" y="117"/>
                            </a:cxn>
                            <a:cxn ang="0">
                              <a:pos x="708" y="116"/>
                            </a:cxn>
                            <a:cxn ang="0">
                              <a:pos x="736" y="115"/>
                            </a:cxn>
                            <a:cxn ang="0">
                              <a:pos x="757" y="114"/>
                            </a:cxn>
                            <a:cxn ang="0">
                              <a:pos x="780" y="113"/>
                            </a:cxn>
                            <a:cxn ang="0">
                              <a:pos x="799" y="114"/>
                            </a:cxn>
                            <a:cxn ang="0">
                              <a:pos x="814" y="114"/>
                            </a:cxn>
                            <a:cxn ang="0">
                              <a:pos x="837" y="113"/>
                            </a:cxn>
                            <a:cxn ang="0">
                              <a:pos x="855" y="112"/>
                            </a:cxn>
                            <a:cxn ang="0">
                              <a:pos x="873" y="112"/>
                            </a:cxn>
                            <a:cxn ang="0">
                              <a:pos x="894" y="112"/>
                            </a:cxn>
                            <a:cxn ang="0">
                              <a:pos x="911" y="112"/>
                            </a:cxn>
                            <a:cxn ang="0">
                              <a:pos x="923" y="111"/>
                            </a:cxn>
                            <a:cxn ang="0">
                              <a:pos x="950" y="108"/>
                            </a:cxn>
                            <a:cxn ang="0">
                              <a:pos x="972" y="108"/>
                            </a:cxn>
                            <a:cxn ang="0">
                              <a:pos x="996" y="107"/>
                            </a:cxn>
                            <a:cxn ang="0">
                              <a:pos x="1005" y="107"/>
                            </a:cxn>
                            <a:cxn ang="0">
                              <a:pos x="1016" y="104"/>
                            </a:cxn>
                            <a:cxn ang="0">
                              <a:pos x="1029" y="100"/>
                            </a:cxn>
                            <a:cxn ang="0">
                              <a:pos x="1037" y="99"/>
                            </a:cxn>
                            <a:cxn ang="0">
                              <a:pos x="1050" y="98"/>
                            </a:cxn>
                            <a:cxn ang="0">
                              <a:pos x="1060" y="94"/>
                            </a:cxn>
                            <a:cxn ang="0">
                              <a:pos x="1068" y="92"/>
                            </a:cxn>
                            <a:cxn ang="0">
                              <a:pos x="1076" y="91"/>
                            </a:cxn>
                            <a:cxn ang="0">
                              <a:pos x="1085" y="90"/>
                            </a:cxn>
                            <a:cxn ang="0">
                              <a:pos x="1097" y="87"/>
                            </a:cxn>
                            <a:cxn ang="0">
                              <a:pos x="1105" y="86"/>
                            </a:cxn>
                            <a:cxn ang="0">
                              <a:pos x="1116" y="87"/>
                            </a:cxn>
                            <a:cxn ang="0">
                              <a:pos x="1123" y="85"/>
                            </a:cxn>
                            <a:cxn ang="0">
                              <a:pos x="1132" y="81"/>
                            </a:cxn>
                            <a:cxn ang="0">
                              <a:pos x="1140" y="76"/>
                            </a:cxn>
                            <a:cxn ang="0">
                              <a:pos x="1144" y="75"/>
                            </a:cxn>
                            <a:cxn ang="0">
                              <a:pos x="1154" y="74"/>
                            </a:cxn>
                            <a:cxn ang="0">
                              <a:pos x="1164" y="69"/>
                            </a:cxn>
                            <a:cxn ang="0">
                              <a:pos x="1174" y="68"/>
                            </a:cxn>
                            <a:cxn ang="0">
                              <a:pos x="1179" y="67"/>
                            </a:cxn>
                            <a:cxn ang="0">
                              <a:pos x="1182" y="66"/>
                            </a:cxn>
                            <a:cxn ang="0">
                              <a:pos x="1187" y="62"/>
                            </a:cxn>
                            <a:cxn ang="0">
                              <a:pos x="1193" y="55"/>
                            </a:cxn>
                            <a:cxn ang="0">
                              <a:pos x="1197" y="49"/>
                            </a:cxn>
                            <a:cxn ang="0">
                              <a:pos x="1200" y="43"/>
                            </a:cxn>
                            <a:cxn ang="0">
                              <a:pos x="1202" y="34"/>
                            </a:cxn>
                            <a:cxn ang="0">
                              <a:pos x="1204" y="25"/>
                            </a:cxn>
                            <a:cxn ang="0">
                              <a:pos x="1205" y="13"/>
                            </a:cxn>
                          </a:cxnLst>
                          <a:rect l="0" t="0" r="r" b="b"/>
                          <a:pathLst>
                            <a:path w="1207" h="119">
                              <a:moveTo>
                                <a:pt x="0" y="108"/>
                              </a:moveTo>
                              <a:lnTo>
                                <a:pt x="3" y="108"/>
                              </a:lnTo>
                              <a:lnTo>
                                <a:pt x="5" y="108"/>
                              </a:lnTo>
                              <a:lnTo>
                                <a:pt x="7" y="109"/>
                              </a:lnTo>
                              <a:lnTo>
                                <a:pt x="10" y="109"/>
                              </a:lnTo>
                              <a:lnTo>
                                <a:pt x="12" y="109"/>
                              </a:lnTo>
                              <a:lnTo>
                                <a:pt x="14" y="109"/>
                              </a:lnTo>
                              <a:lnTo>
                                <a:pt x="16" y="110"/>
                              </a:lnTo>
                              <a:lnTo>
                                <a:pt x="19" y="110"/>
                              </a:lnTo>
                              <a:lnTo>
                                <a:pt x="21" y="110"/>
                              </a:lnTo>
                              <a:lnTo>
                                <a:pt x="24" y="110"/>
                              </a:lnTo>
                              <a:lnTo>
                                <a:pt x="28" y="110"/>
                              </a:lnTo>
                              <a:lnTo>
                                <a:pt x="30" y="111"/>
                              </a:lnTo>
                              <a:lnTo>
                                <a:pt x="31" y="111"/>
                              </a:lnTo>
                              <a:lnTo>
                                <a:pt x="33" y="111"/>
                              </a:lnTo>
                              <a:lnTo>
                                <a:pt x="34" y="111"/>
                              </a:lnTo>
                              <a:lnTo>
                                <a:pt x="37" y="111"/>
                              </a:lnTo>
                              <a:lnTo>
                                <a:pt x="39" y="111"/>
                              </a:lnTo>
                              <a:lnTo>
                                <a:pt x="42" y="111"/>
                              </a:lnTo>
                              <a:lnTo>
                                <a:pt x="45" y="111"/>
                              </a:lnTo>
                              <a:lnTo>
                                <a:pt x="48" y="112"/>
                              </a:lnTo>
                              <a:lnTo>
                                <a:pt x="52" y="112"/>
                              </a:lnTo>
                              <a:lnTo>
                                <a:pt x="55" y="112"/>
                              </a:lnTo>
                              <a:lnTo>
                                <a:pt x="58" y="112"/>
                              </a:lnTo>
                              <a:lnTo>
                                <a:pt x="62" y="112"/>
                              </a:lnTo>
                              <a:lnTo>
                                <a:pt x="64" y="112"/>
                              </a:lnTo>
                              <a:lnTo>
                                <a:pt x="66" y="113"/>
                              </a:lnTo>
                              <a:lnTo>
                                <a:pt x="68" y="113"/>
                              </a:lnTo>
                              <a:lnTo>
                                <a:pt x="69" y="113"/>
                              </a:lnTo>
                              <a:lnTo>
                                <a:pt x="71" y="113"/>
                              </a:lnTo>
                              <a:lnTo>
                                <a:pt x="74" y="113"/>
                              </a:lnTo>
                              <a:lnTo>
                                <a:pt x="76" y="113"/>
                              </a:lnTo>
                              <a:lnTo>
                                <a:pt x="79" y="113"/>
                              </a:lnTo>
                              <a:lnTo>
                                <a:pt x="82" y="113"/>
                              </a:lnTo>
                              <a:lnTo>
                                <a:pt x="85" y="113"/>
                              </a:lnTo>
                              <a:lnTo>
                                <a:pt x="88" y="114"/>
                              </a:lnTo>
                              <a:lnTo>
                                <a:pt x="91" y="114"/>
                              </a:lnTo>
                              <a:lnTo>
                                <a:pt x="94" y="114"/>
                              </a:lnTo>
                              <a:lnTo>
                                <a:pt x="97" y="114"/>
                              </a:lnTo>
                              <a:lnTo>
                                <a:pt x="100" y="114"/>
                              </a:lnTo>
                              <a:lnTo>
                                <a:pt x="103" y="114"/>
                              </a:lnTo>
                              <a:lnTo>
                                <a:pt x="105" y="114"/>
                              </a:lnTo>
                              <a:lnTo>
                                <a:pt x="106" y="114"/>
                              </a:lnTo>
                              <a:lnTo>
                                <a:pt x="107" y="114"/>
                              </a:lnTo>
                              <a:lnTo>
                                <a:pt x="108" y="114"/>
                              </a:lnTo>
                              <a:lnTo>
                                <a:pt x="110" y="114"/>
                              </a:lnTo>
                              <a:lnTo>
                                <a:pt x="111" y="114"/>
                              </a:lnTo>
                              <a:lnTo>
                                <a:pt x="113" y="114"/>
                              </a:lnTo>
                              <a:lnTo>
                                <a:pt x="115" y="114"/>
                              </a:lnTo>
                              <a:lnTo>
                                <a:pt x="118" y="114"/>
                              </a:lnTo>
                              <a:lnTo>
                                <a:pt x="122" y="114"/>
                              </a:lnTo>
                              <a:lnTo>
                                <a:pt x="124" y="115"/>
                              </a:lnTo>
                              <a:lnTo>
                                <a:pt x="127" y="115"/>
                              </a:lnTo>
                              <a:lnTo>
                                <a:pt x="129" y="115"/>
                              </a:lnTo>
                              <a:lnTo>
                                <a:pt x="134" y="115"/>
                              </a:lnTo>
                              <a:lnTo>
                                <a:pt x="140" y="115"/>
                              </a:lnTo>
                              <a:lnTo>
                                <a:pt x="147" y="115"/>
                              </a:lnTo>
                              <a:lnTo>
                                <a:pt x="155" y="115"/>
                              </a:lnTo>
                              <a:lnTo>
                                <a:pt x="159" y="115"/>
                              </a:lnTo>
                              <a:lnTo>
                                <a:pt x="163" y="115"/>
                              </a:lnTo>
                              <a:lnTo>
                                <a:pt x="168" y="115"/>
                              </a:lnTo>
                              <a:lnTo>
                                <a:pt x="173" y="115"/>
                              </a:lnTo>
                              <a:lnTo>
                                <a:pt x="178" y="115"/>
                              </a:lnTo>
                              <a:lnTo>
                                <a:pt x="184" y="115"/>
                              </a:lnTo>
                              <a:lnTo>
                                <a:pt x="194" y="115"/>
                              </a:lnTo>
                              <a:lnTo>
                                <a:pt x="206" y="115"/>
                              </a:lnTo>
                              <a:lnTo>
                                <a:pt x="219" y="115"/>
                              </a:lnTo>
                              <a:lnTo>
                                <a:pt x="228" y="115"/>
                              </a:lnTo>
                              <a:lnTo>
                                <a:pt x="233" y="115"/>
                              </a:lnTo>
                              <a:lnTo>
                                <a:pt x="238" y="115"/>
                              </a:lnTo>
                              <a:lnTo>
                                <a:pt x="242" y="115"/>
                              </a:lnTo>
                              <a:lnTo>
                                <a:pt x="245" y="116"/>
                              </a:lnTo>
                              <a:lnTo>
                                <a:pt x="249" y="116"/>
                              </a:lnTo>
                              <a:lnTo>
                                <a:pt x="253" y="116"/>
                              </a:lnTo>
                              <a:lnTo>
                                <a:pt x="259" y="116"/>
                              </a:lnTo>
                              <a:lnTo>
                                <a:pt x="262" y="116"/>
                              </a:lnTo>
                              <a:lnTo>
                                <a:pt x="265" y="116"/>
                              </a:lnTo>
                              <a:lnTo>
                                <a:pt x="268" y="117"/>
                              </a:lnTo>
                              <a:lnTo>
                                <a:pt x="273" y="117"/>
                              </a:lnTo>
                              <a:lnTo>
                                <a:pt x="278" y="117"/>
                              </a:lnTo>
                              <a:lnTo>
                                <a:pt x="284" y="117"/>
                              </a:lnTo>
                              <a:lnTo>
                                <a:pt x="289" y="117"/>
                              </a:lnTo>
                              <a:lnTo>
                                <a:pt x="291" y="117"/>
                              </a:lnTo>
                              <a:lnTo>
                                <a:pt x="292" y="117"/>
                              </a:lnTo>
                              <a:lnTo>
                                <a:pt x="294" y="117"/>
                              </a:lnTo>
                              <a:lnTo>
                                <a:pt x="297" y="118"/>
                              </a:lnTo>
                              <a:lnTo>
                                <a:pt x="300" y="118"/>
                              </a:lnTo>
                              <a:lnTo>
                                <a:pt x="302" y="118"/>
                              </a:lnTo>
                              <a:lnTo>
                                <a:pt x="304" y="118"/>
                              </a:lnTo>
                              <a:lnTo>
                                <a:pt x="307" y="118"/>
                              </a:lnTo>
                              <a:lnTo>
                                <a:pt x="310" y="118"/>
                              </a:lnTo>
                              <a:lnTo>
                                <a:pt x="312" y="118"/>
                              </a:lnTo>
                              <a:lnTo>
                                <a:pt x="315" y="118"/>
                              </a:lnTo>
                              <a:lnTo>
                                <a:pt x="318" y="118"/>
                              </a:lnTo>
                              <a:lnTo>
                                <a:pt x="322" y="118"/>
                              </a:lnTo>
                              <a:lnTo>
                                <a:pt x="326" y="118"/>
                              </a:lnTo>
                              <a:lnTo>
                                <a:pt x="330" y="119"/>
                              </a:lnTo>
                              <a:lnTo>
                                <a:pt x="334" y="119"/>
                              </a:lnTo>
                              <a:lnTo>
                                <a:pt x="337" y="119"/>
                              </a:lnTo>
                              <a:lnTo>
                                <a:pt x="342" y="119"/>
                              </a:lnTo>
                              <a:lnTo>
                                <a:pt x="348" y="119"/>
                              </a:lnTo>
                              <a:lnTo>
                                <a:pt x="354" y="119"/>
                              </a:lnTo>
                              <a:lnTo>
                                <a:pt x="360" y="119"/>
                              </a:lnTo>
                              <a:lnTo>
                                <a:pt x="366" y="119"/>
                              </a:lnTo>
                              <a:lnTo>
                                <a:pt x="371" y="119"/>
                              </a:lnTo>
                              <a:lnTo>
                                <a:pt x="376" y="119"/>
                              </a:lnTo>
                              <a:lnTo>
                                <a:pt x="381" y="119"/>
                              </a:lnTo>
                              <a:lnTo>
                                <a:pt x="387" y="119"/>
                              </a:lnTo>
                              <a:lnTo>
                                <a:pt x="394" y="119"/>
                              </a:lnTo>
                              <a:lnTo>
                                <a:pt x="400" y="119"/>
                              </a:lnTo>
                              <a:lnTo>
                                <a:pt x="406" y="119"/>
                              </a:lnTo>
                              <a:lnTo>
                                <a:pt x="413" y="119"/>
                              </a:lnTo>
                              <a:lnTo>
                                <a:pt x="420" y="119"/>
                              </a:lnTo>
                              <a:lnTo>
                                <a:pt x="427" y="119"/>
                              </a:lnTo>
                              <a:lnTo>
                                <a:pt x="433" y="119"/>
                              </a:lnTo>
                              <a:lnTo>
                                <a:pt x="442" y="119"/>
                              </a:lnTo>
                              <a:lnTo>
                                <a:pt x="449" y="119"/>
                              </a:lnTo>
                              <a:lnTo>
                                <a:pt x="455" y="119"/>
                              </a:lnTo>
                              <a:lnTo>
                                <a:pt x="462" y="119"/>
                              </a:lnTo>
                              <a:lnTo>
                                <a:pt x="470" y="119"/>
                              </a:lnTo>
                              <a:lnTo>
                                <a:pt x="478" y="119"/>
                              </a:lnTo>
                              <a:lnTo>
                                <a:pt x="485" y="119"/>
                              </a:lnTo>
                              <a:lnTo>
                                <a:pt x="493" y="119"/>
                              </a:lnTo>
                              <a:lnTo>
                                <a:pt x="501" y="118"/>
                              </a:lnTo>
                              <a:lnTo>
                                <a:pt x="508" y="118"/>
                              </a:lnTo>
                              <a:lnTo>
                                <a:pt x="513" y="118"/>
                              </a:lnTo>
                              <a:lnTo>
                                <a:pt x="519" y="118"/>
                              </a:lnTo>
                              <a:lnTo>
                                <a:pt x="524" y="118"/>
                              </a:lnTo>
                              <a:lnTo>
                                <a:pt x="530" y="118"/>
                              </a:lnTo>
                              <a:lnTo>
                                <a:pt x="536" y="118"/>
                              </a:lnTo>
                              <a:lnTo>
                                <a:pt x="542" y="118"/>
                              </a:lnTo>
                              <a:lnTo>
                                <a:pt x="548" y="118"/>
                              </a:lnTo>
                              <a:lnTo>
                                <a:pt x="555" y="118"/>
                              </a:lnTo>
                              <a:lnTo>
                                <a:pt x="562" y="118"/>
                              </a:lnTo>
                              <a:lnTo>
                                <a:pt x="568" y="118"/>
                              </a:lnTo>
                              <a:lnTo>
                                <a:pt x="573" y="118"/>
                              </a:lnTo>
                              <a:lnTo>
                                <a:pt x="578" y="118"/>
                              </a:lnTo>
                              <a:lnTo>
                                <a:pt x="582" y="118"/>
                              </a:lnTo>
                              <a:lnTo>
                                <a:pt x="588" y="118"/>
                              </a:lnTo>
                              <a:lnTo>
                                <a:pt x="593" y="118"/>
                              </a:lnTo>
                              <a:lnTo>
                                <a:pt x="598" y="118"/>
                              </a:lnTo>
                              <a:lnTo>
                                <a:pt x="605" y="118"/>
                              </a:lnTo>
                              <a:lnTo>
                                <a:pt x="611" y="118"/>
                              </a:lnTo>
                              <a:lnTo>
                                <a:pt x="616" y="118"/>
                              </a:lnTo>
                              <a:lnTo>
                                <a:pt x="622" y="118"/>
                              </a:lnTo>
                              <a:lnTo>
                                <a:pt x="627" y="117"/>
                              </a:lnTo>
                              <a:lnTo>
                                <a:pt x="633" y="117"/>
                              </a:lnTo>
                              <a:lnTo>
                                <a:pt x="639" y="117"/>
                              </a:lnTo>
                              <a:lnTo>
                                <a:pt x="646" y="117"/>
                              </a:lnTo>
                              <a:lnTo>
                                <a:pt x="652" y="117"/>
                              </a:lnTo>
                              <a:lnTo>
                                <a:pt x="656" y="117"/>
                              </a:lnTo>
                              <a:lnTo>
                                <a:pt x="659" y="116"/>
                              </a:lnTo>
                              <a:lnTo>
                                <a:pt x="662" y="116"/>
                              </a:lnTo>
                              <a:lnTo>
                                <a:pt x="664" y="116"/>
                              </a:lnTo>
                              <a:lnTo>
                                <a:pt x="666" y="116"/>
                              </a:lnTo>
                              <a:lnTo>
                                <a:pt x="668" y="116"/>
                              </a:lnTo>
                              <a:lnTo>
                                <a:pt x="670" y="116"/>
                              </a:lnTo>
                              <a:lnTo>
                                <a:pt x="673" y="116"/>
                              </a:lnTo>
                              <a:lnTo>
                                <a:pt x="676" y="116"/>
                              </a:lnTo>
                              <a:lnTo>
                                <a:pt x="679" y="117"/>
                              </a:lnTo>
                              <a:lnTo>
                                <a:pt x="682" y="117"/>
                              </a:lnTo>
                              <a:lnTo>
                                <a:pt x="685" y="117"/>
                              </a:lnTo>
                              <a:lnTo>
                                <a:pt x="688" y="117"/>
                              </a:lnTo>
                              <a:lnTo>
                                <a:pt x="692" y="117"/>
                              </a:lnTo>
                              <a:lnTo>
                                <a:pt x="695" y="116"/>
                              </a:lnTo>
                              <a:lnTo>
                                <a:pt x="700" y="116"/>
                              </a:lnTo>
                              <a:lnTo>
                                <a:pt x="705" y="116"/>
                              </a:lnTo>
                              <a:lnTo>
                                <a:pt x="708" y="116"/>
                              </a:lnTo>
                              <a:lnTo>
                                <a:pt x="711" y="116"/>
                              </a:lnTo>
                              <a:lnTo>
                                <a:pt x="715" y="116"/>
                              </a:lnTo>
                              <a:lnTo>
                                <a:pt x="718" y="116"/>
                              </a:lnTo>
                              <a:lnTo>
                                <a:pt x="721" y="116"/>
                              </a:lnTo>
                              <a:lnTo>
                                <a:pt x="725" y="116"/>
                              </a:lnTo>
                              <a:lnTo>
                                <a:pt x="728" y="115"/>
                              </a:lnTo>
                              <a:lnTo>
                                <a:pt x="733" y="115"/>
                              </a:lnTo>
                              <a:lnTo>
                                <a:pt x="736" y="115"/>
                              </a:lnTo>
                              <a:lnTo>
                                <a:pt x="737" y="115"/>
                              </a:lnTo>
                              <a:lnTo>
                                <a:pt x="739" y="115"/>
                              </a:lnTo>
                              <a:lnTo>
                                <a:pt x="741" y="115"/>
                              </a:lnTo>
                              <a:lnTo>
                                <a:pt x="744" y="115"/>
                              </a:lnTo>
                              <a:lnTo>
                                <a:pt x="747" y="114"/>
                              </a:lnTo>
                              <a:lnTo>
                                <a:pt x="750" y="114"/>
                              </a:lnTo>
                              <a:lnTo>
                                <a:pt x="753" y="114"/>
                              </a:lnTo>
                              <a:lnTo>
                                <a:pt x="757" y="114"/>
                              </a:lnTo>
                              <a:lnTo>
                                <a:pt x="761" y="114"/>
                              </a:lnTo>
                              <a:lnTo>
                                <a:pt x="766" y="113"/>
                              </a:lnTo>
                              <a:lnTo>
                                <a:pt x="769" y="113"/>
                              </a:lnTo>
                              <a:lnTo>
                                <a:pt x="772" y="113"/>
                              </a:lnTo>
                              <a:lnTo>
                                <a:pt x="774" y="113"/>
                              </a:lnTo>
                              <a:lnTo>
                                <a:pt x="776" y="113"/>
                              </a:lnTo>
                              <a:lnTo>
                                <a:pt x="778" y="113"/>
                              </a:lnTo>
                              <a:lnTo>
                                <a:pt x="780" y="113"/>
                              </a:lnTo>
                              <a:lnTo>
                                <a:pt x="782" y="113"/>
                              </a:lnTo>
                              <a:lnTo>
                                <a:pt x="784" y="113"/>
                              </a:lnTo>
                              <a:lnTo>
                                <a:pt x="786" y="113"/>
                              </a:lnTo>
                              <a:lnTo>
                                <a:pt x="788" y="113"/>
                              </a:lnTo>
                              <a:lnTo>
                                <a:pt x="790" y="113"/>
                              </a:lnTo>
                              <a:lnTo>
                                <a:pt x="793" y="113"/>
                              </a:lnTo>
                              <a:lnTo>
                                <a:pt x="796" y="114"/>
                              </a:lnTo>
                              <a:lnTo>
                                <a:pt x="799" y="114"/>
                              </a:lnTo>
                              <a:lnTo>
                                <a:pt x="802" y="114"/>
                              </a:lnTo>
                              <a:lnTo>
                                <a:pt x="805" y="114"/>
                              </a:lnTo>
                              <a:lnTo>
                                <a:pt x="807" y="114"/>
                              </a:lnTo>
                              <a:lnTo>
                                <a:pt x="809" y="114"/>
                              </a:lnTo>
                              <a:lnTo>
                                <a:pt x="810" y="114"/>
                              </a:lnTo>
                              <a:lnTo>
                                <a:pt x="811" y="114"/>
                              </a:lnTo>
                              <a:lnTo>
                                <a:pt x="812" y="114"/>
                              </a:lnTo>
                              <a:lnTo>
                                <a:pt x="814" y="114"/>
                              </a:lnTo>
                              <a:lnTo>
                                <a:pt x="816" y="114"/>
                              </a:lnTo>
                              <a:lnTo>
                                <a:pt x="819" y="114"/>
                              </a:lnTo>
                              <a:lnTo>
                                <a:pt x="821" y="114"/>
                              </a:lnTo>
                              <a:lnTo>
                                <a:pt x="823" y="114"/>
                              </a:lnTo>
                              <a:lnTo>
                                <a:pt x="826" y="114"/>
                              </a:lnTo>
                              <a:lnTo>
                                <a:pt x="829" y="113"/>
                              </a:lnTo>
                              <a:lnTo>
                                <a:pt x="833" y="113"/>
                              </a:lnTo>
                              <a:lnTo>
                                <a:pt x="837" y="113"/>
                              </a:lnTo>
                              <a:lnTo>
                                <a:pt x="840" y="113"/>
                              </a:lnTo>
                              <a:lnTo>
                                <a:pt x="842" y="113"/>
                              </a:lnTo>
                              <a:lnTo>
                                <a:pt x="845" y="112"/>
                              </a:lnTo>
                              <a:lnTo>
                                <a:pt x="847" y="112"/>
                              </a:lnTo>
                              <a:lnTo>
                                <a:pt x="849" y="112"/>
                              </a:lnTo>
                              <a:lnTo>
                                <a:pt x="851" y="112"/>
                              </a:lnTo>
                              <a:lnTo>
                                <a:pt x="853" y="112"/>
                              </a:lnTo>
                              <a:lnTo>
                                <a:pt x="855" y="112"/>
                              </a:lnTo>
                              <a:lnTo>
                                <a:pt x="858" y="112"/>
                              </a:lnTo>
                              <a:lnTo>
                                <a:pt x="861" y="113"/>
                              </a:lnTo>
                              <a:lnTo>
                                <a:pt x="863" y="113"/>
                              </a:lnTo>
                              <a:lnTo>
                                <a:pt x="865" y="113"/>
                              </a:lnTo>
                              <a:lnTo>
                                <a:pt x="867" y="113"/>
                              </a:lnTo>
                              <a:lnTo>
                                <a:pt x="869" y="113"/>
                              </a:lnTo>
                              <a:lnTo>
                                <a:pt x="871" y="113"/>
                              </a:lnTo>
                              <a:lnTo>
                                <a:pt x="873" y="112"/>
                              </a:lnTo>
                              <a:lnTo>
                                <a:pt x="877" y="112"/>
                              </a:lnTo>
                              <a:lnTo>
                                <a:pt x="880" y="112"/>
                              </a:lnTo>
                              <a:lnTo>
                                <a:pt x="884" y="112"/>
                              </a:lnTo>
                              <a:lnTo>
                                <a:pt x="887" y="112"/>
                              </a:lnTo>
                              <a:lnTo>
                                <a:pt x="889" y="112"/>
                              </a:lnTo>
                              <a:lnTo>
                                <a:pt x="891" y="112"/>
                              </a:lnTo>
                              <a:lnTo>
                                <a:pt x="893" y="112"/>
                              </a:lnTo>
                              <a:lnTo>
                                <a:pt x="894" y="112"/>
                              </a:lnTo>
                              <a:lnTo>
                                <a:pt x="896" y="112"/>
                              </a:lnTo>
                              <a:lnTo>
                                <a:pt x="899" y="112"/>
                              </a:lnTo>
                              <a:lnTo>
                                <a:pt x="901" y="112"/>
                              </a:lnTo>
                              <a:lnTo>
                                <a:pt x="903" y="112"/>
                              </a:lnTo>
                              <a:lnTo>
                                <a:pt x="905" y="112"/>
                              </a:lnTo>
                              <a:lnTo>
                                <a:pt x="907" y="112"/>
                              </a:lnTo>
                              <a:lnTo>
                                <a:pt x="909" y="112"/>
                              </a:lnTo>
                              <a:lnTo>
                                <a:pt x="911" y="112"/>
                              </a:lnTo>
                              <a:lnTo>
                                <a:pt x="912" y="112"/>
                              </a:lnTo>
                              <a:lnTo>
                                <a:pt x="914" y="112"/>
                              </a:lnTo>
                              <a:lnTo>
                                <a:pt x="916" y="112"/>
                              </a:lnTo>
                              <a:lnTo>
                                <a:pt x="918" y="111"/>
                              </a:lnTo>
                              <a:lnTo>
                                <a:pt x="919" y="111"/>
                              </a:lnTo>
                              <a:lnTo>
                                <a:pt x="921" y="111"/>
                              </a:lnTo>
                              <a:lnTo>
                                <a:pt x="922" y="111"/>
                              </a:lnTo>
                              <a:lnTo>
                                <a:pt x="923" y="111"/>
                              </a:lnTo>
                              <a:lnTo>
                                <a:pt x="926" y="110"/>
                              </a:lnTo>
                              <a:lnTo>
                                <a:pt x="930" y="110"/>
                              </a:lnTo>
                              <a:lnTo>
                                <a:pt x="933" y="110"/>
                              </a:lnTo>
                              <a:lnTo>
                                <a:pt x="937" y="109"/>
                              </a:lnTo>
                              <a:lnTo>
                                <a:pt x="940" y="109"/>
                              </a:lnTo>
                              <a:lnTo>
                                <a:pt x="944" y="109"/>
                              </a:lnTo>
                              <a:lnTo>
                                <a:pt x="947" y="108"/>
                              </a:lnTo>
                              <a:lnTo>
                                <a:pt x="950" y="108"/>
                              </a:lnTo>
                              <a:lnTo>
                                <a:pt x="953" y="108"/>
                              </a:lnTo>
                              <a:lnTo>
                                <a:pt x="956" y="108"/>
                              </a:lnTo>
                              <a:lnTo>
                                <a:pt x="958" y="108"/>
                              </a:lnTo>
                              <a:lnTo>
                                <a:pt x="960" y="108"/>
                              </a:lnTo>
                              <a:lnTo>
                                <a:pt x="963" y="108"/>
                              </a:lnTo>
                              <a:lnTo>
                                <a:pt x="966" y="108"/>
                              </a:lnTo>
                              <a:lnTo>
                                <a:pt x="969" y="108"/>
                              </a:lnTo>
                              <a:lnTo>
                                <a:pt x="972" y="108"/>
                              </a:lnTo>
                              <a:lnTo>
                                <a:pt x="975" y="108"/>
                              </a:lnTo>
                              <a:lnTo>
                                <a:pt x="979" y="108"/>
                              </a:lnTo>
                              <a:lnTo>
                                <a:pt x="983" y="107"/>
                              </a:lnTo>
                              <a:lnTo>
                                <a:pt x="987" y="107"/>
                              </a:lnTo>
                              <a:lnTo>
                                <a:pt x="991" y="107"/>
                              </a:lnTo>
                              <a:lnTo>
                                <a:pt x="994" y="107"/>
                              </a:lnTo>
                              <a:lnTo>
                                <a:pt x="995" y="107"/>
                              </a:lnTo>
                              <a:lnTo>
                                <a:pt x="996" y="107"/>
                              </a:lnTo>
                              <a:lnTo>
                                <a:pt x="997" y="107"/>
                              </a:lnTo>
                              <a:lnTo>
                                <a:pt x="998" y="107"/>
                              </a:lnTo>
                              <a:lnTo>
                                <a:pt x="999" y="107"/>
                              </a:lnTo>
                              <a:lnTo>
                                <a:pt x="1000" y="107"/>
                              </a:lnTo>
                              <a:lnTo>
                                <a:pt x="1001" y="107"/>
                              </a:lnTo>
                              <a:lnTo>
                                <a:pt x="1003" y="107"/>
                              </a:lnTo>
                              <a:lnTo>
                                <a:pt x="1004" y="107"/>
                              </a:lnTo>
                              <a:lnTo>
                                <a:pt x="1005" y="107"/>
                              </a:lnTo>
                              <a:lnTo>
                                <a:pt x="1006" y="107"/>
                              </a:lnTo>
                              <a:lnTo>
                                <a:pt x="1008" y="106"/>
                              </a:lnTo>
                              <a:lnTo>
                                <a:pt x="1009" y="106"/>
                              </a:lnTo>
                              <a:lnTo>
                                <a:pt x="1010" y="106"/>
                              </a:lnTo>
                              <a:lnTo>
                                <a:pt x="1012" y="105"/>
                              </a:lnTo>
                              <a:lnTo>
                                <a:pt x="1013" y="105"/>
                              </a:lnTo>
                              <a:lnTo>
                                <a:pt x="1014" y="105"/>
                              </a:lnTo>
                              <a:lnTo>
                                <a:pt x="1016" y="104"/>
                              </a:lnTo>
                              <a:lnTo>
                                <a:pt x="1018" y="104"/>
                              </a:lnTo>
                              <a:lnTo>
                                <a:pt x="1020" y="103"/>
                              </a:lnTo>
                              <a:lnTo>
                                <a:pt x="1022" y="102"/>
                              </a:lnTo>
                              <a:lnTo>
                                <a:pt x="1024" y="102"/>
                              </a:lnTo>
                              <a:lnTo>
                                <a:pt x="1025" y="101"/>
                              </a:lnTo>
                              <a:lnTo>
                                <a:pt x="1027" y="101"/>
                              </a:lnTo>
                              <a:lnTo>
                                <a:pt x="1028" y="100"/>
                              </a:lnTo>
                              <a:lnTo>
                                <a:pt x="1029" y="100"/>
                              </a:lnTo>
                              <a:lnTo>
                                <a:pt x="1030" y="100"/>
                              </a:lnTo>
                              <a:lnTo>
                                <a:pt x="1030" y="100"/>
                              </a:lnTo>
                              <a:lnTo>
                                <a:pt x="1030" y="100"/>
                              </a:lnTo>
                              <a:lnTo>
                                <a:pt x="1031" y="100"/>
                              </a:lnTo>
                              <a:lnTo>
                                <a:pt x="1032" y="100"/>
                              </a:lnTo>
                              <a:lnTo>
                                <a:pt x="1033" y="100"/>
                              </a:lnTo>
                              <a:lnTo>
                                <a:pt x="1035" y="100"/>
                              </a:lnTo>
                              <a:lnTo>
                                <a:pt x="1037" y="99"/>
                              </a:lnTo>
                              <a:lnTo>
                                <a:pt x="1040" y="99"/>
                              </a:lnTo>
                              <a:lnTo>
                                <a:pt x="1042" y="99"/>
                              </a:lnTo>
                              <a:lnTo>
                                <a:pt x="1043" y="99"/>
                              </a:lnTo>
                              <a:lnTo>
                                <a:pt x="1045" y="99"/>
                              </a:lnTo>
                              <a:lnTo>
                                <a:pt x="1046" y="99"/>
                              </a:lnTo>
                              <a:lnTo>
                                <a:pt x="1047" y="98"/>
                              </a:lnTo>
                              <a:lnTo>
                                <a:pt x="1049" y="98"/>
                              </a:lnTo>
                              <a:lnTo>
                                <a:pt x="1050" y="98"/>
                              </a:lnTo>
                              <a:lnTo>
                                <a:pt x="1051" y="98"/>
                              </a:lnTo>
                              <a:lnTo>
                                <a:pt x="1052" y="98"/>
                              </a:lnTo>
                              <a:lnTo>
                                <a:pt x="1053" y="97"/>
                              </a:lnTo>
                              <a:lnTo>
                                <a:pt x="1054" y="97"/>
                              </a:lnTo>
                              <a:lnTo>
                                <a:pt x="1055" y="96"/>
                              </a:lnTo>
                              <a:lnTo>
                                <a:pt x="1057" y="96"/>
                              </a:lnTo>
                              <a:lnTo>
                                <a:pt x="1059" y="95"/>
                              </a:lnTo>
                              <a:lnTo>
                                <a:pt x="1060" y="94"/>
                              </a:lnTo>
                              <a:lnTo>
                                <a:pt x="1062" y="93"/>
                              </a:lnTo>
                              <a:lnTo>
                                <a:pt x="1063" y="93"/>
                              </a:lnTo>
                              <a:lnTo>
                                <a:pt x="1064" y="92"/>
                              </a:lnTo>
                              <a:lnTo>
                                <a:pt x="1065" y="92"/>
                              </a:lnTo>
                              <a:lnTo>
                                <a:pt x="1066" y="92"/>
                              </a:lnTo>
                              <a:lnTo>
                                <a:pt x="1067" y="92"/>
                              </a:lnTo>
                              <a:lnTo>
                                <a:pt x="1067" y="92"/>
                              </a:lnTo>
                              <a:lnTo>
                                <a:pt x="1068" y="92"/>
                              </a:lnTo>
                              <a:lnTo>
                                <a:pt x="1068" y="91"/>
                              </a:lnTo>
                              <a:lnTo>
                                <a:pt x="1069" y="91"/>
                              </a:lnTo>
                              <a:lnTo>
                                <a:pt x="1070" y="91"/>
                              </a:lnTo>
                              <a:lnTo>
                                <a:pt x="1070" y="91"/>
                              </a:lnTo>
                              <a:lnTo>
                                <a:pt x="1071" y="91"/>
                              </a:lnTo>
                              <a:lnTo>
                                <a:pt x="1073" y="91"/>
                              </a:lnTo>
                              <a:lnTo>
                                <a:pt x="1074" y="91"/>
                              </a:lnTo>
                              <a:lnTo>
                                <a:pt x="1076" y="91"/>
                              </a:lnTo>
                              <a:lnTo>
                                <a:pt x="1077" y="91"/>
                              </a:lnTo>
                              <a:lnTo>
                                <a:pt x="1078" y="91"/>
                              </a:lnTo>
                              <a:lnTo>
                                <a:pt x="1080" y="91"/>
                              </a:lnTo>
                              <a:lnTo>
                                <a:pt x="1081" y="91"/>
                              </a:lnTo>
                              <a:lnTo>
                                <a:pt x="1082" y="91"/>
                              </a:lnTo>
                              <a:lnTo>
                                <a:pt x="1083" y="90"/>
                              </a:lnTo>
                              <a:lnTo>
                                <a:pt x="1084" y="90"/>
                              </a:lnTo>
                              <a:lnTo>
                                <a:pt x="1085" y="90"/>
                              </a:lnTo>
                              <a:lnTo>
                                <a:pt x="1087" y="90"/>
                              </a:lnTo>
                              <a:lnTo>
                                <a:pt x="1088" y="89"/>
                              </a:lnTo>
                              <a:lnTo>
                                <a:pt x="1090" y="88"/>
                              </a:lnTo>
                              <a:lnTo>
                                <a:pt x="1092" y="88"/>
                              </a:lnTo>
                              <a:lnTo>
                                <a:pt x="1093" y="87"/>
                              </a:lnTo>
                              <a:lnTo>
                                <a:pt x="1095" y="87"/>
                              </a:lnTo>
                              <a:lnTo>
                                <a:pt x="1096" y="87"/>
                              </a:lnTo>
                              <a:lnTo>
                                <a:pt x="1097" y="87"/>
                              </a:lnTo>
                              <a:lnTo>
                                <a:pt x="1098" y="86"/>
                              </a:lnTo>
                              <a:lnTo>
                                <a:pt x="1099" y="86"/>
                              </a:lnTo>
                              <a:lnTo>
                                <a:pt x="1100" y="86"/>
                              </a:lnTo>
                              <a:lnTo>
                                <a:pt x="1101" y="86"/>
                              </a:lnTo>
                              <a:lnTo>
                                <a:pt x="1102" y="86"/>
                              </a:lnTo>
                              <a:lnTo>
                                <a:pt x="1103" y="86"/>
                              </a:lnTo>
                              <a:lnTo>
                                <a:pt x="1105" y="86"/>
                              </a:lnTo>
                              <a:lnTo>
                                <a:pt x="1105" y="86"/>
                              </a:lnTo>
                              <a:lnTo>
                                <a:pt x="1107" y="86"/>
                              </a:lnTo>
                              <a:lnTo>
                                <a:pt x="1109" y="87"/>
                              </a:lnTo>
                              <a:lnTo>
                                <a:pt x="1111" y="87"/>
                              </a:lnTo>
                              <a:lnTo>
                                <a:pt x="1112" y="87"/>
                              </a:lnTo>
                              <a:lnTo>
                                <a:pt x="1113" y="87"/>
                              </a:lnTo>
                              <a:lnTo>
                                <a:pt x="1115" y="87"/>
                              </a:lnTo>
                              <a:lnTo>
                                <a:pt x="1116" y="87"/>
                              </a:lnTo>
                              <a:lnTo>
                                <a:pt x="1116" y="87"/>
                              </a:lnTo>
                              <a:lnTo>
                                <a:pt x="1117" y="87"/>
                              </a:lnTo>
                              <a:lnTo>
                                <a:pt x="1118" y="87"/>
                              </a:lnTo>
                              <a:lnTo>
                                <a:pt x="1119" y="86"/>
                              </a:lnTo>
                              <a:lnTo>
                                <a:pt x="1120" y="86"/>
                              </a:lnTo>
                              <a:lnTo>
                                <a:pt x="1121" y="86"/>
                              </a:lnTo>
                              <a:lnTo>
                                <a:pt x="1121" y="86"/>
                              </a:lnTo>
                              <a:lnTo>
                                <a:pt x="1122" y="86"/>
                              </a:lnTo>
                              <a:lnTo>
                                <a:pt x="1123" y="85"/>
                              </a:lnTo>
                              <a:lnTo>
                                <a:pt x="1124" y="85"/>
                              </a:lnTo>
                              <a:lnTo>
                                <a:pt x="1125" y="85"/>
                              </a:lnTo>
                              <a:lnTo>
                                <a:pt x="1126" y="84"/>
                              </a:lnTo>
                              <a:lnTo>
                                <a:pt x="1126" y="84"/>
                              </a:lnTo>
                              <a:lnTo>
                                <a:pt x="1127" y="83"/>
                              </a:lnTo>
                              <a:lnTo>
                                <a:pt x="1129" y="83"/>
                              </a:lnTo>
                              <a:lnTo>
                                <a:pt x="1130" y="82"/>
                              </a:lnTo>
                              <a:lnTo>
                                <a:pt x="1132" y="81"/>
                              </a:lnTo>
                              <a:lnTo>
                                <a:pt x="1133" y="79"/>
                              </a:lnTo>
                              <a:lnTo>
                                <a:pt x="1135" y="79"/>
                              </a:lnTo>
                              <a:lnTo>
                                <a:pt x="1136" y="78"/>
                              </a:lnTo>
                              <a:lnTo>
                                <a:pt x="1137" y="77"/>
                              </a:lnTo>
                              <a:lnTo>
                                <a:pt x="1138" y="77"/>
                              </a:lnTo>
                              <a:lnTo>
                                <a:pt x="1139" y="77"/>
                              </a:lnTo>
                              <a:lnTo>
                                <a:pt x="1139" y="76"/>
                              </a:lnTo>
                              <a:lnTo>
                                <a:pt x="1140" y="76"/>
                              </a:lnTo>
                              <a:lnTo>
                                <a:pt x="1140" y="76"/>
                              </a:lnTo>
                              <a:lnTo>
                                <a:pt x="1141" y="76"/>
                              </a:lnTo>
                              <a:lnTo>
                                <a:pt x="1141" y="76"/>
                              </a:lnTo>
                              <a:lnTo>
                                <a:pt x="1141" y="76"/>
                              </a:lnTo>
                              <a:lnTo>
                                <a:pt x="1142" y="76"/>
                              </a:lnTo>
                              <a:lnTo>
                                <a:pt x="1142" y="76"/>
                              </a:lnTo>
                              <a:lnTo>
                                <a:pt x="1143" y="75"/>
                              </a:lnTo>
                              <a:lnTo>
                                <a:pt x="1144" y="75"/>
                              </a:lnTo>
                              <a:lnTo>
                                <a:pt x="1146" y="75"/>
                              </a:lnTo>
                              <a:lnTo>
                                <a:pt x="1147" y="75"/>
                              </a:lnTo>
                              <a:lnTo>
                                <a:pt x="1149" y="75"/>
                              </a:lnTo>
                              <a:lnTo>
                                <a:pt x="1150" y="75"/>
                              </a:lnTo>
                              <a:lnTo>
                                <a:pt x="1151" y="75"/>
                              </a:lnTo>
                              <a:lnTo>
                                <a:pt x="1152" y="74"/>
                              </a:lnTo>
                              <a:lnTo>
                                <a:pt x="1153" y="74"/>
                              </a:lnTo>
                              <a:lnTo>
                                <a:pt x="1154" y="74"/>
                              </a:lnTo>
                              <a:lnTo>
                                <a:pt x="1155" y="74"/>
                              </a:lnTo>
                              <a:lnTo>
                                <a:pt x="1156" y="73"/>
                              </a:lnTo>
                              <a:lnTo>
                                <a:pt x="1157" y="73"/>
                              </a:lnTo>
                              <a:lnTo>
                                <a:pt x="1159" y="72"/>
                              </a:lnTo>
                              <a:lnTo>
                                <a:pt x="1160" y="71"/>
                              </a:lnTo>
                              <a:lnTo>
                                <a:pt x="1162" y="70"/>
                              </a:lnTo>
                              <a:lnTo>
                                <a:pt x="1163" y="70"/>
                              </a:lnTo>
                              <a:lnTo>
                                <a:pt x="1164" y="69"/>
                              </a:lnTo>
                              <a:lnTo>
                                <a:pt x="1165" y="69"/>
                              </a:lnTo>
                              <a:lnTo>
                                <a:pt x="1166" y="69"/>
                              </a:lnTo>
                              <a:lnTo>
                                <a:pt x="1167" y="69"/>
                              </a:lnTo>
                              <a:lnTo>
                                <a:pt x="1168" y="68"/>
                              </a:lnTo>
                              <a:lnTo>
                                <a:pt x="1169" y="68"/>
                              </a:lnTo>
                              <a:lnTo>
                                <a:pt x="1171" y="68"/>
                              </a:lnTo>
                              <a:lnTo>
                                <a:pt x="1172" y="68"/>
                              </a:lnTo>
                              <a:lnTo>
                                <a:pt x="1174" y="68"/>
                              </a:lnTo>
                              <a:lnTo>
                                <a:pt x="1175" y="68"/>
                              </a:lnTo>
                              <a:lnTo>
                                <a:pt x="1176" y="68"/>
                              </a:lnTo>
                              <a:lnTo>
                                <a:pt x="1177" y="68"/>
                              </a:lnTo>
                              <a:lnTo>
                                <a:pt x="1177" y="68"/>
                              </a:lnTo>
                              <a:lnTo>
                                <a:pt x="1177" y="68"/>
                              </a:lnTo>
                              <a:lnTo>
                                <a:pt x="1178" y="68"/>
                              </a:lnTo>
                              <a:lnTo>
                                <a:pt x="1178" y="68"/>
                              </a:lnTo>
                              <a:lnTo>
                                <a:pt x="1179" y="67"/>
                              </a:lnTo>
                              <a:lnTo>
                                <a:pt x="1179" y="67"/>
                              </a:lnTo>
                              <a:lnTo>
                                <a:pt x="1179" y="67"/>
                              </a:lnTo>
                              <a:lnTo>
                                <a:pt x="1179" y="67"/>
                              </a:lnTo>
                              <a:lnTo>
                                <a:pt x="1180" y="67"/>
                              </a:lnTo>
                              <a:lnTo>
                                <a:pt x="1180" y="67"/>
                              </a:lnTo>
                              <a:lnTo>
                                <a:pt x="1181" y="67"/>
                              </a:lnTo>
                              <a:lnTo>
                                <a:pt x="1181" y="66"/>
                              </a:lnTo>
                              <a:lnTo>
                                <a:pt x="1182" y="66"/>
                              </a:lnTo>
                              <a:lnTo>
                                <a:pt x="1183" y="66"/>
                              </a:lnTo>
                              <a:lnTo>
                                <a:pt x="1183" y="65"/>
                              </a:lnTo>
                              <a:lnTo>
                                <a:pt x="1184" y="65"/>
                              </a:lnTo>
                              <a:lnTo>
                                <a:pt x="1185" y="64"/>
                              </a:lnTo>
                              <a:lnTo>
                                <a:pt x="1185" y="64"/>
                              </a:lnTo>
                              <a:lnTo>
                                <a:pt x="1186" y="63"/>
                              </a:lnTo>
                              <a:lnTo>
                                <a:pt x="1187" y="63"/>
                              </a:lnTo>
                              <a:lnTo>
                                <a:pt x="1187" y="62"/>
                              </a:lnTo>
                              <a:lnTo>
                                <a:pt x="1188" y="61"/>
                              </a:lnTo>
                              <a:lnTo>
                                <a:pt x="1189" y="60"/>
                              </a:lnTo>
                              <a:lnTo>
                                <a:pt x="1189" y="60"/>
                              </a:lnTo>
                              <a:lnTo>
                                <a:pt x="1190" y="59"/>
                              </a:lnTo>
                              <a:lnTo>
                                <a:pt x="1191" y="58"/>
                              </a:lnTo>
                              <a:lnTo>
                                <a:pt x="1191" y="57"/>
                              </a:lnTo>
                              <a:lnTo>
                                <a:pt x="1192" y="56"/>
                              </a:lnTo>
                              <a:lnTo>
                                <a:pt x="1193" y="55"/>
                              </a:lnTo>
                              <a:lnTo>
                                <a:pt x="1193" y="55"/>
                              </a:lnTo>
                              <a:lnTo>
                                <a:pt x="1194" y="54"/>
                              </a:lnTo>
                              <a:lnTo>
                                <a:pt x="1194" y="53"/>
                              </a:lnTo>
                              <a:lnTo>
                                <a:pt x="1195" y="52"/>
                              </a:lnTo>
                              <a:lnTo>
                                <a:pt x="1195" y="51"/>
                              </a:lnTo>
                              <a:lnTo>
                                <a:pt x="1196" y="51"/>
                              </a:lnTo>
                              <a:lnTo>
                                <a:pt x="1196" y="50"/>
                              </a:lnTo>
                              <a:lnTo>
                                <a:pt x="1197" y="49"/>
                              </a:lnTo>
                              <a:lnTo>
                                <a:pt x="1197" y="49"/>
                              </a:lnTo>
                              <a:lnTo>
                                <a:pt x="1197" y="48"/>
                              </a:lnTo>
                              <a:lnTo>
                                <a:pt x="1198" y="47"/>
                              </a:lnTo>
                              <a:lnTo>
                                <a:pt x="1198" y="46"/>
                              </a:lnTo>
                              <a:lnTo>
                                <a:pt x="1199" y="45"/>
                              </a:lnTo>
                              <a:lnTo>
                                <a:pt x="1199" y="44"/>
                              </a:lnTo>
                              <a:lnTo>
                                <a:pt x="1199" y="43"/>
                              </a:lnTo>
                              <a:lnTo>
                                <a:pt x="1200" y="43"/>
                              </a:lnTo>
                              <a:lnTo>
                                <a:pt x="1200" y="42"/>
                              </a:lnTo>
                              <a:lnTo>
                                <a:pt x="1200" y="41"/>
                              </a:lnTo>
                              <a:lnTo>
                                <a:pt x="1201" y="40"/>
                              </a:lnTo>
                              <a:lnTo>
                                <a:pt x="1201" y="39"/>
                              </a:lnTo>
                              <a:lnTo>
                                <a:pt x="1201" y="38"/>
                              </a:lnTo>
                              <a:lnTo>
                                <a:pt x="1202" y="37"/>
                              </a:lnTo>
                              <a:lnTo>
                                <a:pt x="1202" y="36"/>
                              </a:lnTo>
                              <a:lnTo>
                                <a:pt x="1202" y="34"/>
                              </a:lnTo>
                              <a:lnTo>
                                <a:pt x="1202" y="33"/>
                              </a:lnTo>
                              <a:lnTo>
                                <a:pt x="1203" y="32"/>
                              </a:lnTo>
                              <a:lnTo>
                                <a:pt x="1203" y="31"/>
                              </a:lnTo>
                              <a:lnTo>
                                <a:pt x="1203" y="30"/>
                              </a:lnTo>
                              <a:lnTo>
                                <a:pt x="1203" y="29"/>
                              </a:lnTo>
                              <a:lnTo>
                                <a:pt x="1203" y="28"/>
                              </a:lnTo>
                              <a:lnTo>
                                <a:pt x="1204" y="26"/>
                              </a:lnTo>
                              <a:lnTo>
                                <a:pt x="1204" y="25"/>
                              </a:lnTo>
                              <a:lnTo>
                                <a:pt x="1204" y="23"/>
                              </a:lnTo>
                              <a:lnTo>
                                <a:pt x="1204" y="22"/>
                              </a:lnTo>
                              <a:lnTo>
                                <a:pt x="1204" y="21"/>
                              </a:lnTo>
                              <a:lnTo>
                                <a:pt x="1205" y="19"/>
                              </a:lnTo>
                              <a:lnTo>
                                <a:pt x="1205" y="18"/>
                              </a:lnTo>
                              <a:lnTo>
                                <a:pt x="1205" y="16"/>
                              </a:lnTo>
                              <a:lnTo>
                                <a:pt x="1205" y="15"/>
                              </a:lnTo>
                              <a:lnTo>
                                <a:pt x="1205" y="13"/>
                              </a:lnTo>
                              <a:lnTo>
                                <a:pt x="1205" y="11"/>
                              </a:lnTo>
                              <a:lnTo>
                                <a:pt x="1206" y="10"/>
                              </a:lnTo>
                              <a:lnTo>
                                <a:pt x="1206" y="8"/>
                              </a:lnTo>
                              <a:lnTo>
                                <a:pt x="1206" y="6"/>
                              </a:lnTo>
                              <a:lnTo>
                                <a:pt x="1206" y="4"/>
                              </a:lnTo>
                              <a:lnTo>
                                <a:pt x="1206" y="2"/>
                              </a:lnTo>
                              <a:lnTo>
                                <a:pt x="1207" y="0"/>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4" name="Freeform 300"/>
                        <a:cNvSpPr>
                          <a:spLocks/>
                        </a:cNvSpPr>
                      </a:nvSpPr>
                      <a:spPr bwMode="auto">
                        <a:xfrm>
                          <a:off x="4124325" y="8313496"/>
                          <a:ext cx="769938" cy="1165558"/>
                        </a:xfrm>
                        <a:custGeom>
                          <a:avLst/>
                          <a:gdLst/>
                          <a:ahLst/>
                          <a:cxnLst>
                            <a:cxn ang="0">
                              <a:pos x="1" y="652"/>
                            </a:cxn>
                            <a:cxn ang="0">
                              <a:pos x="2" y="627"/>
                            </a:cxn>
                            <a:cxn ang="0">
                              <a:pos x="4" y="589"/>
                            </a:cxn>
                            <a:cxn ang="0">
                              <a:pos x="5" y="541"/>
                            </a:cxn>
                            <a:cxn ang="0">
                              <a:pos x="6" y="516"/>
                            </a:cxn>
                            <a:cxn ang="0">
                              <a:pos x="7" y="497"/>
                            </a:cxn>
                            <a:cxn ang="0">
                              <a:pos x="8" y="463"/>
                            </a:cxn>
                            <a:cxn ang="0">
                              <a:pos x="11" y="342"/>
                            </a:cxn>
                            <a:cxn ang="0">
                              <a:pos x="15" y="153"/>
                            </a:cxn>
                            <a:cxn ang="0">
                              <a:pos x="18" y="56"/>
                            </a:cxn>
                            <a:cxn ang="0">
                              <a:pos x="21" y="11"/>
                            </a:cxn>
                            <a:cxn ang="0">
                              <a:pos x="23" y="1"/>
                            </a:cxn>
                            <a:cxn ang="0">
                              <a:pos x="26" y="30"/>
                            </a:cxn>
                            <a:cxn ang="0">
                              <a:pos x="30" y="115"/>
                            </a:cxn>
                            <a:cxn ang="0">
                              <a:pos x="36" y="294"/>
                            </a:cxn>
                            <a:cxn ang="0">
                              <a:pos x="41" y="394"/>
                            </a:cxn>
                            <a:cxn ang="0">
                              <a:pos x="44" y="455"/>
                            </a:cxn>
                            <a:cxn ang="0">
                              <a:pos x="45" y="475"/>
                            </a:cxn>
                            <a:cxn ang="0">
                              <a:pos x="48" y="515"/>
                            </a:cxn>
                            <a:cxn ang="0">
                              <a:pos x="51" y="548"/>
                            </a:cxn>
                            <a:cxn ang="0">
                              <a:pos x="55" y="580"/>
                            </a:cxn>
                            <a:cxn ang="0">
                              <a:pos x="61" y="610"/>
                            </a:cxn>
                            <a:cxn ang="0">
                              <a:pos x="68" y="641"/>
                            </a:cxn>
                            <a:cxn ang="0">
                              <a:pos x="74" y="665"/>
                            </a:cxn>
                            <a:cxn ang="0">
                              <a:pos x="81" y="684"/>
                            </a:cxn>
                            <a:cxn ang="0">
                              <a:pos x="85" y="693"/>
                            </a:cxn>
                            <a:cxn ang="0">
                              <a:pos x="94" y="709"/>
                            </a:cxn>
                            <a:cxn ang="0">
                              <a:pos x="102" y="721"/>
                            </a:cxn>
                            <a:cxn ang="0">
                              <a:pos x="109" y="730"/>
                            </a:cxn>
                            <a:cxn ang="0">
                              <a:pos x="117" y="736"/>
                            </a:cxn>
                            <a:cxn ang="0">
                              <a:pos x="124" y="740"/>
                            </a:cxn>
                            <a:cxn ang="0">
                              <a:pos x="137" y="745"/>
                            </a:cxn>
                            <a:cxn ang="0">
                              <a:pos x="153" y="749"/>
                            </a:cxn>
                            <a:cxn ang="0">
                              <a:pos x="171" y="751"/>
                            </a:cxn>
                            <a:cxn ang="0">
                              <a:pos x="195" y="754"/>
                            </a:cxn>
                            <a:cxn ang="0">
                              <a:pos x="224" y="758"/>
                            </a:cxn>
                            <a:cxn ang="0">
                              <a:pos x="241" y="760"/>
                            </a:cxn>
                            <a:cxn ang="0">
                              <a:pos x="267" y="761"/>
                            </a:cxn>
                            <a:cxn ang="0">
                              <a:pos x="286" y="762"/>
                            </a:cxn>
                            <a:cxn ang="0">
                              <a:pos x="314" y="763"/>
                            </a:cxn>
                            <a:cxn ang="0">
                              <a:pos x="340" y="762"/>
                            </a:cxn>
                            <a:cxn ang="0">
                              <a:pos x="355" y="761"/>
                            </a:cxn>
                            <a:cxn ang="0">
                              <a:pos x="365" y="759"/>
                            </a:cxn>
                            <a:cxn ang="0">
                              <a:pos x="370" y="758"/>
                            </a:cxn>
                            <a:cxn ang="0">
                              <a:pos x="373" y="755"/>
                            </a:cxn>
                            <a:cxn ang="0">
                              <a:pos x="376" y="752"/>
                            </a:cxn>
                            <a:cxn ang="0">
                              <a:pos x="377" y="750"/>
                            </a:cxn>
                            <a:cxn ang="0">
                              <a:pos x="378" y="748"/>
                            </a:cxn>
                            <a:cxn ang="0">
                              <a:pos x="379" y="746"/>
                            </a:cxn>
                            <a:cxn ang="0">
                              <a:pos x="380" y="742"/>
                            </a:cxn>
                            <a:cxn ang="0">
                              <a:pos x="383" y="734"/>
                            </a:cxn>
                            <a:cxn ang="0">
                              <a:pos x="385" y="723"/>
                            </a:cxn>
                            <a:cxn ang="0">
                              <a:pos x="389" y="705"/>
                            </a:cxn>
                            <a:cxn ang="0">
                              <a:pos x="395" y="663"/>
                            </a:cxn>
                            <a:cxn ang="0">
                              <a:pos x="400" y="637"/>
                            </a:cxn>
                            <a:cxn ang="0">
                              <a:pos x="406" y="616"/>
                            </a:cxn>
                            <a:cxn ang="0">
                              <a:pos x="412" y="605"/>
                            </a:cxn>
                            <a:cxn ang="0">
                              <a:pos x="416" y="602"/>
                            </a:cxn>
                            <a:cxn ang="0">
                              <a:pos x="423" y="606"/>
                            </a:cxn>
                            <a:cxn ang="0">
                              <a:pos x="437" y="630"/>
                            </a:cxn>
                            <a:cxn ang="0">
                              <a:pos x="453" y="661"/>
                            </a:cxn>
                            <a:cxn ang="0">
                              <a:pos x="460" y="673"/>
                            </a:cxn>
                            <a:cxn ang="0">
                              <a:pos x="474" y="693"/>
                            </a:cxn>
                          </a:cxnLst>
                          <a:rect l="0" t="0" r="r" b="b"/>
                          <a:pathLst>
                            <a:path w="485" h="763">
                              <a:moveTo>
                                <a:pt x="0" y="666"/>
                              </a:moveTo>
                              <a:lnTo>
                                <a:pt x="0" y="664"/>
                              </a:lnTo>
                              <a:lnTo>
                                <a:pt x="0" y="662"/>
                              </a:lnTo>
                              <a:lnTo>
                                <a:pt x="0" y="660"/>
                              </a:lnTo>
                              <a:lnTo>
                                <a:pt x="0" y="658"/>
                              </a:lnTo>
                              <a:lnTo>
                                <a:pt x="0" y="656"/>
                              </a:lnTo>
                              <a:lnTo>
                                <a:pt x="0" y="654"/>
                              </a:lnTo>
                              <a:lnTo>
                                <a:pt x="1" y="652"/>
                              </a:lnTo>
                              <a:lnTo>
                                <a:pt x="1" y="650"/>
                              </a:lnTo>
                              <a:lnTo>
                                <a:pt x="1" y="648"/>
                              </a:lnTo>
                              <a:lnTo>
                                <a:pt x="1" y="645"/>
                              </a:lnTo>
                              <a:lnTo>
                                <a:pt x="1" y="642"/>
                              </a:lnTo>
                              <a:lnTo>
                                <a:pt x="1" y="639"/>
                              </a:lnTo>
                              <a:lnTo>
                                <a:pt x="2" y="635"/>
                              </a:lnTo>
                              <a:lnTo>
                                <a:pt x="2" y="631"/>
                              </a:lnTo>
                              <a:lnTo>
                                <a:pt x="2" y="627"/>
                              </a:lnTo>
                              <a:lnTo>
                                <a:pt x="2" y="623"/>
                              </a:lnTo>
                              <a:lnTo>
                                <a:pt x="2" y="618"/>
                              </a:lnTo>
                              <a:lnTo>
                                <a:pt x="3" y="614"/>
                              </a:lnTo>
                              <a:lnTo>
                                <a:pt x="3" y="609"/>
                              </a:lnTo>
                              <a:lnTo>
                                <a:pt x="3" y="604"/>
                              </a:lnTo>
                              <a:lnTo>
                                <a:pt x="3" y="599"/>
                              </a:lnTo>
                              <a:lnTo>
                                <a:pt x="4" y="594"/>
                              </a:lnTo>
                              <a:lnTo>
                                <a:pt x="4" y="589"/>
                              </a:lnTo>
                              <a:lnTo>
                                <a:pt x="4" y="583"/>
                              </a:lnTo>
                              <a:lnTo>
                                <a:pt x="4" y="578"/>
                              </a:lnTo>
                              <a:lnTo>
                                <a:pt x="4" y="572"/>
                              </a:lnTo>
                              <a:lnTo>
                                <a:pt x="5" y="566"/>
                              </a:lnTo>
                              <a:lnTo>
                                <a:pt x="5" y="560"/>
                              </a:lnTo>
                              <a:lnTo>
                                <a:pt x="5" y="554"/>
                              </a:lnTo>
                              <a:lnTo>
                                <a:pt x="5" y="547"/>
                              </a:lnTo>
                              <a:lnTo>
                                <a:pt x="5" y="541"/>
                              </a:lnTo>
                              <a:lnTo>
                                <a:pt x="6" y="535"/>
                              </a:lnTo>
                              <a:lnTo>
                                <a:pt x="6" y="532"/>
                              </a:lnTo>
                              <a:lnTo>
                                <a:pt x="6" y="528"/>
                              </a:lnTo>
                              <a:lnTo>
                                <a:pt x="6" y="525"/>
                              </a:lnTo>
                              <a:lnTo>
                                <a:pt x="6" y="523"/>
                              </a:lnTo>
                              <a:lnTo>
                                <a:pt x="6" y="521"/>
                              </a:lnTo>
                              <a:lnTo>
                                <a:pt x="6" y="518"/>
                              </a:lnTo>
                              <a:lnTo>
                                <a:pt x="6" y="516"/>
                              </a:lnTo>
                              <a:lnTo>
                                <a:pt x="6" y="514"/>
                              </a:lnTo>
                              <a:lnTo>
                                <a:pt x="7" y="511"/>
                              </a:lnTo>
                              <a:lnTo>
                                <a:pt x="7" y="509"/>
                              </a:lnTo>
                              <a:lnTo>
                                <a:pt x="7" y="507"/>
                              </a:lnTo>
                              <a:lnTo>
                                <a:pt x="7" y="504"/>
                              </a:lnTo>
                              <a:lnTo>
                                <a:pt x="7" y="502"/>
                              </a:lnTo>
                              <a:lnTo>
                                <a:pt x="7" y="499"/>
                              </a:lnTo>
                              <a:lnTo>
                                <a:pt x="7" y="497"/>
                              </a:lnTo>
                              <a:lnTo>
                                <a:pt x="7" y="494"/>
                              </a:lnTo>
                              <a:lnTo>
                                <a:pt x="7" y="492"/>
                              </a:lnTo>
                              <a:lnTo>
                                <a:pt x="7" y="489"/>
                              </a:lnTo>
                              <a:lnTo>
                                <a:pt x="7" y="487"/>
                              </a:lnTo>
                              <a:lnTo>
                                <a:pt x="7" y="484"/>
                              </a:lnTo>
                              <a:lnTo>
                                <a:pt x="7" y="482"/>
                              </a:lnTo>
                              <a:lnTo>
                                <a:pt x="8" y="475"/>
                              </a:lnTo>
                              <a:lnTo>
                                <a:pt x="8" y="463"/>
                              </a:lnTo>
                              <a:lnTo>
                                <a:pt x="8" y="451"/>
                              </a:lnTo>
                              <a:lnTo>
                                <a:pt x="9" y="438"/>
                              </a:lnTo>
                              <a:lnTo>
                                <a:pt x="9" y="424"/>
                              </a:lnTo>
                              <a:lnTo>
                                <a:pt x="9" y="410"/>
                              </a:lnTo>
                              <a:lnTo>
                                <a:pt x="10" y="395"/>
                              </a:lnTo>
                              <a:lnTo>
                                <a:pt x="10" y="378"/>
                              </a:lnTo>
                              <a:lnTo>
                                <a:pt x="11" y="361"/>
                              </a:lnTo>
                              <a:lnTo>
                                <a:pt x="11" y="342"/>
                              </a:lnTo>
                              <a:lnTo>
                                <a:pt x="11" y="320"/>
                              </a:lnTo>
                              <a:lnTo>
                                <a:pt x="12" y="292"/>
                              </a:lnTo>
                              <a:lnTo>
                                <a:pt x="13" y="263"/>
                              </a:lnTo>
                              <a:lnTo>
                                <a:pt x="13" y="238"/>
                              </a:lnTo>
                              <a:lnTo>
                                <a:pt x="14" y="215"/>
                              </a:lnTo>
                              <a:lnTo>
                                <a:pt x="14" y="192"/>
                              </a:lnTo>
                              <a:lnTo>
                                <a:pt x="15" y="172"/>
                              </a:lnTo>
                              <a:lnTo>
                                <a:pt x="15" y="153"/>
                              </a:lnTo>
                              <a:lnTo>
                                <a:pt x="16" y="137"/>
                              </a:lnTo>
                              <a:lnTo>
                                <a:pt x="16" y="122"/>
                              </a:lnTo>
                              <a:lnTo>
                                <a:pt x="17" y="108"/>
                              </a:lnTo>
                              <a:lnTo>
                                <a:pt x="17" y="97"/>
                              </a:lnTo>
                              <a:lnTo>
                                <a:pt x="17" y="85"/>
                              </a:lnTo>
                              <a:lnTo>
                                <a:pt x="18" y="75"/>
                              </a:lnTo>
                              <a:lnTo>
                                <a:pt x="18" y="65"/>
                              </a:lnTo>
                              <a:lnTo>
                                <a:pt x="18" y="56"/>
                              </a:lnTo>
                              <a:lnTo>
                                <a:pt x="18" y="48"/>
                              </a:lnTo>
                              <a:lnTo>
                                <a:pt x="19" y="41"/>
                              </a:lnTo>
                              <a:lnTo>
                                <a:pt x="19" y="34"/>
                              </a:lnTo>
                              <a:lnTo>
                                <a:pt x="19" y="29"/>
                              </a:lnTo>
                              <a:lnTo>
                                <a:pt x="20" y="23"/>
                              </a:lnTo>
                              <a:lnTo>
                                <a:pt x="20" y="18"/>
                              </a:lnTo>
                              <a:lnTo>
                                <a:pt x="20" y="14"/>
                              </a:lnTo>
                              <a:lnTo>
                                <a:pt x="21" y="11"/>
                              </a:lnTo>
                              <a:lnTo>
                                <a:pt x="21" y="8"/>
                              </a:lnTo>
                              <a:lnTo>
                                <a:pt x="21" y="5"/>
                              </a:lnTo>
                              <a:lnTo>
                                <a:pt x="21" y="3"/>
                              </a:lnTo>
                              <a:lnTo>
                                <a:pt x="22" y="1"/>
                              </a:lnTo>
                              <a:lnTo>
                                <a:pt x="22" y="0"/>
                              </a:lnTo>
                              <a:lnTo>
                                <a:pt x="22" y="0"/>
                              </a:lnTo>
                              <a:lnTo>
                                <a:pt x="23" y="0"/>
                              </a:lnTo>
                              <a:lnTo>
                                <a:pt x="23" y="1"/>
                              </a:lnTo>
                              <a:lnTo>
                                <a:pt x="23" y="3"/>
                              </a:lnTo>
                              <a:lnTo>
                                <a:pt x="24" y="4"/>
                              </a:lnTo>
                              <a:lnTo>
                                <a:pt x="24" y="7"/>
                              </a:lnTo>
                              <a:lnTo>
                                <a:pt x="24" y="10"/>
                              </a:lnTo>
                              <a:lnTo>
                                <a:pt x="25" y="14"/>
                              </a:lnTo>
                              <a:lnTo>
                                <a:pt x="25" y="19"/>
                              </a:lnTo>
                              <a:lnTo>
                                <a:pt x="25" y="24"/>
                              </a:lnTo>
                              <a:lnTo>
                                <a:pt x="26" y="30"/>
                              </a:lnTo>
                              <a:lnTo>
                                <a:pt x="26" y="37"/>
                              </a:lnTo>
                              <a:lnTo>
                                <a:pt x="27" y="45"/>
                              </a:lnTo>
                              <a:lnTo>
                                <a:pt x="27" y="53"/>
                              </a:lnTo>
                              <a:lnTo>
                                <a:pt x="28" y="63"/>
                              </a:lnTo>
                              <a:lnTo>
                                <a:pt x="28" y="74"/>
                              </a:lnTo>
                              <a:lnTo>
                                <a:pt x="29" y="86"/>
                              </a:lnTo>
                              <a:lnTo>
                                <a:pt x="29" y="100"/>
                              </a:lnTo>
                              <a:lnTo>
                                <a:pt x="30" y="115"/>
                              </a:lnTo>
                              <a:lnTo>
                                <a:pt x="30" y="132"/>
                              </a:lnTo>
                              <a:lnTo>
                                <a:pt x="31" y="153"/>
                              </a:lnTo>
                              <a:lnTo>
                                <a:pt x="32" y="178"/>
                              </a:lnTo>
                              <a:lnTo>
                                <a:pt x="33" y="210"/>
                              </a:lnTo>
                              <a:lnTo>
                                <a:pt x="34" y="238"/>
                              </a:lnTo>
                              <a:lnTo>
                                <a:pt x="35" y="259"/>
                              </a:lnTo>
                              <a:lnTo>
                                <a:pt x="36" y="277"/>
                              </a:lnTo>
                              <a:lnTo>
                                <a:pt x="36" y="294"/>
                              </a:lnTo>
                              <a:lnTo>
                                <a:pt x="37" y="309"/>
                              </a:lnTo>
                              <a:lnTo>
                                <a:pt x="37" y="323"/>
                              </a:lnTo>
                              <a:lnTo>
                                <a:pt x="38" y="336"/>
                              </a:lnTo>
                              <a:lnTo>
                                <a:pt x="39" y="349"/>
                              </a:lnTo>
                              <a:lnTo>
                                <a:pt x="39" y="361"/>
                              </a:lnTo>
                              <a:lnTo>
                                <a:pt x="40" y="372"/>
                              </a:lnTo>
                              <a:lnTo>
                                <a:pt x="40" y="383"/>
                              </a:lnTo>
                              <a:lnTo>
                                <a:pt x="41" y="394"/>
                              </a:lnTo>
                              <a:lnTo>
                                <a:pt x="41" y="405"/>
                              </a:lnTo>
                              <a:lnTo>
                                <a:pt x="42" y="415"/>
                              </a:lnTo>
                              <a:lnTo>
                                <a:pt x="42" y="424"/>
                              </a:lnTo>
                              <a:lnTo>
                                <a:pt x="43" y="433"/>
                              </a:lnTo>
                              <a:lnTo>
                                <a:pt x="43" y="440"/>
                              </a:lnTo>
                              <a:lnTo>
                                <a:pt x="43" y="446"/>
                              </a:lnTo>
                              <a:lnTo>
                                <a:pt x="44" y="451"/>
                              </a:lnTo>
                              <a:lnTo>
                                <a:pt x="44" y="455"/>
                              </a:lnTo>
                              <a:lnTo>
                                <a:pt x="44" y="459"/>
                              </a:lnTo>
                              <a:lnTo>
                                <a:pt x="44" y="462"/>
                              </a:lnTo>
                              <a:lnTo>
                                <a:pt x="45" y="465"/>
                              </a:lnTo>
                              <a:lnTo>
                                <a:pt x="45" y="468"/>
                              </a:lnTo>
                              <a:lnTo>
                                <a:pt x="45" y="470"/>
                              </a:lnTo>
                              <a:lnTo>
                                <a:pt x="45" y="472"/>
                              </a:lnTo>
                              <a:lnTo>
                                <a:pt x="45" y="473"/>
                              </a:lnTo>
                              <a:lnTo>
                                <a:pt x="45" y="475"/>
                              </a:lnTo>
                              <a:lnTo>
                                <a:pt x="45" y="477"/>
                              </a:lnTo>
                              <a:lnTo>
                                <a:pt x="46" y="481"/>
                              </a:lnTo>
                              <a:lnTo>
                                <a:pt x="46" y="489"/>
                              </a:lnTo>
                              <a:lnTo>
                                <a:pt x="47" y="496"/>
                              </a:lnTo>
                              <a:lnTo>
                                <a:pt x="47" y="501"/>
                              </a:lnTo>
                              <a:lnTo>
                                <a:pt x="47" y="506"/>
                              </a:lnTo>
                              <a:lnTo>
                                <a:pt x="48" y="510"/>
                              </a:lnTo>
                              <a:lnTo>
                                <a:pt x="48" y="515"/>
                              </a:lnTo>
                              <a:lnTo>
                                <a:pt x="49" y="519"/>
                              </a:lnTo>
                              <a:lnTo>
                                <a:pt x="49" y="523"/>
                              </a:lnTo>
                              <a:lnTo>
                                <a:pt x="49" y="527"/>
                              </a:lnTo>
                              <a:lnTo>
                                <a:pt x="50" y="532"/>
                              </a:lnTo>
                              <a:lnTo>
                                <a:pt x="50" y="536"/>
                              </a:lnTo>
                              <a:lnTo>
                                <a:pt x="51" y="540"/>
                              </a:lnTo>
                              <a:lnTo>
                                <a:pt x="51" y="544"/>
                              </a:lnTo>
                              <a:lnTo>
                                <a:pt x="51" y="548"/>
                              </a:lnTo>
                              <a:lnTo>
                                <a:pt x="52" y="552"/>
                              </a:lnTo>
                              <a:lnTo>
                                <a:pt x="52" y="556"/>
                              </a:lnTo>
                              <a:lnTo>
                                <a:pt x="53" y="560"/>
                              </a:lnTo>
                              <a:lnTo>
                                <a:pt x="53" y="564"/>
                              </a:lnTo>
                              <a:lnTo>
                                <a:pt x="54" y="568"/>
                              </a:lnTo>
                              <a:lnTo>
                                <a:pt x="54" y="572"/>
                              </a:lnTo>
                              <a:lnTo>
                                <a:pt x="55" y="576"/>
                              </a:lnTo>
                              <a:lnTo>
                                <a:pt x="55" y="580"/>
                              </a:lnTo>
                              <a:lnTo>
                                <a:pt x="56" y="584"/>
                              </a:lnTo>
                              <a:lnTo>
                                <a:pt x="57" y="587"/>
                              </a:lnTo>
                              <a:lnTo>
                                <a:pt x="57" y="591"/>
                              </a:lnTo>
                              <a:lnTo>
                                <a:pt x="58" y="595"/>
                              </a:lnTo>
                              <a:lnTo>
                                <a:pt x="58" y="599"/>
                              </a:lnTo>
                              <a:lnTo>
                                <a:pt x="59" y="602"/>
                              </a:lnTo>
                              <a:lnTo>
                                <a:pt x="60" y="606"/>
                              </a:lnTo>
                              <a:lnTo>
                                <a:pt x="61" y="610"/>
                              </a:lnTo>
                              <a:lnTo>
                                <a:pt x="61" y="614"/>
                              </a:lnTo>
                              <a:lnTo>
                                <a:pt x="62" y="617"/>
                              </a:lnTo>
                              <a:lnTo>
                                <a:pt x="63" y="621"/>
                              </a:lnTo>
                              <a:lnTo>
                                <a:pt x="64" y="625"/>
                              </a:lnTo>
                              <a:lnTo>
                                <a:pt x="65" y="629"/>
                              </a:lnTo>
                              <a:lnTo>
                                <a:pt x="66" y="633"/>
                              </a:lnTo>
                              <a:lnTo>
                                <a:pt x="67" y="637"/>
                              </a:lnTo>
                              <a:lnTo>
                                <a:pt x="68" y="641"/>
                              </a:lnTo>
                              <a:lnTo>
                                <a:pt x="69" y="645"/>
                              </a:lnTo>
                              <a:lnTo>
                                <a:pt x="70" y="647"/>
                              </a:lnTo>
                              <a:lnTo>
                                <a:pt x="70" y="650"/>
                              </a:lnTo>
                              <a:lnTo>
                                <a:pt x="71" y="653"/>
                              </a:lnTo>
                              <a:lnTo>
                                <a:pt x="72" y="656"/>
                              </a:lnTo>
                              <a:lnTo>
                                <a:pt x="73" y="659"/>
                              </a:lnTo>
                              <a:lnTo>
                                <a:pt x="74" y="662"/>
                              </a:lnTo>
                              <a:lnTo>
                                <a:pt x="74" y="665"/>
                              </a:lnTo>
                              <a:lnTo>
                                <a:pt x="75" y="667"/>
                              </a:lnTo>
                              <a:lnTo>
                                <a:pt x="76" y="670"/>
                              </a:lnTo>
                              <a:lnTo>
                                <a:pt x="77" y="673"/>
                              </a:lnTo>
                              <a:lnTo>
                                <a:pt x="78" y="675"/>
                              </a:lnTo>
                              <a:lnTo>
                                <a:pt x="79" y="678"/>
                              </a:lnTo>
                              <a:lnTo>
                                <a:pt x="80" y="680"/>
                              </a:lnTo>
                              <a:lnTo>
                                <a:pt x="81" y="682"/>
                              </a:lnTo>
                              <a:lnTo>
                                <a:pt x="81" y="684"/>
                              </a:lnTo>
                              <a:lnTo>
                                <a:pt x="82" y="686"/>
                              </a:lnTo>
                              <a:lnTo>
                                <a:pt x="83" y="687"/>
                              </a:lnTo>
                              <a:lnTo>
                                <a:pt x="83" y="688"/>
                              </a:lnTo>
                              <a:lnTo>
                                <a:pt x="84" y="689"/>
                              </a:lnTo>
                              <a:lnTo>
                                <a:pt x="84" y="690"/>
                              </a:lnTo>
                              <a:lnTo>
                                <a:pt x="84" y="691"/>
                              </a:lnTo>
                              <a:lnTo>
                                <a:pt x="84" y="692"/>
                              </a:lnTo>
                              <a:lnTo>
                                <a:pt x="85" y="693"/>
                              </a:lnTo>
                              <a:lnTo>
                                <a:pt x="86" y="695"/>
                              </a:lnTo>
                              <a:lnTo>
                                <a:pt x="87" y="697"/>
                              </a:lnTo>
                              <a:lnTo>
                                <a:pt x="88" y="699"/>
                              </a:lnTo>
                              <a:lnTo>
                                <a:pt x="89" y="701"/>
                              </a:lnTo>
                              <a:lnTo>
                                <a:pt x="90" y="703"/>
                              </a:lnTo>
                              <a:lnTo>
                                <a:pt x="91" y="705"/>
                              </a:lnTo>
                              <a:lnTo>
                                <a:pt x="92" y="707"/>
                              </a:lnTo>
                              <a:lnTo>
                                <a:pt x="94" y="709"/>
                              </a:lnTo>
                              <a:lnTo>
                                <a:pt x="95" y="711"/>
                              </a:lnTo>
                              <a:lnTo>
                                <a:pt x="96" y="713"/>
                              </a:lnTo>
                              <a:lnTo>
                                <a:pt x="97" y="715"/>
                              </a:lnTo>
                              <a:lnTo>
                                <a:pt x="98" y="716"/>
                              </a:lnTo>
                              <a:lnTo>
                                <a:pt x="99" y="718"/>
                              </a:lnTo>
                              <a:lnTo>
                                <a:pt x="100" y="719"/>
                              </a:lnTo>
                              <a:lnTo>
                                <a:pt x="101" y="720"/>
                              </a:lnTo>
                              <a:lnTo>
                                <a:pt x="102" y="721"/>
                              </a:lnTo>
                              <a:lnTo>
                                <a:pt x="103" y="722"/>
                              </a:lnTo>
                              <a:lnTo>
                                <a:pt x="104" y="724"/>
                              </a:lnTo>
                              <a:lnTo>
                                <a:pt x="104" y="725"/>
                              </a:lnTo>
                              <a:lnTo>
                                <a:pt x="105" y="726"/>
                              </a:lnTo>
                              <a:lnTo>
                                <a:pt x="106" y="727"/>
                              </a:lnTo>
                              <a:lnTo>
                                <a:pt x="107" y="728"/>
                              </a:lnTo>
                              <a:lnTo>
                                <a:pt x="108" y="729"/>
                              </a:lnTo>
                              <a:lnTo>
                                <a:pt x="109" y="730"/>
                              </a:lnTo>
                              <a:lnTo>
                                <a:pt x="110" y="731"/>
                              </a:lnTo>
                              <a:lnTo>
                                <a:pt x="111" y="731"/>
                              </a:lnTo>
                              <a:lnTo>
                                <a:pt x="112" y="732"/>
                              </a:lnTo>
                              <a:lnTo>
                                <a:pt x="113" y="733"/>
                              </a:lnTo>
                              <a:lnTo>
                                <a:pt x="114" y="734"/>
                              </a:lnTo>
                              <a:lnTo>
                                <a:pt x="115" y="735"/>
                              </a:lnTo>
                              <a:lnTo>
                                <a:pt x="116" y="735"/>
                              </a:lnTo>
                              <a:lnTo>
                                <a:pt x="117" y="736"/>
                              </a:lnTo>
                              <a:lnTo>
                                <a:pt x="118" y="737"/>
                              </a:lnTo>
                              <a:lnTo>
                                <a:pt x="120" y="738"/>
                              </a:lnTo>
                              <a:lnTo>
                                <a:pt x="120" y="738"/>
                              </a:lnTo>
                              <a:lnTo>
                                <a:pt x="121" y="739"/>
                              </a:lnTo>
                              <a:lnTo>
                                <a:pt x="122" y="739"/>
                              </a:lnTo>
                              <a:lnTo>
                                <a:pt x="122" y="739"/>
                              </a:lnTo>
                              <a:lnTo>
                                <a:pt x="123" y="740"/>
                              </a:lnTo>
                              <a:lnTo>
                                <a:pt x="124" y="740"/>
                              </a:lnTo>
                              <a:lnTo>
                                <a:pt x="126" y="741"/>
                              </a:lnTo>
                              <a:lnTo>
                                <a:pt x="127" y="741"/>
                              </a:lnTo>
                              <a:lnTo>
                                <a:pt x="128" y="742"/>
                              </a:lnTo>
                              <a:lnTo>
                                <a:pt x="130" y="743"/>
                              </a:lnTo>
                              <a:lnTo>
                                <a:pt x="132" y="744"/>
                              </a:lnTo>
                              <a:lnTo>
                                <a:pt x="133" y="744"/>
                              </a:lnTo>
                              <a:lnTo>
                                <a:pt x="135" y="745"/>
                              </a:lnTo>
                              <a:lnTo>
                                <a:pt x="137" y="745"/>
                              </a:lnTo>
                              <a:lnTo>
                                <a:pt x="139" y="746"/>
                              </a:lnTo>
                              <a:lnTo>
                                <a:pt x="141" y="746"/>
                              </a:lnTo>
                              <a:lnTo>
                                <a:pt x="143" y="747"/>
                              </a:lnTo>
                              <a:lnTo>
                                <a:pt x="145" y="747"/>
                              </a:lnTo>
                              <a:lnTo>
                                <a:pt x="147" y="748"/>
                              </a:lnTo>
                              <a:lnTo>
                                <a:pt x="149" y="748"/>
                              </a:lnTo>
                              <a:lnTo>
                                <a:pt x="151" y="748"/>
                              </a:lnTo>
                              <a:lnTo>
                                <a:pt x="153" y="749"/>
                              </a:lnTo>
                              <a:lnTo>
                                <a:pt x="156" y="749"/>
                              </a:lnTo>
                              <a:lnTo>
                                <a:pt x="157" y="749"/>
                              </a:lnTo>
                              <a:lnTo>
                                <a:pt x="159" y="750"/>
                              </a:lnTo>
                              <a:lnTo>
                                <a:pt x="160" y="750"/>
                              </a:lnTo>
                              <a:lnTo>
                                <a:pt x="162" y="750"/>
                              </a:lnTo>
                              <a:lnTo>
                                <a:pt x="164" y="750"/>
                              </a:lnTo>
                              <a:lnTo>
                                <a:pt x="166" y="750"/>
                              </a:lnTo>
                              <a:lnTo>
                                <a:pt x="171" y="751"/>
                              </a:lnTo>
                              <a:lnTo>
                                <a:pt x="176" y="751"/>
                              </a:lnTo>
                              <a:lnTo>
                                <a:pt x="179" y="752"/>
                              </a:lnTo>
                              <a:lnTo>
                                <a:pt x="183" y="752"/>
                              </a:lnTo>
                              <a:lnTo>
                                <a:pt x="186" y="752"/>
                              </a:lnTo>
                              <a:lnTo>
                                <a:pt x="189" y="753"/>
                              </a:lnTo>
                              <a:lnTo>
                                <a:pt x="192" y="753"/>
                              </a:lnTo>
                              <a:lnTo>
                                <a:pt x="193" y="753"/>
                              </a:lnTo>
                              <a:lnTo>
                                <a:pt x="195" y="754"/>
                              </a:lnTo>
                              <a:lnTo>
                                <a:pt x="196" y="754"/>
                              </a:lnTo>
                              <a:lnTo>
                                <a:pt x="196" y="754"/>
                              </a:lnTo>
                              <a:lnTo>
                                <a:pt x="199" y="754"/>
                              </a:lnTo>
                              <a:lnTo>
                                <a:pt x="204" y="755"/>
                              </a:lnTo>
                              <a:lnTo>
                                <a:pt x="209" y="756"/>
                              </a:lnTo>
                              <a:lnTo>
                                <a:pt x="214" y="756"/>
                              </a:lnTo>
                              <a:lnTo>
                                <a:pt x="219" y="757"/>
                              </a:lnTo>
                              <a:lnTo>
                                <a:pt x="224" y="758"/>
                              </a:lnTo>
                              <a:lnTo>
                                <a:pt x="228" y="758"/>
                              </a:lnTo>
                              <a:lnTo>
                                <a:pt x="230" y="758"/>
                              </a:lnTo>
                              <a:lnTo>
                                <a:pt x="232" y="759"/>
                              </a:lnTo>
                              <a:lnTo>
                                <a:pt x="233" y="759"/>
                              </a:lnTo>
                              <a:lnTo>
                                <a:pt x="235" y="759"/>
                              </a:lnTo>
                              <a:lnTo>
                                <a:pt x="237" y="759"/>
                              </a:lnTo>
                              <a:lnTo>
                                <a:pt x="239" y="760"/>
                              </a:lnTo>
                              <a:lnTo>
                                <a:pt x="241" y="760"/>
                              </a:lnTo>
                              <a:lnTo>
                                <a:pt x="243" y="760"/>
                              </a:lnTo>
                              <a:lnTo>
                                <a:pt x="245" y="760"/>
                              </a:lnTo>
                              <a:lnTo>
                                <a:pt x="247" y="760"/>
                              </a:lnTo>
                              <a:lnTo>
                                <a:pt x="251" y="761"/>
                              </a:lnTo>
                              <a:lnTo>
                                <a:pt x="255" y="761"/>
                              </a:lnTo>
                              <a:lnTo>
                                <a:pt x="260" y="761"/>
                              </a:lnTo>
                              <a:lnTo>
                                <a:pt x="264" y="761"/>
                              </a:lnTo>
                              <a:lnTo>
                                <a:pt x="267" y="761"/>
                              </a:lnTo>
                              <a:lnTo>
                                <a:pt x="269" y="761"/>
                              </a:lnTo>
                              <a:lnTo>
                                <a:pt x="271" y="762"/>
                              </a:lnTo>
                              <a:lnTo>
                                <a:pt x="272" y="762"/>
                              </a:lnTo>
                              <a:lnTo>
                                <a:pt x="275" y="762"/>
                              </a:lnTo>
                              <a:lnTo>
                                <a:pt x="278" y="762"/>
                              </a:lnTo>
                              <a:lnTo>
                                <a:pt x="280" y="762"/>
                              </a:lnTo>
                              <a:lnTo>
                                <a:pt x="283" y="762"/>
                              </a:lnTo>
                              <a:lnTo>
                                <a:pt x="286" y="762"/>
                              </a:lnTo>
                              <a:lnTo>
                                <a:pt x="290" y="762"/>
                              </a:lnTo>
                              <a:lnTo>
                                <a:pt x="294" y="762"/>
                              </a:lnTo>
                              <a:lnTo>
                                <a:pt x="298" y="763"/>
                              </a:lnTo>
                              <a:lnTo>
                                <a:pt x="301" y="763"/>
                              </a:lnTo>
                              <a:lnTo>
                                <a:pt x="305" y="763"/>
                              </a:lnTo>
                              <a:lnTo>
                                <a:pt x="308" y="763"/>
                              </a:lnTo>
                              <a:lnTo>
                                <a:pt x="311" y="763"/>
                              </a:lnTo>
                              <a:lnTo>
                                <a:pt x="314" y="763"/>
                              </a:lnTo>
                              <a:lnTo>
                                <a:pt x="317" y="763"/>
                              </a:lnTo>
                              <a:lnTo>
                                <a:pt x="321" y="763"/>
                              </a:lnTo>
                              <a:lnTo>
                                <a:pt x="324" y="763"/>
                              </a:lnTo>
                              <a:lnTo>
                                <a:pt x="327" y="763"/>
                              </a:lnTo>
                              <a:lnTo>
                                <a:pt x="331" y="762"/>
                              </a:lnTo>
                              <a:lnTo>
                                <a:pt x="334" y="762"/>
                              </a:lnTo>
                              <a:lnTo>
                                <a:pt x="338" y="762"/>
                              </a:lnTo>
                              <a:lnTo>
                                <a:pt x="340" y="762"/>
                              </a:lnTo>
                              <a:lnTo>
                                <a:pt x="342" y="761"/>
                              </a:lnTo>
                              <a:lnTo>
                                <a:pt x="343" y="761"/>
                              </a:lnTo>
                              <a:lnTo>
                                <a:pt x="344" y="761"/>
                              </a:lnTo>
                              <a:lnTo>
                                <a:pt x="346" y="761"/>
                              </a:lnTo>
                              <a:lnTo>
                                <a:pt x="348" y="761"/>
                              </a:lnTo>
                              <a:lnTo>
                                <a:pt x="350" y="761"/>
                              </a:lnTo>
                              <a:lnTo>
                                <a:pt x="353" y="761"/>
                              </a:lnTo>
                              <a:lnTo>
                                <a:pt x="355" y="761"/>
                              </a:lnTo>
                              <a:lnTo>
                                <a:pt x="357" y="760"/>
                              </a:lnTo>
                              <a:lnTo>
                                <a:pt x="359" y="760"/>
                              </a:lnTo>
                              <a:lnTo>
                                <a:pt x="360" y="760"/>
                              </a:lnTo>
                              <a:lnTo>
                                <a:pt x="362" y="760"/>
                              </a:lnTo>
                              <a:lnTo>
                                <a:pt x="363" y="760"/>
                              </a:lnTo>
                              <a:lnTo>
                                <a:pt x="364" y="759"/>
                              </a:lnTo>
                              <a:lnTo>
                                <a:pt x="365" y="759"/>
                              </a:lnTo>
                              <a:lnTo>
                                <a:pt x="365" y="759"/>
                              </a:lnTo>
                              <a:lnTo>
                                <a:pt x="366" y="759"/>
                              </a:lnTo>
                              <a:lnTo>
                                <a:pt x="367" y="759"/>
                              </a:lnTo>
                              <a:lnTo>
                                <a:pt x="367" y="759"/>
                              </a:lnTo>
                              <a:lnTo>
                                <a:pt x="368" y="758"/>
                              </a:lnTo>
                              <a:lnTo>
                                <a:pt x="369" y="758"/>
                              </a:lnTo>
                              <a:lnTo>
                                <a:pt x="369" y="758"/>
                              </a:lnTo>
                              <a:lnTo>
                                <a:pt x="370" y="758"/>
                              </a:lnTo>
                              <a:lnTo>
                                <a:pt x="370" y="758"/>
                              </a:lnTo>
                              <a:lnTo>
                                <a:pt x="371" y="757"/>
                              </a:lnTo>
                              <a:lnTo>
                                <a:pt x="371" y="757"/>
                              </a:lnTo>
                              <a:lnTo>
                                <a:pt x="371" y="757"/>
                              </a:lnTo>
                              <a:lnTo>
                                <a:pt x="372" y="757"/>
                              </a:lnTo>
                              <a:lnTo>
                                <a:pt x="372" y="756"/>
                              </a:lnTo>
                              <a:lnTo>
                                <a:pt x="373" y="756"/>
                              </a:lnTo>
                              <a:lnTo>
                                <a:pt x="373" y="756"/>
                              </a:lnTo>
                              <a:lnTo>
                                <a:pt x="373" y="755"/>
                              </a:lnTo>
                              <a:lnTo>
                                <a:pt x="374" y="755"/>
                              </a:lnTo>
                              <a:lnTo>
                                <a:pt x="374" y="755"/>
                              </a:lnTo>
                              <a:lnTo>
                                <a:pt x="374" y="754"/>
                              </a:lnTo>
                              <a:lnTo>
                                <a:pt x="375" y="754"/>
                              </a:lnTo>
                              <a:lnTo>
                                <a:pt x="375" y="753"/>
                              </a:lnTo>
                              <a:lnTo>
                                <a:pt x="375" y="753"/>
                              </a:lnTo>
                              <a:lnTo>
                                <a:pt x="376" y="752"/>
                              </a:lnTo>
                              <a:lnTo>
                                <a:pt x="376" y="752"/>
                              </a:lnTo>
                              <a:lnTo>
                                <a:pt x="376" y="752"/>
                              </a:lnTo>
                              <a:lnTo>
                                <a:pt x="377" y="751"/>
                              </a:lnTo>
                              <a:lnTo>
                                <a:pt x="377" y="751"/>
                              </a:lnTo>
                              <a:lnTo>
                                <a:pt x="377" y="751"/>
                              </a:lnTo>
                              <a:lnTo>
                                <a:pt x="377" y="751"/>
                              </a:lnTo>
                              <a:lnTo>
                                <a:pt x="377" y="750"/>
                              </a:lnTo>
                              <a:lnTo>
                                <a:pt x="377" y="750"/>
                              </a:lnTo>
                              <a:lnTo>
                                <a:pt x="377" y="750"/>
                              </a:lnTo>
                              <a:lnTo>
                                <a:pt x="377" y="750"/>
                              </a:lnTo>
                              <a:lnTo>
                                <a:pt x="378" y="749"/>
                              </a:lnTo>
                              <a:lnTo>
                                <a:pt x="378" y="749"/>
                              </a:lnTo>
                              <a:lnTo>
                                <a:pt x="378" y="749"/>
                              </a:lnTo>
                              <a:lnTo>
                                <a:pt x="378" y="748"/>
                              </a:lnTo>
                              <a:lnTo>
                                <a:pt x="378" y="748"/>
                              </a:lnTo>
                              <a:lnTo>
                                <a:pt x="378" y="748"/>
                              </a:lnTo>
                              <a:lnTo>
                                <a:pt x="378" y="748"/>
                              </a:lnTo>
                              <a:lnTo>
                                <a:pt x="378" y="747"/>
                              </a:lnTo>
                              <a:lnTo>
                                <a:pt x="379" y="747"/>
                              </a:lnTo>
                              <a:lnTo>
                                <a:pt x="379" y="747"/>
                              </a:lnTo>
                              <a:lnTo>
                                <a:pt x="379" y="747"/>
                              </a:lnTo>
                              <a:lnTo>
                                <a:pt x="379" y="747"/>
                              </a:lnTo>
                              <a:lnTo>
                                <a:pt x="379" y="746"/>
                              </a:lnTo>
                              <a:lnTo>
                                <a:pt x="379" y="746"/>
                              </a:lnTo>
                              <a:lnTo>
                                <a:pt x="379" y="746"/>
                              </a:lnTo>
                              <a:lnTo>
                                <a:pt x="379" y="746"/>
                              </a:lnTo>
                              <a:lnTo>
                                <a:pt x="379" y="746"/>
                              </a:lnTo>
                              <a:lnTo>
                                <a:pt x="379" y="745"/>
                              </a:lnTo>
                              <a:lnTo>
                                <a:pt x="379" y="745"/>
                              </a:lnTo>
                              <a:lnTo>
                                <a:pt x="380" y="745"/>
                              </a:lnTo>
                              <a:lnTo>
                                <a:pt x="380" y="744"/>
                              </a:lnTo>
                              <a:lnTo>
                                <a:pt x="380" y="743"/>
                              </a:lnTo>
                              <a:lnTo>
                                <a:pt x="380" y="742"/>
                              </a:lnTo>
                              <a:lnTo>
                                <a:pt x="381" y="741"/>
                              </a:lnTo>
                              <a:lnTo>
                                <a:pt x="381" y="740"/>
                              </a:lnTo>
                              <a:lnTo>
                                <a:pt x="381" y="739"/>
                              </a:lnTo>
                              <a:lnTo>
                                <a:pt x="382" y="738"/>
                              </a:lnTo>
                              <a:lnTo>
                                <a:pt x="382" y="737"/>
                              </a:lnTo>
                              <a:lnTo>
                                <a:pt x="382" y="736"/>
                              </a:lnTo>
                              <a:lnTo>
                                <a:pt x="382" y="735"/>
                              </a:lnTo>
                              <a:lnTo>
                                <a:pt x="383" y="734"/>
                              </a:lnTo>
                              <a:lnTo>
                                <a:pt x="383" y="733"/>
                              </a:lnTo>
                              <a:lnTo>
                                <a:pt x="383" y="732"/>
                              </a:lnTo>
                              <a:lnTo>
                                <a:pt x="384" y="730"/>
                              </a:lnTo>
                              <a:lnTo>
                                <a:pt x="384" y="729"/>
                              </a:lnTo>
                              <a:lnTo>
                                <a:pt x="384" y="728"/>
                              </a:lnTo>
                              <a:lnTo>
                                <a:pt x="385" y="726"/>
                              </a:lnTo>
                              <a:lnTo>
                                <a:pt x="385" y="725"/>
                              </a:lnTo>
                              <a:lnTo>
                                <a:pt x="385" y="723"/>
                              </a:lnTo>
                              <a:lnTo>
                                <a:pt x="386" y="721"/>
                              </a:lnTo>
                              <a:lnTo>
                                <a:pt x="386" y="720"/>
                              </a:lnTo>
                              <a:lnTo>
                                <a:pt x="386" y="718"/>
                              </a:lnTo>
                              <a:lnTo>
                                <a:pt x="387" y="716"/>
                              </a:lnTo>
                              <a:lnTo>
                                <a:pt x="387" y="714"/>
                              </a:lnTo>
                              <a:lnTo>
                                <a:pt x="388" y="712"/>
                              </a:lnTo>
                              <a:lnTo>
                                <a:pt x="388" y="709"/>
                              </a:lnTo>
                              <a:lnTo>
                                <a:pt x="389" y="705"/>
                              </a:lnTo>
                              <a:lnTo>
                                <a:pt x="389" y="702"/>
                              </a:lnTo>
                              <a:lnTo>
                                <a:pt x="390" y="698"/>
                              </a:lnTo>
                              <a:lnTo>
                                <a:pt x="391" y="693"/>
                              </a:lnTo>
                              <a:lnTo>
                                <a:pt x="392" y="687"/>
                              </a:lnTo>
                              <a:lnTo>
                                <a:pt x="393" y="680"/>
                              </a:lnTo>
                              <a:lnTo>
                                <a:pt x="394" y="673"/>
                              </a:lnTo>
                              <a:lnTo>
                                <a:pt x="395" y="668"/>
                              </a:lnTo>
                              <a:lnTo>
                                <a:pt x="395" y="663"/>
                              </a:lnTo>
                              <a:lnTo>
                                <a:pt x="396" y="659"/>
                              </a:lnTo>
                              <a:lnTo>
                                <a:pt x="397" y="656"/>
                              </a:lnTo>
                              <a:lnTo>
                                <a:pt x="397" y="652"/>
                              </a:lnTo>
                              <a:lnTo>
                                <a:pt x="398" y="649"/>
                              </a:lnTo>
                              <a:lnTo>
                                <a:pt x="398" y="646"/>
                              </a:lnTo>
                              <a:lnTo>
                                <a:pt x="399" y="643"/>
                              </a:lnTo>
                              <a:lnTo>
                                <a:pt x="400" y="640"/>
                              </a:lnTo>
                              <a:lnTo>
                                <a:pt x="400" y="637"/>
                              </a:lnTo>
                              <a:lnTo>
                                <a:pt x="401" y="634"/>
                              </a:lnTo>
                              <a:lnTo>
                                <a:pt x="402" y="630"/>
                              </a:lnTo>
                              <a:lnTo>
                                <a:pt x="402" y="628"/>
                              </a:lnTo>
                              <a:lnTo>
                                <a:pt x="403" y="625"/>
                              </a:lnTo>
                              <a:lnTo>
                                <a:pt x="404" y="622"/>
                              </a:lnTo>
                              <a:lnTo>
                                <a:pt x="404" y="620"/>
                              </a:lnTo>
                              <a:lnTo>
                                <a:pt x="405" y="618"/>
                              </a:lnTo>
                              <a:lnTo>
                                <a:pt x="406" y="616"/>
                              </a:lnTo>
                              <a:lnTo>
                                <a:pt x="407" y="614"/>
                              </a:lnTo>
                              <a:lnTo>
                                <a:pt x="407" y="612"/>
                              </a:lnTo>
                              <a:lnTo>
                                <a:pt x="408" y="611"/>
                              </a:lnTo>
                              <a:lnTo>
                                <a:pt x="409" y="609"/>
                              </a:lnTo>
                              <a:lnTo>
                                <a:pt x="409" y="608"/>
                              </a:lnTo>
                              <a:lnTo>
                                <a:pt x="410" y="607"/>
                              </a:lnTo>
                              <a:lnTo>
                                <a:pt x="411" y="605"/>
                              </a:lnTo>
                              <a:lnTo>
                                <a:pt x="412" y="605"/>
                              </a:lnTo>
                              <a:lnTo>
                                <a:pt x="412" y="604"/>
                              </a:lnTo>
                              <a:lnTo>
                                <a:pt x="413" y="603"/>
                              </a:lnTo>
                              <a:lnTo>
                                <a:pt x="414" y="603"/>
                              </a:lnTo>
                              <a:lnTo>
                                <a:pt x="414" y="602"/>
                              </a:lnTo>
                              <a:lnTo>
                                <a:pt x="415" y="602"/>
                              </a:lnTo>
                              <a:lnTo>
                                <a:pt x="416" y="602"/>
                              </a:lnTo>
                              <a:lnTo>
                                <a:pt x="416" y="602"/>
                              </a:lnTo>
                              <a:lnTo>
                                <a:pt x="416" y="602"/>
                              </a:lnTo>
                              <a:lnTo>
                                <a:pt x="417" y="602"/>
                              </a:lnTo>
                              <a:lnTo>
                                <a:pt x="417" y="602"/>
                              </a:lnTo>
                              <a:lnTo>
                                <a:pt x="418" y="602"/>
                              </a:lnTo>
                              <a:lnTo>
                                <a:pt x="419" y="603"/>
                              </a:lnTo>
                              <a:lnTo>
                                <a:pt x="420" y="603"/>
                              </a:lnTo>
                              <a:lnTo>
                                <a:pt x="421" y="604"/>
                              </a:lnTo>
                              <a:lnTo>
                                <a:pt x="422" y="605"/>
                              </a:lnTo>
                              <a:lnTo>
                                <a:pt x="423" y="606"/>
                              </a:lnTo>
                              <a:lnTo>
                                <a:pt x="424" y="608"/>
                              </a:lnTo>
                              <a:lnTo>
                                <a:pt x="425" y="609"/>
                              </a:lnTo>
                              <a:lnTo>
                                <a:pt x="427" y="611"/>
                              </a:lnTo>
                              <a:lnTo>
                                <a:pt x="428" y="614"/>
                              </a:lnTo>
                              <a:lnTo>
                                <a:pt x="430" y="617"/>
                              </a:lnTo>
                              <a:lnTo>
                                <a:pt x="432" y="620"/>
                              </a:lnTo>
                              <a:lnTo>
                                <a:pt x="434" y="624"/>
                              </a:lnTo>
                              <a:lnTo>
                                <a:pt x="437" y="630"/>
                              </a:lnTo>
                              <a:lnTo>
                                <a:pt x="441" y="638"/>
                              </a:lnTo>
                              <a:lnTo>
                                <a:pt x="445" y="646"/>
                              </a:lnTo>
                              <a:lnTo>
                                <a:pt x="449" y="652"/>
                              </a:lnTo>
                              <a:lnTo>
                                <a:pt x="451" y="656"/>
                              </a:lnTo>
                              <a:lnTo>
                                <a:pt x="451" y="657"/>
                              </a:lnTo>
                              <a:lnTo>
                                <a:pt x="452" y="658"/>
                              </a:lnTo>
                              <a:lnTo>
                                <a:pt x="453" y="660"/>
                              </a:lnTo>
                              <a:lnTo>
                                <a:pt x="453" y="661"/>
                              </a:lnTo>
                              <a:lnTo>
                                <a:pt x="454" y="662"/>
                              </a:lnTo>
                              <a:lnTo>
                                <a:pt x="454" y="662"/>
                              </a:lnTo>
                              <a:lnTo>
                                <a:pt x="455" y="663"/>
                              </a:lnTo>
                              <a:lnTo>
                                <a:pt x="455" y="664"/>
                              </a:lnTo>
                              <a:lnTo>
                                <a:pt x="455" y="664"/>
                              </a:lnTo>
                              <a:lnTo>
                                <a:pt x="457" y="666"/>
                              </a:lnTo>
                              <a:lnTo>
                                <a:pt x="459" y="670"/>
                              </a:lnTo>
                              <a:lnTo>
                                <a:pt x="460" y="673"/>
                              </a:lnTo>
                              <a:lnTo>
                                <a:pt x="462" y="676"/>
                              </a:lnTo>
                              <a:lnTo>
                                <a:pt x="464" y="679"/>
                              </a:lnTo>
                              <a:lnTo>
                                <a:pt x="466" y="681"/>
                              </a:lnTo>
                              <a:lnTo>
                                <a:pt x="467" y="684"/>
                              </a:lnTo>
                              <a:lnTo>
                                <a:pt x="469" y="686"/>
                              </a:lnTo>
                              <a:lnTo>
                                <a:pt x="471" y="689"/>
                              </a:lnTo>
                              <a:lnTo>
                                <a:pt x="472" y="691"/>
                              </a:lnTo>
                              <a:lnTo>
                                <a:pt x="474" y="693"/>
                              </a:lnTo>
                              <a:lnTo>
                                <a:pt x="475" y="695"/>
                              </a:lnTo>
                              <a:lnTo>
                                <a:pt x="477" y="697"/>
                              </a:lnTo>
                              <a:lnTo>
                                <a:pt x="479" y="699"/>
                              </a:lnTo>
                              <a:lnTo>
                                <a:pt x="480" y="701"/>
                              </a:lnTo>
                              <a:lnTo>
                                <a:pt x="482" y="703"/>
                              </a:lnTo>
                              <a:lnTo>
                                <a:pt x="483" y="704"/>
                              </a:lnTo>
                              <a:lnTo>
                                <a:pt x="485" y="706"/>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5" name="Freeform 301"/>
                        <a:cNvSpPr>
                          <a:spLocks/>
                        </a:cNvSpPr>
                      </a:nvSpPr>
                      <a:spPr bwMode="auto">
                        <a:xfrm>
                          <a:off x="4894263" y="9294214"/>
                          <a:ext cx="2292350" cy="198588"/>
                        </a:xfrm>
                        <a:custGeom>
                          <a:avLst/>
                          <a:gdLst/>
                          <a:ahLst/>
                          <a:cxnLst>
                            <a:cxn ang="0">
                              <a:pos x="9" y="71"/>
                            </a:cxn>
                            <a:cxn ang="0">
                              <a:pos x="19" y="76"/>
                            </a:cxn>
                            <a:cxn ang="0">
                              <a:pos x="28" y="79"/>
                            </a:cxn>
                            <a:cxn ang="0">
                              <a:pos x="36" y="80"/>
                            </a:cxn>
                            <a:cxn ang="0">
                              <a:pos x="42" y="78"/>
                            </a:cxn>
                            <a:cxn ang="0">
                              <a:pos x="44" y="77"/>
                            </a:cxn>
                            <a:cxn ang="0">
                              <a:pos x="50" y="73"/>
                            </a:cxn>
                            <a:cxn ang="0">
                              <a:pos x="58" y="63"/>
                            </a:cxn>
                            <a:cxn ang="0">
                              <a:pos x="66" y="48"/>
                            </a:cxn>
                            <a:cxn ang="0">
                              <a:pos x="76" y="25"/>
                            </a:cxn>
                            <a:cxn ang="0">
                              <a:pos x="80" y="16"/>
                            </a:cxn>
                            <a:cxn ang="0">
                              <a:pos x="85" y="6"/>
                            </a:cxn>
                            <a:cxn ang="0">
                              <a:pos x="91" y="1"/>
                            </a:cxn>
                            <a:cxn ang="0">
                              <a:pos x="100" y="1"/>
                            </a:cxn>
                            <a:cxn ang="0">
                              <a:pos x="110" y="8"/>
                            </a:cxn>
                            <a:cxn ang="0">
                              <a:pos x="118" y="14"/>
                            </a:cxn>
                            <a:cxn ang="0">
                              <a:pos x="140" y="32"/>
                            </a:cxn>
                            <a:cxn ang="0">
                              <a:pos x="155" y="41"/>
                            </a:cxn>
                            <a:cxn ang="0">
                              <a:pos x="175" y="51"/>
                            </a:cxn>
                            <a:cxn ang="0">
                              <a:pos x="193" y="62"/>
                            </a:cxn>
                            <a:cxn ang="0">
                              <a:pos x="210" y="71"/>
                            </a:cxn>
                            <a:cxn ang="0">
                              <a:pos x="228" y="77"/>
                            </a:cxn>
                            <a:cxn ang="0">
                              <a:pos x="245" y="82"/>
                            </a:cxn>
                            <a:cxn ang="0">
                              <a:pos x="265" y="87"/>
                            </a:cxn>
                            <a:cxn ang="0">
                              <a:pos x="288" y="92"/>
                            </a:cxn>
                            <a:cxn ang="0">
                              <a:pos x="310" y="96"/>
                            </a:cxn>
                            <a:cxn ang="0">
                              <a:pos x="338" y="101"/>
                            </a:cxn>
                            <a:cxn ang="0">
                              <a:pos x="355" y="104"/>
                            </a:cxn>
                            <a:cxn ang="0">
                              <a:pos x="380" y="107"/>
                            </a:cxn>
                            <a:cxn ang="0">
                              <a:pos x="412" y="110"/>
                            </a:cxn>
                            <a:cxn ang="0">
                              <a:pos x="437" y="111"/>
                            </a:cxn>
                            <a:cxn ang="0">
                              <a:pos x="456" y="113"/>
                            </a:cxn>
                            <a:cxn ang="0">
                              <a:pos x="483" y="115"/>
                            </a:cxn>
                            <a:cxn ang="0">
                              <a:pos x="500" y="116"/>
                            </a:cxn>
                            <a:cxn ang="0">
                              <a:pos x="525" y="117"/>
                            </a:cxn>
                            <a:cxn ang="0">
                              <a:pos x="539" y="117"/>
                            </a:cxn>
                            <a:cxn ang="0">
                              <a:pos x="561" y="118"/>
                            </a:cxn>
                            <a:cxn ang="0">
                              <a:pos x="593" y="120"/>
                            </a:cxn>
                            <a:cxn ang="0">
                              <a:pos x="631" y="121"/>
                            </a:cxn>
                            <a:cxn ang="0">
                              <a:pos x="677" y="122"/>
                            </a:cxn>
                            <a:cxn ang="0">
                              <a:pos x="714" y="123"/>
                            </a:cxn>
                            <a:cxn ang="0">
                              <a:pos x="744" y="124"/>
                            </a:cxn>
                            <a:cxn ang="0">
                              <a:pos x="793" y="125"/>
                            </a:cxn>
                            <a:cxn ang="0">
                              <a:pos x="827" y="125"/>
                            </a:cxn>
                            <a:cxn ang="0">
                              <a:pos x="854" y="126"/>
                            </a:cxn>
                            <a:cxn ang="0">
                              <a:pos x="882" y="126"/>
                            </a:cxn>
                            <a:cxn ang="0">
                              <a:pos x="926" y="126"/>
                            </a:cxn>
                            <a:cxn ang="0">
                              <a:pos x="989" y="127"/>
                            </a:cxn>
                            <a:cxn ang="0">
                              <a:pos x="1038" y="127"/>
                            </a:cxn>
                            <a:cxn ang="0">
                              <a:pos x="1069" y="127"/>
                            </a:cxn>
                            <a:cxn ang="0">
                              <a:pos x="1105" y="127"/>
                            </a:cxn>
                            <a:cxn ang="0">
                              <a:pos x="1142" y="127"/>
                            </a:cxn>
                            <a:cxn ang="0">
                              <a:pos x="1173" y="129"/>
                            </a:cxn>
                            <a:cxn ang="0">
                              <a:pos x="1198" y="130"/>
                            </a:cxn>
                            <a:cxn ang="0">
                              <a:pos x="1217" y="130"/>
                            </a:cxn>
                            <a:cxn ang="0">
                              <a:pos x="1236" y="128"/>
                            </a:cxn>
                            <a:cxn ang="0">
                              <a:pos x="1261" y="125"/>
                            </a:cxn>
                            <a:cxn ang="0">
                              <a:pos x="1282" y="123"/>
                            </a:cxn>
                            <a:cxn ang="0">
                              <a:pos x="1306" y="120"/>
                            </a:cxn>
                            <a:cxn ang="0">
                              <a:pos x="1335" y="117"/>
                            </a:cxn>
                            <a:cxn ang="0">
                              <a:pos x="1358" y="115"/>
                            </a:cxn>
                            <a:cxn ang="0">
                              <a:pos x="1383" y="113"/>
                            </a:cxn>
                            <a:cxn ang="0">
                              <a:pos x="1408" y="112"/>
                            </a:cxn>
                          </a:cxnLst>
                          <a:rect l="0" t="0" r="r" b="b"/>
                          <a:pathLst>
                            <a:path w="1444" h="130">
                              <a:moveTo>
                                <a:pt x="0" y="64"/>
                              </a:moveTo>
                              <a:lnTo>
                                <a:pt x="2" y="65"/>
                              </a:lnTo>
                              <a:lnTo>
                                <a:pt x="3" y="67"/>
                              </a:lnTo>
                              <a:lnTo>
                                <a:pt x="5" y="68"/>
                              </a:lnTo>
                              <a:lnTo>
                                <a:pt x="6" y="69"/>
                              </a:lnTo>
                              <a:lnTo>
                                <a:pt x="7" y="70"/>
                              </a:lnTo>
                              <a:lnTo>
                                <a:pt x="7" y="70"/>
                              </a:lnTo>
                              <a:lnTo>
                                <a:pt x="9" y="71"/>
                              </a:lnTo>
                              <a:lnTo>
                                <a:pt x="10" y="72"/>
                              </a:lnTo>
                              <a:lnTo>
                                <a:pt x="11" y="72"/>
                              </a:lnTo>
                              <a:lnTo>
                                <a:pt x="12" y="73"/>
                              </a:lnTo>
                              <a:lnTo>
                                <a:pt x="13" y="74"/>
                              </a:lnTo>
                              <a:lnTo>
                                <a:pt x="15" y="75"/>
                              </a:lnTo>
                              <a:lnTo>
                                <a:pt x="16" y="75"/>
                              </a:lnTo>
                              <a:lnTo>
                                <a:pt x="17" y="76"/>
                              </a:lnTo>
                              <a:lnTo>
                                <a:pt x="19" y="76"/>
                              </a:lnTo>
                              <a:lnTo>
                                <a:pt x="20" y="77"/>
                              </a:lnTo>
                              <a:lnTo>
                                <a:pt x="21" y="77"/>
                              </a:lnTo>
                              <a:lnTo>
                                <a:pt x="22" y="78"/>
                              </a:lnTo>
                              <a:lnTo>
                                <a:pt x="24" y="78"/>
                              </a:lnTo>
                              <a:lnTo>
                                <a:pt x="25" y="79"/>
                              </a:lnTo>
                              <a:lnTo>
                                <a:pt x="26" y="79"/>
                              </a:lnTo>
                              <a:lnTo>
                                <a:pt x="27" y="79"/>
                              </a:lnTo>
                              <a:lnTo>
                                <a:pt x="28" y="79"/>
                              </a:lnTo>
                              <a:lnTo>
                                <a:pt x="29" y="79"/>
                              </a:lnTo>
                              <a:lnTo>
                                <a:pt x="30" y="79"/>
                              </a:lnTo>
                              <a:lnTo>
                                <a:pt x="31" y="80"/>
                              </a:lnTo>
                              <a:lnTo>
                                <a:pt x="32" y="80"/>
                              </a:lnTo>
                              <a:lnTo>
                                <a:pt x="33" y="80"/>
                              </a:lnTo>
                              <a:lnTo>
                                <a:pt x="34" y="80"/>
                              </a:lnTo>
                              <a:lnTo>
                                <a:pt x="35" y="80"/>
                              </a:lnTo>
                              <a:lnTo>
                                <a:pt x="36" y="80"/>
                              </a:lnTo>
                              <a:lnTo>
                                <a:pt x="37" y="79"/>
                              </a:lnTo>
                              <a:lnTo>
                                <a:pt x="38" y="79"/>
                              </a:lnTo>
                              <a:lnTo>
                                <a:pt x="39" y="79"/>
                              </a:lnTo>
                              <a:lnTo>
                                <a:pt x="40" y="79"/>
                              </a:lnTo>
                              <a:lnTo>
                                <a:pt x="40" y="79"/>
                              </a:lnTo>
                              <a:lnTo>
                                <a:pt x="41" y="79"/>
                              </a:lnTo>
                              <a:lnTo>
                                <a:pt x="41" y="79"/>
                              </a:lnTo>
                              <a:lnTo>
                                <a:pt x="42" y="78"/>
                              </a:lnTo>
                              <a:lnTo>
                                <a:pt x="42" y="78"/>
                              </a:lnTo>
                              <a:lnTo>
                                <a:pt x="43" y="78"/>
                              </a:lnTo>
                              <a:lnTo>
                                <a:pt x="43" y="78"/>
                              </a:lnTo>
                              <a:lnTo>
                                <a:pt x="43" y="78"/>
                              </a:lnTo>
                              <a:lnTo>
                                <a:pt x="44" y="78"/>
                              </a:lnTo>
                              <a:lnTo>
                                <a:pt x="44" y="78"/>
                              </a:lnTo>
                              <a:lnTo>
                                <a:pt x="44" y="77"/>
                              </a:lnTo>
                              <a:lnTo>
                                <a:pt x="44" y="77"/>
                              </a:lnTo>
                              <a:lnTo>
                                <a:pt x="45" y="77"/>
                              </a:lnTo>
                              <a:lnTo>
                                <a:pt x="45" y="77"/>
                              </a:lnTo>
                              <a:lnTo>
                                <a:pt x="46" y="76"/>
                              </a:lnTo>
                              <a:lnTo>
                                <a:pt x="47" y="76"/>
                              </a:lnTo>
                              <a:lnTo>
                                <a:pt x="47" y="75"/>
                              </a:lnTo>
                              <a:lnTo>
                                <a:pt x="48" y="75"/>
                              </a:lnTo>
                              <a:lnTo>
                                <a:pt x="49" y="74"/>
                              </a:lnTo>
                              <a:lnTo>
                                <a:pt x="50" y="73"/>
                              </a:lnTo>
                              <a:lnTo>
                                <a:pt x="50" y="73"/>
                              </a:lnTo>
                              <a:lnTo>
                                <a:pt x="51" y="72"/>
                              </a:lnTo>
                              <a:lnTo>
                                <a:pt x="52" y="71"/>
                              </a:lnTo>
                              <a:lnTo>
                                <a:pt x="53" y="69"/>
                              </a:lnTo>
                              <a:lnTo>
                                <a:pt x="54" y="68"/>
                              </a:lnTo>
                              <a:lnTo>
                                <a:pt x="56" y="67"/>
                              </a:lnTo>
                              <a:lnTo>
                                <a:pt x="57" y="65"/>
                              </a:lnTo>
                              <a:lnTo>
                                <a:pt x="58" y="63"/>
                              </a:lnTo>
                              <a:lnTo>
                                <a:pt x="59" y="61"/>
                              </a:lnTo>
                              <a:lnTo>
                                <a:pt x="60" y="60"/>
                              </a:lnTo>
                              <a:lnTo>
                                <a:pt x="61" y="58"/>
                              </a:lnTo>
                              <a:lnTo>
                                <a:pt x="62" y="56"/>
                              </a:lnTo>
                              <a:lnTo>
                                <a:pt x="63" y="54"/>
                              </a:lnTo>
                              <a:lnTo>
                                <a:pt x="64" y="53"/>
                              </a:lnTo>
                              <a:lnTo>
                                <a:pt x="65" y="51"/>
                              </a:lnTo>
                              <a:lnTo>
                                <a:pt x="66" y="48"/>
                              </a:lnTo>
                              <a:lnTo>
                                <a:pt x="67" y="46"/>
                              </a:lnTo>
                              <a:lnTo>
                                <a:pt x="68" y="44"/>
                              </a:lnTo>
                              <a:lnTo>
                                <a:pt x="69" y="42"/>
                              </a:lnTo>
                              <a:lnTo>
                                <a:pt x="70" y="39"/>
                              </a:lnTo>
                              <a:lnTo>
                                <a:pt x="72" y="36"/>
                              </a:lnTo>
                              <a:lnTo>
                                <a:pt x="73" y="32"/>
                              </a:lnTo>
                              <a:lnTo>
                                <a:pt x="75" y="28"/>
                              </a:lnTo>
                              <a:lnTo>
                                <a:pt x="76" y="25"/>
                              </a:lnTo>
                              <a:lnTo>
                                <a:pt x="77" y="22"/>
                              </a:lnTo>
                              <a:lnTo>
                                <a:pt x="78" y="21"/>
                              </a:lnTo>
                              <a:lnTo>
                                <a:pt x="78" y="19"/>
                              </a:lnTo>
                              <a:lnTo>
                                <a:pt x="79" y="18"/>
                              </a:lnTo>
                              <a:lnTo>
                                <a:pt x="79" y="17"/>
                              </a:lnTo>
                              <a:lnTo>
                                <a:pt x="79" y="17"/>
                              </a:lnTo>
                              <a:lnTo>
                                <a:pt x="80" y="16"/>
                              </a:lnTo>
                              <a:lnTo>
                                <a:pt x="80" y="16"/>
                              </a:lnTo>
                              <a:lnTo>
                                <a:pt x="80" y="15"/>
                              </a:lnTo>
                              <a:lnTo>
                                <a:pt x="81" y="13"/>
                              </a:lnTo>
                              <a:lnTo>
                                <a:pt x="82" y="12"/>
                              </a:lnTo>
                              <a:lnTo>
                                <a:pt x="83" y="10"/>
                              </a:lnTo>
                              <a:lnTo>
                                <a:pt x="83" y="9"/>
                              </a:lnTo>
                              <a:lnTo>
                                <a:pt x="84" y="8"/>
                              </a:lnTo>
                              <a:lnTo>
                                <a:pt x="85" y="7"/>
                              </a:lnTo>
                              <a:lnTo>
                                <a:pt x="85" y="6"/>
                              </a:lnTo>
                              <a:lnTo>
                                <a:pt x="86" y="5"/>
                              </a:lnTo>
                              <a:lnTo>
                                <a:pt x="86" y="4"/>
                              </a:lnTo>
                              <a:lnTo>
                                <a:pt x="87" y="3"/>
                              </a:lnTo>
                              <a:lnTo>
                                <a:pt x="88" y="3"/>
                              </a:lnTo>
                              <a:lnTo>
                                <a:pt x="89" y="2"/>
                              </a:lnTo>
                              <a:lnTo>
                                <a:pt x="89" y="2"/>
                              </a:lnTo>
                              <a:lnTo>
                                <a:pt x="90" y="1"/>
                              </a:lnTo>
                              <a:lnTo>
                                <a:pt x="91" y="1"/>
                              </a:lnTo>
                              <a:lnTo>
                                <a:pt x="91" y="1"/>
                              </a:lnTo>
                              <a:lnTo>
                                <a:pt x="92" y="0"/>
                              </a:lnTo>
                              <a:lnTo>
                                <a:pt x="94" y="0"/>
                              </a:lnTo>
                              <a:lnTo>
                                <a:pt x="95" y="0"/>
                              </a:lnTo>
                              <a:lnTo>
                                <a:pt x="96" y="0"/>
                              </a:lnTo>
                              <a:lnTo>
                                <a:pt x="97" y="0"/>
                              </a:lnTo>
                              <a:lnTo>
                                <a:pt x="99" y="0"/>
                              </a:lnTo>
                              <a:lnTo>
                                <a:pt x="100" y="1"/>
                              </a:lnTo>
                              <a:lnTo>
                                <a:pt x="101" y="1"/>
                              </a:lnTo>
                              <a:lnTo>
                                <a:pt x="102" y="2"/>
                              </a:lnTo>
                              <a:lnTo>
                                <a:pt x="103" y="2"/>
                              </a:lnTo>
                              <a:lnTo>
                                <a:pt x="104" y="3"/>
                              </a:lnTo>
                              <a:lnTo>
                                <a:pt x="105" y="4"/>
                              </a:lnTo>
                              <a:lnTo>
                                <a:pt x="107" y="5"/>
                              </a:lnTo>
                              <a:lnTo>
                                <a:pt x="109" y="7"/>
                              </a:lnTo>
                              <a:lnTo>
                                <a:pt x="110" y="8"/>
                              </a:lnTo>
                              <a:lnTo>
                                <a:pt x="113" y="10"/>
                              </a:lnTo>
                              <a:lnTo>
                                <a:pt x="114" y="11"/>
                              </a:lnTo>
                              <a:lnTo>
                                <a:pt x="115" y="12"/>
                              </a:lnTo>
                              <a:lnTo>
                                <a:pt x="116" y="12"/>
                              </a:lnTo>
                              <a:lnTo>
                                <a:pt x="116" y="13"/>
                              </a:lnTo>
                              <a:lnTo>
                                <a:pt x="117" y="13"/>
                              </a:lnTo>
                              <a:lnTo>
                                <a:pt x="117" y="14"/>
                              </a:lnTo>
                              <a:lnTo>
                                <a:pt x="118" y="14"/>
                              </a:lnTo>
                              <a:lnTo>
                                <a:pt x="119" y="15"/>
                              </a:lnTo>
                              <a:lnTo>
                                <a:pt x="122" y="18"/>
                              </a:lnTo>
                              <a:lnTo>
                                <a:pt x="125" y="20"/>
                              </a:lnTo>
                              <a:lnTo>
                                <a:pt x="128" y="22"/>
                              </a:lnTo>
                              <a:lnTo>
                                <a:pt x="132" y="25"/>
                              </a:lnTo>
                              <a:lnTo>
                                <a:pt x="135" y="28"/>
                              </a:lnTo>
                              <a:lnTo>
                                <a:pt x="138" y="30"/>
                              </a:lnTo>
                              <a:lnTo>
                                <a:pt x="140" y="32"/>
                              </a:lnTo>
                              <a:lnTo>
                                <a:pt x="143" y="33"/>
                              </a:lnTo>
                              <a:lnTo>
                                <a:pt x="146" y="35"/>
                              </a:lnTo>
                              <a:lnTo>
                                <a:pt x="149" y="37"/>
                              </a:lnTo>
                              <a:lnTo>
                                <a:pt x="152" y="38"/>
                              </a:lnTo>
                              <a:lnTo>
                                <a:pt x="153" y="39"/>
                              </a:lnTo>
                              <a:lnTo>
                                <a:pt x="154" y="40"/>
                              </a:lnTo>
                              <a:lnTo>
                                <a:pt x="155" y="40"/>
                              </a:lnTo>
                              <a:lnTo>
                                <a:pt x="155" y="41"/>
                              </a:lnTo>
                              <a:lnTo>
                                <a:pt x="156" y="41"/>
                              </a:lnTo>
                              <a:lnTo>
                                <a:pt x="157" y="42"/>
                              </a:lnTo>
                              <a:lnTo>
                                <a:pt x="160" y="43"/>
                              </a:lnTo>
                              <a:lnTo>
                                <a:pt x="162" y="44"/>
                              </a:lnTo>
                              <a:lnTo>
                                <a:pt x="165" y="46"/>
                              </a:lnTo>
                              <a:lnTo>
                                <a:pt x="169" y="48"/>
                              </a:lnTo>
                              <a:lnTo>
                                <a:pt x="172" y="49"/>
                              </a:lnTo>
                              <a:lnTo>
                                <a:pt x="175" y="51"/>
                              </a:lnTo>
                              <a:lnTo>
                                <a:pt x="178" y="53"/>
                              </a:lnTo>
                              <a:lnTo>
                                <a:pt x="182" y="55"/>
                              </a:lnTo>
                              <a:lnTo>
                                <a:pt x="186" y="57"/>
                              </a:lnTo>
                              <a:lnTo>
                                <a:pt x="189" y="59"/>
                              </a:lnTo>
                              <a:lnTo>
                                <a:pt x="190" y="60"/>
                              </a:lnTo>
                              <a:lnTo>
                                <a:pt x="191" y="61"/>
                              </a:lnTo>
                              <a:lnTo>
                                <a:pt x="192" y="62"/>
                              </a:lnTo>
                              <a:lnTo>
                                <a:pt x="193" y="62"/>
                              </a:lnTo>
                              <a:lnTo>
                                <a:pt x="193" y="62"/>
                              </a:lnTo>
                              <a:lnTo>
                                <a:pt x="195" y="63"/>
                              </a:lnTo>
                              <a:lnTo>
                                <a:pt x="197" y="65"/>
                              </a:lnTo>
                              <a:lnTo>
                                <a:pt x="199" y="66"/>
                              </a:lnTo>
                              <a:lnTo>
                                <a:pt x="202" y="67"/>
                              </a:lnTo>
                              <a:lnTo>
                                <a:pt x="204" y="69"/>
                              </a:lnTo>
                              <a:lnTo>
                                <a:pt x="207" y="70"/>
                              </a:lnTo>
                              <a:lnTo>
                                <a:pt x="210" y="71"/>
                              </a:lnTo>
                              <a:lnTo>
                                <a:pt x="213" y="72"/>
                              </a:lnTo>
                              <a:lnTo>
                                <a:pt x="215" y="73"/>
                              </a:lnTo>
                              <a:lnTo>
                                <a:pt x="218" y="74"/>
                              </a:lnTo>
                              <a:lnTo>
                                <a:pt x="221" y="75"/>
                              </a:lnTo>
                              <a:lnTo>
                                <a:pt x="223" y="76"/>
                              </a:lnTo>
                              <a:lnTo>
                                <a:pt x="225" y="77"/>
                              </a:lnTo>
                              <a:lnTo>
                                <a:pt x="227" y="77"/>
                              </a:lnTo>
                              <a:lnTo>
                                <a:pt x="228" y="77"/>
                              </a:lnTo>
                              <a:lnTo>
                                <a:pt x="229" y="78"/>
                              </a:lnTo>
                              <a:lnTo>
                                <a:pt x="229" y="78"/>
                              </a:lnTo>
                              <a:lnTo>
                                <a:pt x="230" y="78"/>
                              </a:lnTo>
                              <a:lnTo>
                                <a:pt x="231" y="79"/>
                              </a:lnTo>
                              <a:lnTo>
                                <a:pt x="234" y="79"/>
                              </a:lnTo>
                              <a:lnTo>
                                <a:pt x="236" y="80"/>
                              </a:lnTo>
                              <a:lnTo>
                                <a:pt x="240" y="81"/>
                              </a:lnTo>
                              <a:lnTo>
                                <a:pt x="245" y="82"/>
                              </a:lnTo>
                              <a:lnTo>
                                <a:pt x="248" y="83"/>
                              </a:lnTo>
                              <a:lnTo>
                                <a:pt x="251" y="84"/>
                              </a:lnTo>
                              <a:lnTo>
                                <a:pt x="253" y="85"/>
                              </a:lnTo>
                              <a:lnTo>
                                <a:pt x="256" y="85"/>
                              </a:lnTo>
                              <a:lnTo>
                                <a:pt x="259" y="86"/>
                              </a:lnTo>
                              <a:lnTo>
                                <a:pt x="262" y="86"/>
                              </a:lnTo>
                              <a:lnTo>
                                <a:pt x="264" y="87"/>
                              </a:lnTo>
                              <a:lnTo>
                                <a:pt x="265" y="87"/>
                              </a:lnTo>
                              <a:lnTo>
                                <a:pt x="266" y="87"/>
                              </a:lnTo>
                              <a:lnTo>
                                <a:pt x="267" y="87"/>
                              </a:lnTo>
                              <a:lnTo>
                                <a:pt x="268" y="88"/>
                              </a:lnTo>
                              <a:lnTo>
                                <a:pt x="271" y="88"/>
                              </a:lnTo>
                              <a:lnTo>
                                <a:pt x="274" y="89"/>
                              </a:lnTo>
                              <a:lnTo>
                                <a:pt x="276" y="89"/>
                              </a:lnTo>
                              <a:lnTo>
                                <a:pt x="281" y="90"/>
                              </a:lnTo>
                              <a:lnTo>
                                <a:pt x="288" y="92"/>
                              </a:lnTo>
                              <a:lnTo>
                                <a:pt x="295" y="93"/>
                              </a:lnTo>
                              <a:lnTo>
                                <a:pt x="300" y="94"/>
                              </a:lnTo>
                              <a:lnTo>
                                <a:pt x="302" y="95"/>
                              </a:lnTo>
                              <a:lnTo>
                                <a:pt x="303" y="95"/>
                              </a:lnTo>
                              <a:lnTo>
                                <a:pt x="304" y="95"/>
                              </a:lnTo>
                              <a:lnTo>
                                <a:pt x="304" y="95"/>
                              </a:lnTo>
                              <a:lnTo>
                                <a:pt x="306" y="96"/>
                              </a:lnTo>
                              <a:lnTo>
                                <a:pt x="310" y="96"/>
                              </a:lnTo>
                              <a:lnTo>
                                <a:pt x="312" y="97"/>
                              </a:lnTo>
                              <a:lnTo>
                                <a:pt x="315" y="97"/>
                              </a:lnTo>
                              <a:lnTo>
                                <a:pt x="318" y="98"/>
                              </a:lnTo>
                              <a:lnTo>
                                <a:pt x="323" y="99"/>
                              </a:lnTo>
                              <a:lnTo>
                                <a:pt x="328" y="100"/>
                              </a:lnTo>
                              <a:lnTo>
                                <a:pt x="333" y="100"/>
                              </a:lnTo>
                              <a:lnTo>
                                <a:pt x="336" y="101"/>
                              </a:lnTo>
                              <a:lnTo>
                                <a:pt x="338" y="101"/>
                              </a:lnTo>
                              <a:lnTo>
                                <a:pt x="339" y="102"/>
                              </a:lnTo>
                              <a:lnTo>
                                <a:pt x="341" y="102"/>
                              </a:lnTo>
                              <a:lnTo>
                                <a:pt x="342" y="102"/>
                              </a:lnTo>
                              <a:lnTo>
                                <a:pt x="343" y="102"/>
                              </a:lnTo>
                              <a:lnTo>
                                <a:pt x="346" y="102"/>
                              </a:lnTo>
                              <a:lnTo>
                                <a:pt x="348" y="103"/>
                              </a:lnTo>
                              <a:lnTo>
                                <a:pt x="351" y="103"/>
                              </a:lnTo>
                              <a:lnTo>
                                <a:pt x="355" y="104"/>
                              </a:lnTo>
                              <a:lnTo>
                                <a:pt x="358" y="104"/>
                              </a:lnTo>
                              <a:lnTo>
                                <a:pt x="361" y="105"/>
                              </a:lnTo>
                              <a:lnTo>
                                <a:pt x="365" y="105"/>
                              </a:lnTo>
                              <a:lnTo>
                                <a:pt x="370" y="106"/>
                              </a:lnTo>
                              <a:lnTo>
                                <a:pt x="374" y="106"/>
                              </a:lnTo>
                              <a:lnTo>
                                <a:pt x="376" y="106"/>
                              </a:lnTo>
                              <a:lnTo>
                                <a:pt x="378" y="106"/>
                              </a:lnTo>
                              <a:lnTo>
                                <a:pt x="380" y="107"/>
                              </a:lnTo>
                              <a:lnTo>
                                <a:pt x="384" y="107"/>
                              </a:lnTo>
                              <a:lnTo>
                                <a:pt x="389" y="107"/>
                              </a:lnTo>
                              <a:lnTo>
                                <a:pt x="392" y="108"/>
                              </a:lnTo>
                              <a:lnTo>
                                <a:pt x="396" y="108"/>
                              </a:lnTo>
                              <a:lnTo>
                                <a:pt x="401" y="109"/>
                              </a:lnTo>
                              <a:lnTo>
                                <a:pt x="405" y="109"/>
                              </a:lnTo>
                              <a:lnTo>
                                <a:pt x="409" y="109"/>
                              </a:lnTo>
                              <a:lnTo>
                                <a:pt x="412" y="110"/>
                              </a:lnTo>
                              <a:lnTo>
                                <a:pt x="413" y="110"/>
                              </a:lnTo>
                              <a:lnTo>
                                <a:pt x="415" y="110"/>
                              </a:lnTo>
                              <a:lnTo>
                                <a:pt x="417" y="110"/>
                              </a:lnTo>
                              <a:lnTo>
                                <a:pt x="421" y="110"/>
                              </a:lnTo>
                              <a:lnTo>
                                <a:pt x="425" y="111"/>
                              </a:lnTo>
                              <a:lnTo>
                                <a:pt x="429" y="111"/>
                              </a:lnTo>
                              <a:lnTo>
                                <a:pt x="433" y="111"/>
                              </a:lnTo>
                              <a:lnTo>
                                <a:pt x="437" y="111"/>
                              </a:lnTo>
                              <a:lnTo>
                                <a:pt x="441" y="112"/>
                              </a:lnTo>
                              <a:lnTo>
                                <a:pt x="445" y="112"/>
                              </a:lnTo>
                              <a:lnTo>
                                <a:pt x="448" y="112"/>
                              </a:lnTo>
                              <a:lnTo>
                                <a:pt x="449" y="112"/>
                              </a:lnTo>
                              <a:lnTo>
                                <a:pt x="450" y="112"/>
                              </a:lnTo>
                              <a:lnTo>
                                <a:pt x="451" y="113"/>
                              </a:lnTo>
                              <a:lnTo>
                                <a:pt x="453" y="113"/>
                              </a:lnTo>
                              <a:lnTo>
                                <a:pt x="456" y="113"/>
                              </a:lnTo>
                              <a:lnTo>
                                <a:pt x="459" y="113"/>
                              </a:lnTo>
                              <a:lnTo>
                                <a:pt x="462" y="113"/>
                              </a:lnTo>
                              <a:lnTo>
                                <a:pt x="465" y="114"/>
                              </a:lnTo>
                              <a:lnTo>
                                <a:pt x="469" y="114"/>
                              </a:lnTo>
                              <a:lnTo>
                                <a:pt x="472" y="114"/>
                              </a:lnTo>
                              <a:lnTo>
                                <a:pt x="476" y="114"/>
                              </a:lnTo>
                              <a:lnTo>
                                <a:pt x="479" y="114"/>
                              </a:lnTo>
                              <a:lnTo>
                                <a:pt x="483" y="115"/>
                              </a:lnTo>
                              <a:lnTo>
                                <a:pt x="485" y="115"/>
                              </a:lnTo>
                              <a:lnTo>
                                <a:pt x="487" y="115"/>
                              </a:lnTo>
                              <a:lnTo>
                                <a:pt x="489" y="115"/>
                              </a:lnTo>
                              <a:lnTo>
                                <a:pt x="490" y="115"/>
                              </a:lnTo>
                              <a:lnTo>
                                <a:pt x="492" y="115"/>
                              </a:lnTo>
                              <a:lnTo>
                                <a:pt x="494" y="115"/>
                              </a:lnTo>
                              <a:lnTo>
                                <a:pt x="497" y="115"/>
                              </a:lnTo>
                              <a:lnTo>
                                <a:pt x="500" y="116"/>
                              </a:lnTo>
                              <a:lnTo>
                                <a:pt x="504" y="116"/>
                              </a:lnTo>
                              <a:lnTo>
                                <a:pt x="508" y="116"/>
                              </a:lnTo>
                              <a:lnTo>
                                <a:pt x="512" y="116"/>
                              </a:lnTo>
                              <a:lnTo>
                                <a:pt x="516" y="116"/>
                              </a:lnTo>
                              <a:lnTo>
                                <a:pt x="520" y="116"/>
                              </a:lnTo>
                              <a:lnTo>
                                <a:pt x="522" y="117"/>
                              </a:lnTo>
                              <a:lnTo>
                                <a:pt x="524" y="117"/>
                              </a:lnTo>
                              <a:lnTo>
                                <a:pt x="525" y="117"/>
                              </a:lnTo>
                              <a:lnTo>
                                <a:pt x="526" y="117"/>
                              </a:lnTo>
                              <a:lnTo>
                                <a:pt x="528" y="117"/>
                              </a:lnTo>
                              <a:lnTo>
                                <a:pt x="529" y="117"/>
                              </a:lnTo>
                              <a:lnTo>
                                <a:pt x="531" y="117"/>
                              </a:lnTo>
                              <a:lnTo>
                                <a:pt x="533" y="117"/>
                              </a:lnTo>
                              <a:lnTo>
                                <a:pt x="535" y="117"/>
                              </a:lnTo>
                              <a:lnTo>
                                <a:pt x="537" y="117"/>
                              </a:lnTo>
                              <a:lnTo>
                                <a:pt x="539" y="117"/>
                              </a:lnTo>
                              <a:lnTo>
                                <a:pt x="541" y="118"/>
                              </a:lnTo>
                              <a:lnTo>
                                <a:pt x="544" y="118"/>
                              </a:lnTo>
                              <a:lnTo>
                                <a:pt x="547" y="118"/>
                              </a:lnTo>
                              <a:lnTo>
                                <a:pt x="550" y="118"/>
                              </a:lnTo>
                              <a:lnTo>
                                <a:pt x="553" y="118"/>
                              </a:lnTo>
                              <a:lnTo>
                                <a:pt x="557" y="118"/>
                              </a:lnTo>
                              <a:lnTo>
                                <a:pt x="559" y="118"/>
                              </a:lnTo>
                              <a:lnTo>
                                <a:pt x="561" y="118"/>
                              </a:lnTo>
                              <a:lnTo>
                                <a:pt x="564" y="118"/>
                              </a:lnTo>
                              <a:lnTo>
                                <a:pt x="567" y="118"/>
                              </a:lnTo>
                              <a:lnTo>
                                <a:pt x="570" y="119"/>
                              </a:lnTo>
                              <a:lnTo>
                                <a:pt x="574" y="119"/>
                              </a:lnTo>
                              <a:lnTo>
                                <a:pt x="578" y="119"/>
                              </a:lnTo>
                              <a:lnTo>
                                <a:pt x="582" y="119"/>
                              </a:lnTo>
                              <a:lnTo>
                                <a:pt x="588" y="119"/>
                              </a:lnTo>
                              <a:lnTo>
                                <a:pt x="593" y="120"/>
                              </a:lnTo>
                              <a:lnTo>
                                <a:pt x="598" y="120"/>
                              </a:lnTo>
                              <a:lnTo>
                                <a:pt x="603" y="120"/>
                              </a:lnTo>
                              <a:lnTo>
                                <a:pt x="607" y="120"/>
                              </a:lnTo>
                              <a:lnTo>
                                <a:pt x="611" y="121"/>
                              </a:lnTo>
                              <a:lnTo>
                                <a:pt x="614" y="121"/>
                              </a:lnTo>
                              <a:lnTo>
                                <a:pt x="619" y="121"/>
                              </a:lnTo>
                              <a:lnTo>
                                <a:pt x="624" y="121"/>
                              </a:lnTo>
                              <a:lnTo>
                                <a:pt x="631" y="121"/>
                              </a:lnTo>
                              <a:lnTo>
                                <a:pt x="636" y="121"/>
                              </a:lnTo>
                              <a:lnTo>
                                <a:pt x="642" y="121"/>
                              </a:lnTo>
                              <a:lnTo>
                                <a:pt x="648" y="121"/>
                              </a:lnTo>
                              <a:lnTo>
                                <a:pt x="655" y="122"/>
                              </a:lnTo>
                              <a:lnTo>
                                <a:pt x="664" y="122"/>
                              </a:lnTo>
                              <a:lnTo>
                                <a:pt x="670" y="122"/>
                              </a:lnTo>
                              <a:lnTo>
                                <a:pt x="674" y="122"/>
                              </a:lnTo>
                              <a:lnTo>
                                <a:pt x="677" y="122"/>
                              </a:lnTo>
                              <a:lnTo>
                                <a:pt x="679" y="122"/>
                              </a:lnTo>
                              <a:lnTo>
                                <a:pt x="683" y="122"/>
                              </a:lnTo>
                              <a:lnTo>
                                <a:pt x="689" y="123"/>
                              </a:lnTo>
                              <a:lnTo>
                                <a:pt x="694" y="123"/>
                              </a:lnTo>
                              <a:lnTo>
                                <a:pt x="699" y="123"/>
                              </a:lnTo>
                              <a:lnTo>
                                <a:pt x="704" y="123"/>
                              </a:lnTo>
                              <a:lnTo>
                                <a:pt x="709" y="123"/>
                              </a:lnTo>
                              <a:lnTo>
                                <a:pt x="714" y="123"/>
                              </a:lnTo>
                              <a:lnTo>
                                <a:pt x="717" y="123"/>
                              </a:lnTo>
                              <a:lnTo>
                                <a:pt x="719" y="123"/>
                              </a:lnTo>
                              <a:lnTo>
                                <a:pt x="723" y="123"/>
                              </a:lnTo>
                              <a:lnTo>
                                <a:pt x="727" y="123"/>
                              </a:lnTo>
                              <a:lnTo>
                                <a:pt x="730" y="124"/>
                              </a:lnTo>
                              <a:lnTo>
                                <a:pt x="735" y="124"/>
                              </a:lnTo>
                              <a:lnTo>
                                <a:pt x="740" y="124"/>
                              </a:lnTo>
                              <a:lnTo>
                                <a:pt x="744" y="124"/>
                              </a:lnTo>
                              <a:lnTo>
                                <a:pt x="750" y="124"/>
                              </a:lnTo>
                              <a:lnTo>
                                <a:pt x="755" y="124"/>
                              </a:lnTo>
                              <a:lnTo>
                                <a:pt x="760" y="124"/>
                              </a:lnTo>
                              <a:lnTo>
                                <a:pt x="766" y="124"/>
                              </a:lnTo>
                              <a:lnTo>
                                <a:pt x="774" y="125"/>
                              </a:lnTo>
                              <a:lnTo>
                                <a:pt x="781" y="125"/>
                              </a:lnTo>
                              <a:lnTo>
                                <a:pt x="787" y="125"/>
                              </a:lnTo>
                              <a:lnTo>
                                <a:pt x="793" y="125"/>
                              </a:lnTo>
                              <a:lnTo>
                                <a:pt x="798" y="125"/>
                              </a:lnTo>
                              <a:lnTo>
                                <a:pt x="803" y="125"/>
                              </a:lnTo>
                              <a:lnTo>
                                <a:pt x="808" y="125"/>
                              </a:lnTo>
                              <a:lnTo>
                                <a:pt x="813" y="125"/>
                              </a:lnTo>
                              <a:lnTo>
                                <a:pt x="818" y="125"/>
                              </a:lnTo>
                              <a:lnTo>
                                <a:pt x="821" y="125"/>
                              </a:lnTo>
                              <a:lnTo>
                                <a:pt x="824" y="125"/>
                              </a:lnTo>
                              <a:lnTo>
                                <a:pt x="827" y="125"/>
                              </a:lnTo>
                              <a:lnTo>
                                <a:pt x="829" y="125"/>
                              </a:lnTo>
                              <a:lnTo>
                                <a:pt x="832" y="125"/>
                              </a:lnTo>
                              <a:lnTo>
                                <a:pt x="835" y="125"/>
                              </a:lnTo>
                              <a:lnTo>
                                <a:pt x="838" y="125"/>
                              </a:lnTo>
                              <a:lnTo>
                                <a:pt x="841" y="125"/>
                              </a:lnTo>
                              <a:lnTo>
                                <a:pt x="845" y="125"/>
                              </a:lnTo>
                              <a:lnTo>
                                <a:pt x="849" y="126"/>
                              </a:lnTo>
                              <a:lnTo>
                                <a:pt x="854" y="126"/>
                              </a:lnTo>
                              <a:lnTo>
                                <a:pt x="858" y="126"/>
                              </a:lnTo>
                              <a:lnTo>
                                <a:pt x="860" y="126"/>
                              </a:lnTo>
                              <a:lnTo>
                                <a:pt x="863" y="126"/>
                              </a:lnTo>
                              <a:lnTo>
                                <a:pt x="865" y="126"/>
                              </a:lnTo>
                              <a:lnTo>
                                <a:pt x="868" y="126"/>
                              </a:lnTo>
                              <a:lnTo>
                                <a:pt x="872" y="126"/>
                              </a:lnTo>
                              <a:lnTo>
                                <a:pt x="876" y="126"/>
                              </a:lnTo>
                              <a:lnTo>
                                <a:pt x="882" y="126"/>
                              </a:lnTo>
                              <a:lnTo>
                                <a:pt x="889" y="126"/>
                              </a:lnTo>
                              <a:lnTo>
                                <a:pt x="896" y="126"/>
                              </a:lnTo>
                              <a:lnTo>
                                <a:pt x="900" y="126"/>
                              </a:lnTo>
                              <a:lnTo>
                                <a:pt x="904" y="126"/>
                              </a:lnTo>
                              <a:lnTo>
                                <a:pt x="908" y="126"/>
                              </a:lnTo>
                              <a:lnTo>
                                <a:pt x="914" y="126"/>
                              </a:lnTo>
                              <a:lnTo>
                                <a:pt x="920" y="126"/>
                              </a:lnTo>
                              <a:lnTo>
                                <a:pt x="926" y="126"/>
                              </a:lnTo>
                              <a:lnTo>
                                <a:pt x="932" y="126"/>
                              </a:lnTo>
                              <a:lnTo>
                                <a:pt x="938" y="126"/>
                              </a:lnTo>
                              <a:lnTo>
                                <a:pt x="945" y="127"/>
                              </a:lnTo>
                              <a:lnTo>
                                <a:pt x="953" y="127"/>
                              </a:lnTo>
                              <a:lnTo>
                                <a:pt x="962" y="127"/>
                              </a:lnTo>
                              <a:lnTo>
                                <a:pt x="971" y="127"/>
                              </a:lnTo>
                              <a:lnTo>
                                <a:pt x="980" y="127"/>
                              </a:lnTo>
                              <a:lnTo>
                                <a:pt x="989" y="127"/>
                              </a:lnTo>
                              <a:lnTo>
                                <a:pt x="996" y="127"/>
                              </a:lnTo>
                              <a:lnTo>
                                <a:pt x="1001" y="127"/>
                              </a:lnTo>
                              <a:lnTo>
                                <a:pt x="1006" y="127"/>
                              </a:lnTo>
                              <a:lnTo>
                                <a:pt x="1011" y="127"/>
                              </a:lnTo>
                              <a:lnTo>
                                <a:pt x="1016" y="127"/>
                              </a:lnTo>
                              <a:lnTo>
                                <a:pt x="1021" y="127"/>
                              </a:lnTo>
                              <a:lnTo>
                                <a:pt x="1029" y="127"/>
                              </a:lnTo>
                              <a:lnTo>
                                <a:pt x="1038" y="127"/>
                              </a:lnTo>
                              <a:lnTo>
                                <a:pt x="1045" y="127"/>
                              </a:lnTo>
                              <a:lnTo>
                                <a:pt x="1050" y="127"/>
                              </a:lnTo>
                              <a:lnTo>
                                <a:pt x="1054" y="127"/>
                              </a:lnTo>
                              <a:lnTo>
                                <a:pt x="1058" y="127"/>
                              </a:lnTo>
                              <a:lnTo>
                                <a:pt x="1061" y="127"/>
                              </a:lnTo>
                              <a:lnTo>
                                <a:pt x="1064" y="127"/>
                              </a:lnTo>
                              <a:lnTo>
                                <a:pt x="1066" y="127"/>
                              </a:lnTo>
                              <a:lnTo>
                                <a:pt x="1069" y="127"/>
                              </a:lnTo>
                              <a:lnTo>
                                <a:pt x="1072" y="127"/>
                              </a:lnTo>
                              <a:lnTo>
                                <a:pt x="1075" y="127"/>
                              </a:lnTo>
                              <a:lnTo>
                                <a:pt x="1078" y="127"/>
                              </a:lnTo>
                              <a:lnTo>
                                <a:pt x="1082" y="127"/>
                              </a:lnTo>
                              <a:lnTo>
                                <a:pt x="1088" y="127"/>
                              </a:lnTo>
                              <a:lnTo>
                                <a:pt x="1095" y="127"/>
                              </a:lnTo>
                              <a:lnTo>
                                <a:pt x="1100" y="127"/>
                              </a:lnTo>
                              <a:lnTo>
                                <a:pt x="1105" y="127"/>
                              </a:lnTo>
                              <a:lnTo>
                                <a:pt x="1110" y="127"/>
                              </a:lnTo>
                              <a:lnTo>
                                <a:pt x="1117" y="127"/>
                              </a:lnTo>
                              <a:lnTo>
                                <a:pt x="1123" y="127"/>
                              </a:lnTo>
                              <a:lnTo>
                                <a:pt x="1128" y="127"/>
                              </a:lnTo>
                              <a:lnTo>
                                <a:pt x="1131" y="127"/>
                              </a:lnTo>
                              <a:lnTo>
                                <a:pt x="1134" y="127"/>
                              </a:lnTo>
                              <a:lnTo>
                                <a:pt x="1138" y="127"/>
                              </a:lnTo>
                              <a:lnTo>
                                <a:pt x="1142" y="127"/>
                              </a:lnTo>
                              <a:lnTo>
                                <a:pt x="1146" y="127"/>
                              </a:lnTo>
                              <a:lnTo>
                                <a:pt x="1150" y="127"/>
                              </a:lnTo>
                              <a:lnTo>
                                <a:pt x="1155" y="128"/>
                              </a:lnTo>
                              <a:lnTo>
                                <a:pt x="1160" y="128"/>
                              </a:lnTo>
                              <a:lnTo>
                                <a:pt x="1162" y="128"/>
                              </a:lnTo>
                              <a:lnTo>
                                <a:pt x="1164" y="128"/>
                              </a:lnTo>
                              <a:lnTo>
                                <a:pt x="1168" y="128"/>
                              </a:lnTo>
                              <a:lnTo>
                                <a:pt x="1173" y="129"/>
                              </a:lnTo>
                              <a:lnTo>
                                <a:pt x="1178" y="129"/>
                              </a:lnTo>
                              <a:lnTo>
                                <a:pt x="1180" y="129"/>
                              </a:lnTo>
                              <a:lnTo>
                                <a:pt x="1183" y="130"/>
                              </a:lnTo>
                              <a:lnTo>
                                <a:pt x="1186" y="130"/>
                              </a:lnTo>
                              <a:lnTo>
                                <a:pt x="1189" y="130"/>
                              </a:lnTo>
                              <a:lnTo>
                                <a:pt x="1193" y="130"/>
                              </a:lnTo>
                              <a:lnTo>
                                <a:pt x="1196" y="130"/>
                              </a:lnTo>
                              <a:lnTo>
                                <a:pt x="1198" y="130"/>
                              </a:lnTo>
                              <a:lnTo>
                                <a:pt x="1201" y="130"/>
                              </a:lnTo>
                              <a:lnTo>
                                <a:pt x="1204" y="130"/>
                              </a:lnTo>
                              <a:lnTo>
                                <a:pt x="1206" y="130"/>
                              </a:lnTo>
                              <a:lnTo>
                                <a:pt x="1209" y="130"/>
                              </a:lnTo>
                              <a:lnTo>
                                <a:pt x="1211" y="130"/>
                              </a:lnTo>
                              <a:lnTo>
                                <a:pt x="1213" y="130"/>
                              </a:lnTo>
                              <a:lnTo>
                                <a:pt x="1215" y="130"/>
                              </a:lnTo>
                              <a:lnTo>
                                <a:pt x="1217" y="130"/>
                              </a:lnTo>
                              <a:lnTo>
                                <a:pt x="1219" y="130"/>
                              </a:lnTo>
                              <a:lnTo>
                                <a:pt x="1222" y="130"/>
                              </a:lnTo>
                              <a:lnTo>
                                <a:pt x="1224" y="129"/>
                              </a:lnTo>
                              <a:lnTo>
                                <a:pt x="1227" y="129"/>
                              </a:lnTo>
                              <a:lnTo>
                                <a:pt x="1228" y="129"/>
                              </a:lnTo>
                              <a:lnTo>
                                <a:pt x="1230" y="129"/>
                              </a:lnTo>
                              <a:lnTo>
                                <a:pt x="1232" y="129"/>
                              </a:lnTo>
                              <a:lnTo>
                                <a:pt x="1236" y="128"/>
                              </a:lnTo>
                              <a:lnTo>
                                <a:pt x="1238" y="128"/>
                              </a:lnTo>
                              <a:lnTo>
                                <a:pt x="1240" y="128"/>
                              </a:lnTo>
                              <a:lnTo>
                                <a:pt x="1244" y="127"/>
                              </a:lnTo>
                              <a:lnTo>
                                <a:pt x="1248" y="126"/>
                              </a:lnTo>
                              <a:lnTo>
                                <a:pt x="1251" y="126"/>
                              </a:lnTo>
                              <a:lnTo>
                                <a:pt x="1255" y="126"/>
                              </a:lnTo>
                              <a:lnTo>
                                <a:pt x="1258" y="125"/>
                              </a:lnTo>
                              <a:lnTo>
                                <a:pt x="1261" y="125"/>
                              </a:lnTo>
                              <a:lnTo>
                                <a:pt x="1264" y="125"/>
                              </a:lnTo>
                              <a:lnTo>
                                <a:pt x="1266" y="124"/>
                              </a:lnTo>
                              <a:lnTo>
                                <a:pt x="1267" y="124"/>
                              </a:lnTo>
                              <a:lnTo>
                                <a:pt x="1268" y="124"/>
                              </a:lnTo>
                              <a:lnTo>
                                <a:pt x="1270" y="124"/>
                              </a:lnTo>
                              <a:lnTo>
                                <a:pt x="1273" y="124"/>
                              </a:lnTo>
                              <a:lnTo>
                                <a:pt x="1278" y="123"/>
                              </a:lnTo>
                              <a:lnTo>
                                <a:pt x="1282" y="123"/>
                              </a:lnTo>
                              <a:lnTo>
                                <a:pt x="1287" y="122"/>
                              </a:lnTo>
                              <a:lnTo>
                                <a:pt x="1293" y="122"/>
                              </a:lnTo>
                              <a:lnTo>
                                <a:pt x="1298" y="121"/>
                              </a:lnTo>
                              <a:lnTo>
                                <a:pt x="1300" y="121"/>
                              </a:lnTo>
                              <a:lnTo>
                                <a:pt x="1302" y="121"/>
                              </a:lnTo>
                              <a:lnTo>
                                <a:pt x="1303" y="121"/>
                              </a:lnTo>
                              <a:lnTo>
                                <a:pt x="1304" y="121"/>
                              </a:lnTo>
                              <a:lnTo>
                                <a:pt x="1306" y="120"/>
                              </a:lnTo>
                              <a:lnTo>
                                <a:pt x="1309" y="120"/>
                              </a:lnTo>
                              <a:lnTo>
                                <a:pt x="1313" y="119"/>
                              </a:lnTo>
                              <a:lnTo>
                                <a:pt x="1317" y="119"/>
                              </a:lnTo>
                              <a:lnTo>
                                <a:pt x="1321" y="118"/>
                              </a:lnTo>
                              <a:lnTo>
                                <a:pt x="1324" y="118"/>
                              </a:lnTo>
                              <a:lnTo>
                                <a:pt x="1327" y="118"/>
                              </a:lnTo>
                              <a:lnTo>
                                <a:pt x="1331" y="117"/>
                              </a:lnTo>
                              <a:lnTo>
                                <a:pt x="1335" y="117"/>
                              </a:lnTo>
                              <a:lnTo>
                                <a:pt x="1338" y="117"/>
                              </a:lnTo>
                              <a:lnTo>
                                <a:pt x="1340" y="117"/>
                              </a:lnTo>
                              <a:lnTo>
                                <a:pt x="1341" y="117"/>
                              </a:lnTo>
                              <a:lnTo>
                                <a:pt x="1343" y="116"/>
                              </a:lnTo>
                              <a:lnTo>
                                <a:pt x="1347" y="116"/>
                              </a:lnTo>
                              <a:lnTo>
                                <a:pt x="1350" y="116"/>
                              </a:lnTo>
                              <a:lnTo>
                                <a:pt x="1353" y="116"/>
                              </a:lnTo>
                              <a:lnTo>
                                <a:pt x="1358" y="115"/>
                              </a:lnTo>
                              <a:lnTo>
                                <a:pt x="1365" y="115"/>
                              </a:lnTo>
                              <a:lnTo>
                                <a:pt x="1371" y="114"/>
                              </a:lnTo>
                              <a:lnTo>
                                <a:pt x="1375" y="114"/>
                              </a:lnTo>
                              <a:lnTo>
                                <a:pt x="1377" y="114"/>
                              </a:lnTo>
                              <a:lnTo>
                                <a:pt x="1378" y="114"/>
                              </a:lnTo>
                              <a:lnTo>
                                <a:pt x="1379" y="114"/>
                              </a:lnTo>
                              <a:lnTo>
                                <a:pt x="1381" y="114"/>
                              </a:lnTo>
                              <a:lnTo>
                                <a:pt x="1383" y="113"/>
                              </a:lnTo>
                              <a:lnTo>
                                <a:pt x="1386" y="113"/>
                              </a:lnTo>
                              <a:lnTo>
                                <a:pt x="1390" y="113"/>
                              </a:lnTo>
                              <a:lnTo>
                                <a:pt x="1393" y="113"/>
                              </a:lnTo>
                              <a:lnTo>
                                <a:pt x="1396" y="113"/>
                              </a:lnTo>
                              <a:lnTo>
                                <a:pt x="1399" y="112"/>
                              </a:lnTo>
                              <a:lnTo>
                                <a:pt x="1402" y="112"/>
                              </a:lnTo>
                              <a:lnTo>
                                <a:pt x="1404" y="112"/>
                              </a:lnTo>
                              <a:lnTo>
                                <a:pt x="1408" y="112"/>
                              </a:lnTo>
                              <a:lnTo>
                                <a:pt x="1412" y="112"/>
                              </a:lnTo>
                              <a:lnTo>
                                <a:pt x="1417" y="112"/>
                              </a:lnTo>
                              <a:lnTo>
                                <a:pt x="1422" y="112"/>
                              </a:lnTo>
                              <a:lnTo>
                                <a:pt x="1426" y="112"/>
                              </a:lnTo>
                              <a:lnTo>
                                <a:pt x="1432" y="112"/>
                              </a:lnTo>
                              <a:lnTo>
                                <a:pt x="1438" y="112"/>
                              </a:lnTo>
                              <a:lnTo>
                                <a:pt x="1444" y="111"/>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7" name="Freeform 303"/>
                        <a:cNvSpPr>
                          <a:spLocks/>
                        </a:cNvSpPr>
                      </a:nvSpPr>
                      <a:spPr bwMode="auto">
                        <a:xfrm>
                          <a:off x="7186613" y="9211724"/>
                          <a:ext cx="1370013" cy="300937"/>
                        </a:xfrm>
                        <a:custGeom>
                          <a:avLst/>
                          <a:gdLst/>
                          <a:ahLst/>
                          <a:cxnLst>
                            <a:cxn ang="0">
                              <a:pos x="14" y="165"/>
                            </a:cxn>
                            <a:cxn ang="0">
                              <a:pos x="38" y="166"/>
                            </a:cxn>
                            <a:cxn ang="0">
                              <a:pos x="78" y="167"/>
                            </a:cxn>
                            <a:cxn ang="0">
                              <a:pos x="118" y="168"/>
                            </a:cxn>
                            <a:cxn ang="0">
                              <a:pos x="157" y="168"/>
                            </a:cxn>
                            <a:cxn ang="0">
                              <a:pos x="200" y="169"/>
                            </a:cxn>
                            <a:cxn ang="0">
                              <a:pos x="235" y="170"/>
                            </a:cxn>
                            <a:cxn ang="0">
                              <a:pos x="277" y="170"/>
                            </a:cxn>
                            <a:cxn ang="0">
                              <a:pos x="314" y="170"/>
                            </a:cxn>
                            <a:cxn ang="0">
                              <a:pos x="330" y="170"/>
                            </a:cxn>
                            <a:cxn ang="0">
                              <a:pos x="338" y="169"/>
                            </a:cxn>
                            <a:cxn ang="0">
                              <a:pos x="342" y="167"/>
                            </a:cxn>
                            <a:cxn ang="0">
                              <a:pos x="347" y="165"/>
                            </a:cxn>
                            <a:cxn ang="0">
                              <a:pos x="354" y="161"/>
                            </a:cxn>
                            <a:cxn ang="0">
                              <a:pos x="360" y="156"/>
                            </a:cxn>
                            <a:cxn ang="0">
                              <a:pos x="366" y="149"/>
                            </a:cxn>
                            <a:cxn ang="0">
                              <a:pos x="371" y="142"/>
                            </a:cxn>
                            <a:cxn ang="0">
                              <a:pos x="375" y="134"/>
                            </a:cxn>
                            <a:cxn ang="0">
                              <a:pos x="378" y="129"/>
                            </a:cxn>
                            <a:cxn ang="0">
                              <a:pos x="379" y="126"/>
                            </a:cxn>
                            <a:cxn ang="0">
                              <a:pos x="385" y="111"/>
                            </a:cxn>
                            <a:cxn ang="0">
                              <a:pos x="398" y="76"/>
                            </a:cxn>
                            <a:cxn ang="0">
                              <a:pos x="411" y="38"/>
                            </a:cxn>
                            <a:cxn ang="0">
                              <a:pos x="414" y="30"/>
                            </a:cxn>
                            <a:cxn ang="0">
                              <a:pos x="423" y="13"/>
                            </a:cxn>
                            <a:cxn ang="0">
                              <a:pos x="431" y="2"/>
                            </a:cxn>
                            <a:cxn ang="0">
                              <a:pos x="440" y="0"/>
                            </a:cxn>
                            <a:cxn ang="0">
                              <a:pos x="449" y="6"/>
                            </a:cxn>
                            <a:cxn ang="0">
                              <a:pos x="453" y="11"/>
                            </a:cxn>
                            <a:cxn ang="0">
                              <a:pos x="464" y="30"/>
                            </a:cxn>
                            <a:cxn ang="0">
                              <a:pos x="485" y="73"/>
                            </a:cxn>
                            <a:cxn ang="0">
                              <a:pos x="489" y="82"/>
                            </a:cxn>
                            <a:cxn ang="0">
                              <a:pos x="497" y="97"/>
                            </a:cxn>
                            <a:cxn ang="0">
                              <a:pos x="509" y="117"/>
                            </a:cxn>
                            <a:cxn ang="0">
                              <a:pos x="519" y="132"/>
                            </a:cxn>
                            <a:cxn ang="0">
                              <a:pos x="525" y="140"/>
                            </a:cxn>
                            <a:cxn ang="0">
                              <a:pos x="529" y="144"/>
                            </a:cxn>
                            <a:cxn ang="0">
                              <a:pos x="539" y="153"/>
                            </a:cxn>
                            <a:cxn ang="0">
                              <a:pos x="550" y="162"/>
                            </a:cxn>
                            <a:cxn ang="0">
                              <a:pos x="560" y="169"/>
                            </a:cxn>
                            <a:cxn ang="0">
                              <a:pos x="564" y="171"/>
                            </a:cxn>
                            <a:cxn ang="0">
                              <a:pos x="577" y="177"/>
                            </a:cxn>
                            <a:cxn ang="0">
                              <a:pos x="591" y="182"/>
                            </a:cxn>
                            <a:cxn ang="0">
                              <a:pos x="601" y="184"/>
                            </a:cxn>
                            <a:cxn ang="0">
                              <a:pos x="612" y="187"/>
                            </a:cxn>
                            <a:cxn ang="0">
                              <a:pos x="632" y="190"/>
                            </a:cxn>
                            <a:cxn ang="0">
                              <a:pos x="642" y="191"/>
                            </a:cxn>
                            <a:cxn ang="0">
                              <a:pos x="662" y="193"/>
                            </a:cxn>
                            <a:cxn ang="0">
                              <a:pos x="676" y="194"/>
                            </a:cxn>
                            <a:cxn ang="0">
                              <a:pos x="699" y="195"/>
                            </a:cxn>
                            <a:cxn ang="0">
                              <a:pos x="721" y="196"/>
                            </a:cxn>
                            <a:cxn ang="0">
                              <a:pos x="749" y="196"/>
                            </a:cxn>
                            <a:cxn ang="0">
                              <a:pos x="775" y="197"/>
                            </a:cxn>
                            <a:cxn ang="0">
                              <a:pos x="795" y="197"/>
                            </a:cxn>
                            <a:cxn ang="0">
                              <a:pos x="819" y="197"/>
                            </a:cxn>
                            <a:cxn ang="0">
                              <a:pos x="834" y="197"/>
                            </a:cxn>
                            <a:cxn ang="0">
                              <a:pos x="847" y="197"/>
                            </a:cxn>
                            <a:cxn ang="0">
                              <a:pos x="860" y="197"/>
                            </a:cxn>
                          </a:cxnLst>
                          <a:rect l="0" t="0" r="r" b="b"/>
                          <a:pathLst>
                            <a:path w="863" h="197">
                              <a:moveTo>
                                <a:pt x="0" y="165"/>
                              </a:moveTo>
                              <a:lnTo>
                                <a:pt x="3" y="165"/>
                              </a:lnTo>
                              <a:lnTo>
                                <a:pt x="6" y="165"/>
                              </a:lnTo>
                              <a:lnTo>
                                <a:pt x="9" y="165"/>
                              </a:lnTo>
                              <a:lnTo>
                                <a:pt x="11" y="165"/>
                              </a:lnTo>
                              <a:lnTo>
                                <a:pt x="12" y="165"/>
                              </a:lnTo>
                              <a:lnTo>
                                <a:pt x="14" y="165"/>
                              </a:lnTo>
                              <a:lnTo>
                                <a:pt x="16" y="165"/>
                              </a:lnTo>
                              <a:lnTo>
                                <a:pt x="19" y="166"/>
                              </a:lnTo>
                              <a:lnTo>
                                <a:pt x="22" y="166"/>
                              </a:lnTo>
                              <a:lnTo>
                                <a:pt x="25" y="166"/>
                              </a:lnTo>
                              <a:lnTo>
                                <a:pt x="28" y="166"/>
                              </a:lnTo>
                              <a:lnTo>
                                <a:pt x="33" y="166"/>
                              </a:lnTo>
                              <a:lnTo>
                                <a:pt x="38" y="166"/>
                              </a:lnTo>
                              <a:lnTo>
                                <a:pt x="44" y="166"/>
                              </a:lnTo>
                              <a:lnTo>
                                <a:pt x="49" y="166"/>
                              </a:lnTo>
                              <a:lnTo>
                                <a:pt x="52" y="166"/>
                              </a:lnTo>
                              <a:lnTo>
                                <a:pt x="58" y="166"/>
                              </a:lnTo>
                              <a:lnTo>
                                <a:pt x="65" y="166"/>
                              </a:lnTo>
                              <a:lnTo>
                                <a:pt x="72" y="167"/>
                              </a:lnTo>
                              <a:lnTo>
                                <a:pt x="78" y="167"/>
                              </a:lnTo>
                              <a:lnTo>
                                <a:pt x="83" y="167"/>
                              </a:lnTo>
                              <a:lnTo>
                                <a:pt x="91" y="167"/>
                              </a:lnTo>
                              <a:lnTo>
                                <a:pt x="99" y="167"/>
                              </a:lnTo>
                              <a:lnTo>
                                <a:pt x="105" y="167"/>
                              </a:lnTo>
                              <a:lnTo>
                                <a:pt x="110" y="167"/>
                              </a:lnTo>
                              <a:lnTo>
                                <a:pt x="115" y="168"/>
                              </a:lnTo>
                              <a:lnTo>
                                <a:pt x="118" y="168"/>
                              </a:lnTo>
                              <a:lnTo>
                                <a:pt x="124" y="168"/>
                              </a:lnTo>
                              <a:lnTo>
                                <a:pt x="130" y="168"/>
                              </a:lnTo>
                              <a:lnTo>
                                <a:pt x="136" y="168"/>
                              </a:lnTo>
                              <a:lnTo>
                                <a:pt x="142" y="168"/>
                              </a:lnTo>
                              <a:lnTo>
                                <a:pt x="148" y="168"/>
                              </a:lnTo>
                              <a:lnTo>
                                <a:pt x="153" y="168"/>
                              </a:lnTo>
                              <a:lnTo>
                                <a:pt x="157" y="168"/>
                              </a:lnTo>
                              <a:lnTo>
                                <a:pt x="163" y="168"/>
                              </a:lnTo>
                              <a:lnTo>
                                <a:pt x="170" y="168"/>
                              </a:lnTo>
                              <a:lnTo>
                                <a:pt x="178" y="169"/>
                              </a:lnTo>
                              <a:lnTo>
                                <a:pt x="186" y="169"/>
                              </a:lnTo>
                              <a:lnTo>
                                <a:pt x="192" y="169"/>
                              </a:lnTo>
                              <a:lnTo>
                                <a:pt x="196" y="169"/>
                              </a:lnTo>
                              <a:lnTo>
                                <a:pt x="200" y="169"/>
                              </a:lnTo>
                              <a:lnTo>
                                <a:pt x="205" y="169"/>
                              </a:lnTo>
                              <a:lnTo>
                                <a:pt x="210" y="169"/>
                              </a:lnTo>
                              <a:lnTo>
                                <a:pt x="215" y="169"/>
                              </a:lnTo>
                              <a:lnTo>
                                <a:pt x="220" y="169"/>
                              </a:lnTo>
                              <a:lnTo>
                                <a:pt x="226" y="169"/>
                              </a:lnTo>
                              <a:lnTo>
                                <a:pt x="231" y="170"/>
                              </a:lnTo>
                              <a:lnTo>
                                <a:pt x="235" y="170"/>
                              </a:lnTo>
                              <a:lnTo>
                                <a:pt x="239" y="170"/>
                              </a:lnTo>
                              <a:lnTo>
                                <a:pt x="245" y="170"/>
                              </a:lnTo>
                              <a:lnTo>
                                <a:pt x="252" y="170"/>
                              </a:lnTo>
                              <a:lnTo>
                                <a:pt x="260" y="170"/>
                              </a:lnTo>
                              <a:lnTo>
                                <a:pt x="267" y="170"/>
                              </a:lnTo>
                              <a:lnTo>
                                <a:pt x="272" y="170"/>
                              </a:lnTo>
                              <a:lnTo>
                                <a:pt x="277" y="170"/>
                              </a:lnTo>
                              <a:lnTo>
                                <a:pt x="282" y="170"/>
                              </a:lnTo>
                              <a:lnTo>
                                <a:pt x="287" y="170"/>
                              </a:lnTo>
                              <a:lnTo>
                                <a:pt x="293" y="170"/>
                              </a:lnTo>
                              <a:lnTo>
                                <a:pt x="299" y="170"/>
                              </a:lnTo>
                              <a:lnTo>
                                <a:pt x="304" y="171"/>
                              </a:lnTo>
                              <a:lnTo>
                                <a:pt x="308" y="170"/>
                              </a:lnTo>
                              <a:lnTo>
                                <a:pt x="314" y="170"/>
                              </a:lnTo>
                              <a:lnTo>
                                <a:pt x="318" y="170"/>
                              </a:lnTo>
                              <a:lnTo>
                                <a:pt x="321" y="170"/>
                              </a:lnTo>
                              <a:lnTo>
                                <a:pt x="323" y="170"/>
                              </a:lnTo>
                              <a:lnTo>
                                <a:pt x="325" y="170"/>
                              </a:lnTo>
                              <a:lnTo>
                                <a:pt x="327" y="170"/>
                              </a:lnTo>
                              <a:lnTo>
                                <a:pt x="328" y="170"/>
                              </a:lnTo>
                              <a:lnTo>
                                <a:pt x="330" y="170"/>
                              </a:lnTo>
                              <a:lnTo>
                                <a:pt x="331" y="170"/>
                              </a:lnTo>
                              <a:lnTo>
                                <a:pt x="332" y="170"/>
                              </a:lnTo>
                              <a:lnTo>
                                <a:pt x="334" y="169"/>
                              </a:lnTo>
                              <a:lnTo>
                                <a:pt x="335" y="169"/>
                              </a:lnTo>
                              <a:lnTo>
                                <a:pt x="336" y="169"/>
                              </a:lnTo>
                              <a:lnTo>
                                <a:pt x="337" y="169"/>
                              </a:lnTo>
                              <a:lnTo>
                                <a:pt x="338" y="169"/>
                              </a:lnTo>
                              <a:lnTo>
                                <a:pt x="339" y="168"/>
                              </a:lnTo>
                              <a:lnTo>
                                <a:pt x="340" y="168"/>
                              </a:lnTo>
                              <a:lnTo>
                                <a:pt x="340" y="168"/>
                              </a:lnTo>
                              <a:lnTo>
                                <a:pt x="341" y="168"/>
                              </a:lnTo>
                              <a:lnTo>
                                <a:pt x="341" y="168"/>
                              </a:lnTo>
                              <a:lnTo>
                                <a:pt x="342" y="168"/>
                              </a:lnTo>
                              <a:lnTo>
                                <a:pt x="342" y="167"/>
                              </a:lnTo>
                              <a:lnTo>
                                <a:pt x="343" y="167"/>
                              </a:lnTo>
                              <a:lnTo>
                                <a:pt x="343" y="167"/>
                              </a:lnTo>
                              <a:lnTo>
                                <a:pt x="344" y="167"/>
                              </a:lnTo>
                              <a:lnTo>
                                <a:pt x="345" y="167"/>
                              </a:lnTo>
                              <a:lnTo>
                                <a:pt x="345" y="166"/>
                              </a:lnTo>
                              <a:lnTo>
                                <a:pt x="346" y="166"/>
                              </a:lnTo>
                              <a:lnTo>
                                <a:pt x="347" y="165"/>
                              </a:lnTo>
                              <a:lnTo>
                                <a:pt x="348" y="165"/>
                              </a:lnTo>
                              <a:lnTo>
                                <a:pt x="349" y="164"/>
                              </a:lnTo>
                              <a:lnTo>
                                <a:pt x="350" y="164"/>
                              </a:lnTo>
                              <a:lnTo>
                                <a:pt x="351" y="163"/>
                              </a:lnTo>
                              <a:lnTo>
                                <a:pt x="352" y="163"/>
                              </a:lnTo>
                              <a:lnTo>
                                <a:pt x="353" y="162"/>
                              </a:lnTo>
                              <a:lnTo>
                                <a:pt x="354" y="161"/>
                              </a:lnTo>
                              <a:lnTo>
                                <a:pt x="355" y="161"/>
                              </a:lnTo>
                              <a:lnTo>
                                <a:pt x="356" y="160"/>
                              </a:lnTo>
                              <a:lnTo>
                                <a:pt x="356" y="159"/>
                              </a:lnTo>
                              <a:lnTo>
                                <a:pt x="357" y="159"/>
                              </a:lnTo>
                              <a:lnTo>
                                <a:pt x="358" y="158"/>
                              </a:lnTo>
                              <a:lnTo>
                                <a:pt x="359" y="157"/>
                              </a:lnTo>
                              <a:lnTo>
                                <a:pt x="360" y="156"/>
                              </a:lnTo>
                              <a:lnTo>
                                <a:pt x="361" y="155"/>
                              </a:lnTo>
                              <a:lnTo>
                                <a:pt x="362" y="154"/>
                              </a:lnTo>
                              <a:lnTo>
                                <a:pt x="363" y="153"/>
                              </a:lnTo>
                              <a:lnTo>
                                <a:pt x="363" y="152"/>
                              </a:lnTo>
                              <a:lnTo>
                                <a:pt x="364" y="151"/>
                              </a:lnTo>
                              <a:lnTo>
                                <a:pt x="365" y="150"/>
                              </a:lnTo>
                              <a:lnTo>
                                <a:pt x="366" y="149"/>
                              </a:lnTo>
                              <a:lnTo>
                                <a:pt x="367" y="148"/>
                              </a:lnTo>
                              <a:lnTo>
                                <a:pt x="367" y="147"/>
                              </a:lnTo>
                              <a:lnTo>
                                <a:pt x="368" y="146"/>
                              </a:lnTo>
                              <a:lnTo>
                                <a:pt x="369" y="145"/>
                              </a:lnTo>
                              <a:lnTo>
                                <a:pt x="370" y="144"/>
                              </a:lnTo>
                              <a:lnTo>
                                <a:pt x="370" y="143"/>
                              </a:lnTo>
                              <a:lnTo>
                                <a:pt x="371" y="142"/>
                              </a:lnTo>
                              <a:lnTo>
                                <a:pt x="372" y="140"/>
                              </a:lnTo>
                              <a:lnTo>
                                <a:pt x="373" y="139"/>
                              </a:lnTo>
                              <a:lnTo>
                                <a:pt x="373" y="138"/>
                              </a:lnTo>
                              <a:lnTo>
                                <a:pt x="374" y="137"/>
                              </a:lnTo>
                              <a:lnTo>
                                <a:pt x="374" y="136"/>
                              </a:lnTo>
                              <a:lnTo>
                                <a:pt x="375" y="135"/>
                              </a:lnTo>
                              <a:lnTo>
                                <a:pt x="375" y="134"/>
                              </a:lnTo>
                              <a:lnTo>
                                <a:pt x="376" y="133"/>
                              </a:lnTo>
                              <a:lnTo>
                                <a:pt x="376" y="133"/>
                              </a:lnTo>
                              <a:lnTo>
                                <a:pt x="376" y="132"/>
                              </a:lnTo>
                              <a:lnTo>
                                <a:pt x="377" y="131"/>
                              </a:lnTo>
                              <a:lnTo>
                                <a:pt x="377" y="131"/>
                              </a:lnTo>
                              <a:lnTo>
                                <a:pt x="377" y="130"/>
                              </a:lnTo>
                              <a:lnTo>
                                <a:pt x="378" y="129"/>
                              </a:lnTo>
                              <a:lnTo>
                                <a:pt x="378" y="129"/>
                              </a:lnTo>
                              <a:lnTo>
                                <a:pt x="378" y="128"/>
                              </a:lnTo>
                              <a:lnTo>
                                <a:pt x="378" y="128"/>
                              </a:lnTo>
                              <a:lnTo>
                                <a:pt x="379" y="127"/>
                              </a:lnTo>
                              <a:lnTo>
                                <a:pt x="379" y="127"/>
                              </a:lnTo>
                              <a:lnTo>
                                <a:pt x="379" y="127"/>
                              </a:lnTo>
                              <a:lnTo>
                                <a:pt x="379" y="126"/>
                              </a:lnTo>
                              <a:lnTo>
                                <a:pt x="379" y="126"/>
                              </a:lnTo>
                              <a:lnTo>
                                <a:pt x="380" y="125"/>
                              </a:lnTo>
                              <a:lnTo>
                                <a:pt x="381" y="122"/>
                              </a:lnTo>
                              <a:lnTo>
                                <a:pt x="382" y="120"/>
                              </a:lnTo>
                              <a:lnTo>
                                <a:pt x="383" y="117"/>
                              </a:lnTo>
                              <a:lnTo>
                                <a:pt x="384" y="114"/>
                              </a:lnTo>
                              <a:lnTo>
                                <a:pt x="385" y="111"/>
                              </a:lnTo>
                              <a:lnTo>
                                <a:pt x="387" y="108"/>
                              </a:lnTo>
                              <a:lnTo>
                                <a:pt x="388" y="104"/>
                              </a:lnTo>
                              <a:lnTo>
                                <a:pt x="389" y="100"/>
                              </a:lnTo>
                              <a:lnTo>
                                <a:pt x="391" y="95"/>
                              </a:lnTo>
                              <a:lnTo>
                                <a:pt x="393" y="90"/>
                              </a:lnTo>
                              <a:lnTo>
                                <a:pt x="395" y="84"/>
                              </a:lnTo>
                              <a:lnTo>
                                <a:pt x="398" y="76"/>
                              </a:lnTo>
                              <a:lnTo>
                                <a:pt x="400" y="69"/>
                              </a:lnTo>
                              <a:lnTo>
                                <a:pt x="402" y="63"/>
                              </a:lnTo>
                              <a:lnTo>
                                <a:pt x="404" y="57"/>
                              </a:lnTo>
                              <a:lnTo>
                                <a:pt x="406" y="52"/>
                              </a:lnTo>
                              <a:lnTo>
                                <a:pt x="408" y="47"/>
                              </a:lnTo>
                              <a:lnTo>
                                <a:pt x="410" y="42"/>
                              </a:lnTo>
                              <a:lnTo>
                                <a:pt x="411" y="38"/>
                              </a:lnTo>
                              <a:lnTo>
                                <a:pt x="412" y="36"/>
                              </a:lnTo>
                              <a:lnTo>
                                <a:pt x="412" y="35"/>
                              </a:lnTo>
                              <a:lnTo>
                                <a:pt x="413" y="33"/>
                              </a:lnTo>
                              <a:lnTo>
                                <a:pt x="413" y="32"/>
                              </a:lnTo>
                              <a:lnTo>
                                <a:pt x="414" y="31"/>
                              </a:lnTo>
                              <a:lnTo>
                                <a:pt x="414" y="31"/>
                              </a:lnTo>
                              <a:lnTo>
                                <a:pt x="414" y="30"/>
                              </a:lnTo>
                              <a:lnTo>
                                <a:pt x="415" y="28"/>
                              </a:lnTo>
                              <a:lnTo>
                                <a:pt x="416" y="25"/>
                              </a:lnTo>
                              <a:lnTo>
                                <a:pt x="417" y="23"/>
                              </a:lnTo>
                              <a:lnTo>
                                <a:pt x="419" y="20"/>
                              </a:lnTo>
                              <a:lnTo>
                                <a:pt x="420" y="17"/>
                              </a:lnTo>
                              <a:lnTo>
                                <a:pt x="421" y="15"/>
                              </a:lnTo>
                              <a:lnTo>
                                <a:pt x="423" y="13"/>
                              </a:lnTo>
                              <a:lnTo>
                                <a:pt x="424" y="11"/>
                              </a:lnTo>
                              <a:lnTo>
                                <a:pt x="425" y="9"/>
                              </a:lnTo>
                              <a:lnTo>
                                <a:pt x="426" y="7"/>
                              </a:lnTo>
                              <a:lnTo>
                                <a:pt x="428" y="6"/>
                              </a:lnTo>
                              <a:lnTo>
                                <a:pt x="429" y="4"/>
                              </a:lnTo>
                              <a:lnTo>
                                <a:pt x="430" y="3"/>
                              </a:lnTo>
                              <a:lnTo>
                                <a:pt x="431" y="2"/>
                              </a:lnTo>
                              <a:lnTo>
                                <a:pt x="432" y="1"/>
                              </a:lnTo>
                              <a:lnTo>
                                <a:pt x="434" y="1"/>
                              </a:lnTo>
                              <a:lnTo>
                                <a:pt x="435" y="0"/>
                              </a:lnTo>
                              <a:lnTo>
                                <a:pt x="436" y="0"/>
                              </a:lnTo>
                              <a:lnTo>
                                <a:pt x="437" y="0"/>
                              </a:lnTo>
                              <a:lnTo>
                                <a:pt x="439" y="0"/>
                              </a:lnTo>
                              <a:lnTo>
                                <a:pt x="440" y="0"/>
                              </a:lnTo>
                              <a:lnTo>
                                <a:pt x="441" y="1"/>
                              </a:lnTo>
                              <a:lnTo>
                                <a:pt x="442" y="1"/>
                              </a:lnTo>
                              <a:lnTo>
                                <a:pt x="444" y="2"/>
                              </a:lnTo>
                              <a:lnTo>
                                <a:pt x="445" y="2"/>
                              </a:lnTo>
                              <a:lnTo>
                                <a:pt x="446" y="3"/>
                              </a:lnTo>
                              <a:lnTo>
                                <a:pt x="447" y="5"/>
                              </a:lnTo>
                              <a:lnTo>
                                <a:pt x="449" y="6"/>
                              </a:lnTo>
                              <a:lnTo>
                                <a:pt x="449" y="7"/>
                              </a:lnTo>
                              <a:lnTo>
                                <a:pt x="450" y="8"/>
                              </a:lnTo>
                              <a:lnTo>
                                <a:pt x="451" y="9"/>
                              </a:lnTo>
                              <a:lnTo>
                                <a:pt x="451" y="9"/>
                              </a:lnTo>
                              <a:lnTo>
                                <a:pt x="452" y="10"/>
                              </a:lnTo>
                              <a:lnTo>
                                <a:pt x="452" y="10"/>
                              </a:lnTo>
                              <a:lnTo>
                                <a:pt x="453" y="11"/>
                              </a:lnTo>
                              <a:lnTo>
                                <a:pt x="454" y="12"/>
                              </a:lnTo>
                              <a:lnTo>
                                <a:pt x="455" y="14"/>
                              </a:lnTo>
                              <a:lnTo>
                                <a:pt x="457" y="16"/>
                              </a:lnTo>
                              <a:lnTo>
                                <a:pt x="458" y="19"/>
                              </a:lnTo>
                              <a:lnTo>
                                <a:pt x="460" y="22"/>
                              </a:lnTo>
                              <a:lnTo>
                                <a:pt x="462" y="26"/>
                              </a:lnTo>
                              <a:lnTo>
                                <a:pt x="464" y="30"/>
                              </a:lnTo>
                              <a:lnTo>
                                <a:pt x="467" y="35"/>
                              </a:lnTo>
                              <a:lnTo>
                                <a:pt x="469" y="40"/>
                              </a:lnTo>
                              <a:lnTo>
                                <a:pt x="472" y="45"/>
                              </a:lnTo>
                              <a:lnTo>
                                <a:pt x="475" y="52"/>
                              </a:lnTo>
                              <a:lnTo>
                                <a:pt x="479" y="60"/>
                              </a:lnTo>
                              <a:lnTo>
                                <a:pt x="483" y="69"/>
                              </a:lnTo>
                              <a:lnTo>
                                <a:pt x="485" y="73"/>
                              </a:lnTo>
                              <a:lnTo>
                                <a:pt x="486" y="75"/>
                              </a:lnTo>
                              <a:lnTo>
                                <a:pt x="487" y="76"/>
                              </a:lnTo>
                              <a:lnTo>
                                <a:pt x="487" y="77"/>
                              </a:lnTo>
                              <a:lnTo>
                                <a:pt x="488" y="79"/>
                              </a:lnTo>
                              <a:lnTo>
                                <a:pt x="488" y="80"/>
                              </a:lnTo>
                              <a:lnTo>
                                <a:pt x="489" y="81"/>
                              </a:lnTo>
                              <a:lnTo>
                                <a:pt x="489" y="82"/>
                              </a:lnTo>
                              <a:lnTo>
                                <a:pt x="490" y="82"/>
                              </a:lnTo>
                              <a:lnTo>
                                <a:pt x="490" y="83"/>
                              </a:lnTo>
                              <a:lnTo>
                                <a:pt x="490" y="83"/>
                              </a:lnTo>
                              <a:lnTo>
                                <a:pt x="491" y="86"/>
                              </a:lnTo>
                              <a:lnTo>
                                <a:pt x="494" y="90"/>
                              </a:lnTo>
                              <a:lnTo>
                                <a:pt x="495" y="93"/>
                              </a:lnTo>
                              <a:lnTo>
                                <a:pt x="497" y="97"/>
                              </a:lnTo>
                              <a:lnTo>
                                <a:pt x="499" y="100"/>
                              </a:lnTo>
                              <a:lnTo>
                                <a:pt x="500" y="103"/>
                              </a:lnTo>
                              <a:lnTo>
                                <a:pt x="502" y="106"/>
                              </a:lnTo>
                              <a:lnTo>
                                <a:pt x="504" y="109"/>
                              </a:lnTo>
                              <a:lnTo>
                                <a:pt x="505" y="112"/>
                              </a:lnTo>
                              <a:lnTo>
                                <a:pt x="507" y="115"/>
                              </a:lnTo>
                              <a:lnTo>
                                <a:pt x="509" y="117"/>
                              </a:lnTo>
                              <a:lnTo>
                                <a:pt x="511" y="120"/>
                              </a:lnTo>
                              <a:lnTo>
                                <a:pt x="513" y="123"/>
                              </a:lnTo>
                              <a:lnTo>
                                <a:pt x="514" y="125"/>
                              </a:lnTo>
                              <a:lnTo>
                                <a:pt x="515" y="127"/>
                              </a:lnTo>
                              <a:lnTo>
                                <a:pt x="517" y="129"/>
                              </a:lnTo>
                              <a:lnTo>
                                <a:pt x="518" y="130"/>
                              </a:lnTo>
                              <a:lnTo>
                                <a:pt x="519" y="132"/>
                              </a:lnTo>
                              <a:lnTo>
                                <a:pt x="520" y="134"/>
                              </a:lnTo>
                              <a:lnTo>
                                <a:pt x="521" y="135"/>
                              </a:lnTo>
                              <a:lnTo>
                                <a:pt x="523" y="137"/>
                              </a:lnTo>
                              <a:lnTo>
                                <a:pt x="523" y="138"/>
                              </a:lnTo>
                              <a:lnTo>
                                <a:pt x="524" y="139"/>
                              </a:lnTo>
                              <a:lnTo>
                                <a:pt x="525" y="139"/>
                              </a:lnTo>
                              <a:lnTo>
                                <a:pt x="525" y="140"/>
                              </a:lnTo>
                              <a:lnTo>
                                <a:pt x="526" y="141"/>
                              </a:lnTo>
                              <a:lnTo>
                                <a:pt x="526" y="141"/>
                              </a:lnTo>
                              <a:lnTo>
                                <a:pt x="527" y="141"/>
                              </a:lnTo>
                              <a:lnTo>
                                <a:pt x="527" y="142"/>
                              </a:lnTo>
                              <a:lnTo>
                                <a:pt x="527" y="142"/>
                              </a:lnTo>
                              <a:lnTo>
                                <a:pt x="528" y="143"/>
                              </a:lnTo>
                              <a:lnTo>
                                <a:pt x="529" y="144"/>
                              </a:lnTo>
                              <a:lnTo>
                                <a:pt x="531" y="146"/>
                              </a:lnTo>
                              <a:lnTo>
                                <a:pt x="532" y="147"/>
                              </a:lnTo>
                              <a:lnTo>
                                <a:pt x="533" y="148"/>
                              </a:lnTo>
                              <a:lnTo>
                                <a:pt x="534" y="150"/>
                              </a:lnTo>
                              <a:lnTo>
                                <a:pt x="536" y="151"/>
                              </a:lnTo>
                              <a:lnTo>
                                <a:pt x="537" y="152"/>
                              </a:lnTo>
                              <a:lnTo>
                                <a:pt x="539" y="153"/>
                              </a:lnTo>
                              <a:lnTo>
                                <a:pt x="540" y="155"/>
                              </a:lnTo>
                              <a:lnTo>
                                <a:pt x="542" y="156"/>
                              </a:lnTo>
                              <a:lnTo>
                                <a:pt x="543" y="158"/>
                              </a:lnTo>
                              <a:lnTo>
                                <a:pt x="545" y="159"/>
                              </a:lnTo>
                              <a:lnTo>
                                <a:pt x="547" y="160"/>
                              </a:lnTo>
                              <a:lnTo>
                                <a:pt x="548" y="161"/>
                              </a:lnTo>
                              <a:lnTo>
                                <a:pt x="550" y="162"/>
                              </a:lnTo>
                              <a:lnTo>
                                <a:pt x="551" y="163"/>
                              </a:lnTo>
                              <a:lnTo>
                                <a:pt x="553" y="164"/>
                              </a:lnTo>
                              <a:lnTo>
                                <a:pt x="554" y="165"/>
                              </a:lnTo>
                              <a:lnTo>
                                <a:pt x="556" y="166"/>
                              </a:lnTo>
                              <a:lnTo>
                                <a:pt x="557" y="167"/>
                              </a:lnTo>
                              <a:lnTo>
                                <a:pt x="559" y="168"/>
                              </a:lnTo>
                              <a:lnTo>
                                <a:pt x="560" y="169"/>
                              </a:lnTo>
                              <a:lnTo>
                                <a:pt x="561" y="169"/>
                              </a:lnTo>
                              <a:lnTo>
                                <a:pt x="562" y="170"/>
                              </a:lnTo>
                              <a:lnTo>
                                <a:pt x="562" y="170"/>
                              </a:lnTo>
                              <a:lnTo>
                                <a:pt x="563" y="171"/>
                              </a:lnTo>
                              <a:lnTo>
                                <a:pt x="564" y="171"/>
                              </a:lnTo>
                              <a:lnTo>
                                <a:pt x="564" y="171"/>
                              </a:lnTo>
                              <a:lnTo>
                                <a:pt x="564" y="171"/>
                              </a:lnTo>
                              <a:lnTo>
                                <a:pt x="565" y="172"/>
                              </a:lnTo>
                              <a:lnTo>
                                <a:pt x="567" y="173"/>
                              </a:lnTo>
                              <a:lnTo>
                                <a:pt x="569" y="173"/>
                              </a:lnTo>
                              <a:lnTo>
                                <a:pt x="571" y="174"/>
                              </a:lnTo>
                              <a:lnTo>
                                <a:pt x="573" y="175"/>
                              </a:lnTo>
                              <a:lnTo>
                                <a:pt x="575" y="176"/>
                              </a:lnTo>
                              <a:lnTo>
                                <a:pt x="577" y="177"/>
                              </a:lnTo>
                              <a:lnTo>
                                <a:pt x="579" y="178"/>
                              </a:lnTo>
                              <a:lnTo>
                                <a:pt x="581" y="179"/>
                              </a:lnTo>
                              <a:lnTo>
                                <a:pt x="583" y="179"/>
                              </a:lnTo>
                              <a:lnTo>
                                <a:pt x="585" y="180"/>
                              </a:lnTo>
                              <a:lnTo>
                                <a:pt x="587" y="181"/>
                              </a:lnTo>
                              <a:lnTo>
                                <a:pt x="589" y="181"/>
                              </a:lnTo>
                              <a:lnTo>
                                <a:pt x="591" y="182"/>
                              </a:lnTo>
                              <a:lnTo>
                                <a:pt x="592" y="182"/>
                              </a:lnTo>
                              <a:lnTo>
                                <a:pt x="594" y="183"/>
                              </a:lnTo>
                              <a:lnTo>
                                <a:pt x="596" y="183"/>
                              </a:lnTo>
                              <a:lnTo>
                                <a:pt x="598" y="184"/>
                              </a:lnTo>
                              <a:lnTo>
                                <a:pt x="599" y="184"/>
                              </a:lnTo>
                              <a:lnTo>
                                <a:pt x="600" y="184"/>
                              </a:lnTo>
                              <a:lnTo>
                                <a:pt x="601" y="184"/>
                              </a:lnTo>
                              <a:lnTo>
                                <a:pt x="601" y="184"/>
                              </a:lnTo>
                              <a:lnTo>
                                <a:pt x="602" y="185"/>
                              </a:lnTo>
                              <a:lnTo>
                                <a:pt x="604" y="185"/>
                              </a:lnTo>
                              <a:lnTo>
                                <a:pt x="606" y="186"/>
                              </a:lnTo>
                              <a:lnTo>
                                <a:pt x="609" y="186"/>
                              </a:lnTo>
                              <a:lnTo>
                                <a:pt x="611" y="187"/>
                              </a:lnTo>
                              <a:lnTo>
                                <a:pt x="612" y="187"/>
                              </a:lnTo>
                              <a:lnTo>
                                <a:pt x="614" y="187"/>
                              </a:lnTo>
                              <a:lnTo>
                                <a:pt x="616" y="188"/>
                              </a:lnTo>
                              <a:lnTo>
                                <a:pt x="619" y="188"/>
                              </a:lnTo>
                              <a:lnTo>
                                <a:pt x="621" y="188"/>
                              </a:lnTo>
                              <a:lnTo>
                                <a:pt x="624" y="189"/>
                              </a:lnTo>
                              <a:lnTo>
                                <a:pt x="628" y="189"/>
                              </a:lnTo>
                              <a:lnTo>
                                <a:pt x="632" y="190"/>
                              </a:lnTo>
                              <a:lnTo>
                                <a:pt x="634" y="190"/>
                              </a:lnTo>
                              <a:lnTo>
                                <a:pt x="636" y="190"/>
                              </a:lnTo>
                              <a:lnTo>
                                <a:pt x="637" y="190"/>
                              </a:lnTo>
                              <a:lnTo>
                                <a:pt x="638" y="190"/>
                              </a:lnTo>
                              <a:lnTo>
                                <a:pt x="639" y="191"/>
                              </a:lnTo>
                              <a:lnTo>
                                <a:pt x="640" y="191"/>
                              </a:lnTo>
                              <a:lnTo>
                                <a:pt x="642" y="191"/>
                              </a:lnTo>
                              <a:lnTo>
                                <a:pt x="644" y="191"/>
                              </a:lnTo>
                              <a:lnTo>
                                <a:pt x="646" y="191"/>
                              </a:lnTo>
                              <a:lnTo>
                                <a:pt x="649" y="191"/>
                              </a:lnTo>
                              <a:lnTo>
                                <a:pt x="652" y="192"/>
                              </a:lnTo>
                              <a:lnTo>
                                <a:pt x="655" y="192"/>
                              </a:lnTo>
                              <a:lnTo>
                                <a:pt x="659" y="193"/>
                              </a:lnTo>
                              <a:lnTo>
                                <a:pt x="662" y="193"/>
                              </a:lnTo>
                              <a:lnTo>
                                <a:pt x="665" y="193"/>
                              </a:lnTo>
                              <a:lnTo>
                                <a:pt x="668" y="193"/>
                              </a:lnTo>
                              <a:lnTo>
                                <a:pt x="670" y="193"/>
                              </a:lnTo>
                              <a:lnTo>
                                <a:pt x="672" y="194"/>
                              </a:lnTo>
                              <a:lnTo>
                                <a:pt x="674" y="194"/>
                              </a:lnTo>
                              <a:lnTo>
                                <a:pt x="675" y="194"/>
                              </a:lnTo>
                              <a:lnTo>
                                <a:pt x="676" y="194"/>
                              </a:lnTo>
                              <a:lnTo>
                                <a:pt x="678" y="194"/>
                              </a:lnTo>
                              <a:lnTo>
                                <a:pt x="680" y="194"/>
                              </a:lnTo>
                              <a:lnTo>
                                <a:pt x="684" y="194"/>
                              </a:lnTo>
                              <a:lnTo>
                                <a:pt x="688" y="194"/>
                              </a:lnTo>
                              <a:lnTo>
                                <a:pt x="692" y="195"/>
                              </a:lnTo>
                              <a:lnTo>
                                <a:pt x="696" y="195"/>
                              </a:lnTo>
                              <a:lnTo>
                                <a:pt x="699" y="195"/>
                              </a:lnTo>
                              <a:lnTo>
                                <a:pt x="702" y="195"/>
                              </a:lnTo>
                              <a:lnTo>
                                <a:pt x="706" y="195"/>
                              </a:lnTo>
                              <a:lnTo>
                                <a:pt x="709" y="195"/>
                              </a:lnTo>
                              <a:lnTo>
                                <a:pt x="711" y="195"/>
                              </a:lnTo>
                              <a:lnTo>
                                <a:pt x="713" y="196"/>
                              </a:lnTo>
                              <a:lnTo>
                                <a:pt x="716" y="196"/>
                              </a:lnTo>
                              <a:lnTo>
                                <a:pt x="721" y="196"/>
                              </a:lnTo>
                              <a:lnTo>
                                <a:pt x="725" y="196"/>
                              </a:lnTo>
                              <a:lnTo>
                                <a:pt x="729" y="196"/>
                              </a:lnTo>
                              <a:lnTo>
                                <a:pt x="732" y="196"/>
                              </a:lnTo>
                              <a:lnTo>
                                <a:pt x="736" y="196"/>
                              </a:lnTo>
                              <a:lnTo>
                                <a:pt x="742" y="196"/>
                              </a:lnTo>
                              <a:lnTo>
                                <a:pt x="747" y="196"/>
                              </a:lnTo>
                              <a:lnTo>
                                <a:pt x="749" y="196"/>
                              </a:lnTo>
                              <a:lnTo>
                                <a:pt x="751" y="196"/>
                              </a:lnTo>
                              <a:lnTo>
                                <a:pt x="754" y="196"/>
                              </a:lnTo>
                              <a:lnTo>
                                <a:pt x="757" y="196"/>
                              </a:lnTo>
                              <a:lnTo>
                                <a:pt x="762" y="197"/>
                              </a:lnTo>
                              <a:lnTo>
                                <a:pt x="766" y="197"/>
                              </a:lnTo>
                              <a:lnTo>
                                <a:pt x="771" y="197"/>
                              </a:lnTo>
                              <a:lnTo>
                                <a:pt x="775" y="197"/>
                              </a:lnTo>
                              <a:lnTo>
                                <a:pt x="780" y="197"/>
                              </a:lnTo>
                              <a:lnTo>
                                <a:pt x="783" y="197"/>
                              </a:lnTo>
                              <a:lnTo>
                                <a:pt x="786" y="197"/>
                              </a:lnTo>
                              <a:lnTo>
                                <a:pt x="788" y="197"/>
                              </a:lnTo>
                              <a:lnTo>
                                <a:pt x="791" y="197"/>
                              </a:lnTo>
                              <a:lnTo>
                                <a:pt x="793" y="197"/>
                              </a:lnTo>
                              <a:lnTo>
                                <a:pt x="795" y="197"/>
                              </a:lnTo>
                              <a:lnTo>
                                <a:pt x="799" y="197"/>
                              </a:lnTo>
                              <a:lnTo>
                                <a:pt x="802" y="197"/>
                              </a:lnTo>
                              <a:lnTo>
                                <a:pt x="806" y="197"/>
                              </a:lnTo>
                              <a:lnTo>
                                <a:pt x="809" y="197"/>
                              </a:lnTo>
                              <a:lnTo>
                                <a:pt x="813" y="197"/>
                              </a:lnTo>
                              <a:lnTo>
                                <a:pt x="816" y="197"/>
                              </a:lnTo>
                              <a:lnTo>
                                <a:pt x="819" y="197"/>
                              </a:lnTo>
                              <a:lnTo>
                                <a:pt x="822" y="197"/>
                              </a:lnTo>
                              <a:lnTo>
                                <a:pt x="824" y="197"/>
                              </a:lnTo>
                              <a:lnTo>
                                <a:pt x="826" y="197"/>
                              </a:lnTo>
                              <a:lnTo>
                                <a:pt x="828" y="197"/>
                              </a:lnTo>
                              <a:lnTo>
                                <a:pt x="830" y="197"/>
                              </a:lnTo>
                              <a:lnTo>
                                <a:pt x="832" y="197"/>
                              </a:lnTo>
                              <a:lnTo>
                                <a:pt x="834" y="197"/>
                              </a:lnTo>
                              <a:lnTo>
                                <a:pt x="836" y="197"/>
                              </a:lnTo>
                              <a:lnTo>
                                <a:pt x="837" y="197"/>
                              </a:lnTo>
                              <a:lnTo>
                                <a:pt x="839" y="197"/>
                              </a:lnTo>
                              <a:lnTo>
                                <a:pt x="841" y="197"/>
                              </a:lnTo>
                              <a:lnTo>
                                <a:pt x="843" y="197"/>
                              </a:lnTo>
                              <a:lnTo>
                                <a:pt x="845" y="197"/>
                              </a:lnTo>
                              <a:lnTo>
                                <a:pt x="847" y="197"/>
                              </a:lnTo>
                              <a:lnTo>
                                <a:pt x="849" y="197"/>
                              </a:lnTo>
                              <a:lnTo>
                                <a:pt x="851" y="197"/>
                              </a:lnTo>
                              <a:lnTo>
                                <a:pt x="852" y="197"/>
                              </a:lnTo>
                              <a:lnTo>
                                <a:pt x="854" y="197"/>
                              </a:lnTo>
                              <a:lnTo>
                                <a:pt x="856" y="197"/>
                              </a:lnTo>
                              <a:lnTo>
                                <a:pt x="858" y="197"/>
                              </a:lnTo>
                              <a:lnTo>
                                <a:pt x="860" y="197"/>
                              </a:lnTo>
                              <a:lnTo>
                                <a:pt x="862" y="197"/>
                              </a:lnTo>
                              <a:lnTo>
                                <a:pt x="863" y="197"/>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335" name="Rectangle 128"/>
                        <a:cNvSpPr>
                          <a:spLocks noChangeArrowheads="1"/>
                        </a:cNvSpPr>
                      </a:nvSpPr>
                      <a:spPr bwMode="auto">
                        <a:xfrm>
                          <a:off x="1142999" y="8216003"/>
                          <a:ext cx="153888" cy="1250817"/>
                        </a:xfrm>
                        <a:prstGeom prst="rect">
                          <a:avLst/>
                        </a:prstGeom>
                        <a:noFill/>
                        <a:ln w="9525">
                          <a:noFill/>
                          <a:miter lim="800000"/>
                          <a:headEnd/>
                          <a:tailEnd/>
                        </a:ln>
                      </a:spPr>
                      <a:txSp>
                        <a:txBody>
                          <a:bodyPr vert="vert270"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000" b="1" i="0" u="none" strike="noStrike" cap="none" normalizeH="0" baseline="0" dirty="0" smtClean="0">
                                <a:ln>
                                  <a:noFill/>
                                </a:ln>
                                <a:solidFill>
                                  <a:srgbClr val="000000"/>
                                </a:solidFill>
                                <a:effectLst/>
                                <a:latin typeface="Arial" pitchFamily="34" charset="0"/>
                                <a:cs typeface="Arial" pitchFamily="34" charset="0"/>
                              </a:rPr>
                              <a:t>Absorbance (</a:t>
                            </a:r>
                            <a:r>
                              <a:rPr kumimoji="0" lang="en-US" sz="1000" b="1" i="0" u="none" strike="noStrike" cap="none" normalizeH="0" baseline="0" dirty="0" err="1" smtClean="0">
                                <a:ln>
                                  <a:noFill/>
                                </a:ln>
                                <a:solidFill>
                                  <a:srgbClr val="000000"/>
                                </a:solidFill>
                                <a:effectLst/>
                                <a:latin typeface="Arial" pitchFamily="34" charset="0"/>
                                <a:cs typeface="Arial" pitchFamily="34" charset="0"/>
                              </a:rPr>
                              <a:t>mAU</a:t>
                            </a:r>
                            <a:r>
                              <a:rPr kumimoji="0" lang="en-US" sz="1000" b="1" i="0" u="none" strike="noStrike" cap="none" normalizeH="0" baseline="0" dirty="0" smtClean="0">
                                <a:ln>
                                  <a:noFill/>
                                </a:ln>
                                <a:solidFill>
                                  <a:srgbClr val="000000"/>
                                </a:solidFill>
                                <a:effectLst/>
                                <a:latin typeface="Arial" pitchFamily="34" charset="0"/>
                                <a:cs typeface="Arial" pitchFamily="34" charset="0"/>
                              </a:rPr>
                              <a:t>)</a:t>
                            </a:r>
                            <a:endParaRPr kumimoji="0" lang="en-US" sz="1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336" name="Rectangle 129"/>
                        <a:cNvSpPr>
                          <a:spLocks noChangeArrowheads="1"/>
                        </a:cNvSpPr>
                      </a:nvSpPr>
                      <a:spPr bwMode="auto">
                        <a:xfrm>
                          <a:off x="4476564" y="9854843"/>
                          <a:ext cx="1742936" cy="153888"/>
                        </a:xfrm>
                        <a:prstGeom prst="rect">
                          <a:avLst/>
                        </a:prstGeom>
                        <a:noFill/>
                        <a:ln w="9525">
                          <a:noFill/>
                          <a:miter lim="800000"/>
                          <a:headEnd/>
                          <a:tailEnd/>
                        </a:ln>
                      </a:spPr>
                      <a:txSp>
                        <a:txBody>
                          <a:bodyPr vert="horz"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lvl="0" defTabSz="914400" fontAlgn="base">
                              <a:spcBef>
                                <a:spcPct val="0"/>
                              </a:spcBef>
                              <a:spcAft>
                                <a:spcPct val="0"/>
                              </a:spcAft>
                            </a:pPr>
                            <a:r>
                              <a:rPr lang="en-US" sz="1000" b="1" dirty="0" smtClean="0">
                                <a:solidFill>
                                  <a:srgbClr val="000000"/>
                                </a:solidFill>
                                <a:latin typeface="Arial" pitchFamily="34" charset="0"/>
                                <a:cs typeface="Arial" pitchFamily="34" charset="0"/>
                              </a:rPr>
                              <a:t>Retention time (minutes)</a:t>
                            </a:r>
                            <a:endParaRPr lang="en-US" sz="1000" b="1" dirty="0" smtClean="0">
                              <a:latin typeface="Arial" pitchFamily="34" charset="0"/>
                              <a:cs typeface="Arial" pitchFamily="34" charset="0"/>
                            </a:endParaRPr>
                          </a:p>
                        </a:txBody>
                        <a:useSpRect/>
                      </a:txSp>
                    </a:sp>
                    <a:sp>
                      <a:nvSpPr>
                        <a:cNvPr id="337" name="Rectangle 150"/>
                        <a:cNvSpPr>
                          <a:spLocks noChangeArrowheads="1"/>
                        </a:cNvSpPr>
                      </a:nvSpPr>
                      <a:spPr bwMode="auto">
                        <a:xfrm>
                          <a:off x="1447800" y="9414894"/>
                          <a:ext cx="176330" cy="148081"/>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344" name="TextBox 343"/>
                        <a:cNvSpPr txBox="1"/>
                      </a:nvSpPr>
                      <a:spPr>
                        <a:xfrm>
                          <a:off x="2667000" y="8168373"/>
                          <a:ext cx="1166663" cy="23693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Unmodified ssRNA</a:t>
                            </a:r>
                            <a:endParaRPr lang="en-GB" sz="1000" dirty="0"/>
                          </a:p>
                        </a:txBody>
                        <a:useSpRect/>
                      </a:txSp>
                    </a:sp>
                    <a:cxnSp>
                      <a:nvCxnSpPr>
                        <a:cNvPr id="345" name="Straight Arrow Connector 344"/>
                        <a:cNvCxnSpPr>
                          <a:stCxn id="344" idx="2"/>
                        </a:cNvCxnSpPr>
                      </a:nvCxnSpPr>
                      <a:spPr>
                        <a:xfrm>
                          <a:off x="3250332" y="8405304"/>
                          <a:ext cx="712068" cy="129693"/>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46" name="TextBox 345"/>
                        <a:cNvSpPr txBox="1"/>
                      </a:nvSpPr>
                      <a:spPr>
                        <a:xfrm>
                          <a:off x="4267201" y="8241698"/>
                          <a:ext cx="762000" cy="23693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1PS ssRNA</a:t>
                            </a:r>
                            <a:endParaRPr lang="en-GB" sz="1000" dirty="0"/>
                          </a:p>
                        </a:txBody>
                        <a:useSpRect/>
                      </a:txSp>
                    </a:sp>
                    <a:cxnSp>
                      <a:nvCxnSpPr>
                        <a:cNvPr id="347" name="Straight Arrow Connector 346"/>
                        <a:cNvCxnSpPr>
                          <a:stCxn id="346" idx="2"/>
                        </a:cNvCxnSpPr>
                      </a:nvCxnSpPr>
                      <a:spPr>
                        <a:xfrm flipH="1">
                          <a:off x="4495800" y="8478629"/>
                          <a:ext cx="152401" cy="34966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51" name="Straight Arrow Connector 350"/>
                        <a:cNvCxnSpPr>
                          <a:stCxn id="346" idx="2"/>
                        </a:cNvCxnSpPr>
                      </a:nvCxnSpPr>
                      <a:spPr>
                        <a:xfrm>
                          <a:off x="4648201" y="8478629"/>
                          <a:ext cx="152399" cy="642967"/>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56" name="Straight Arrow Connector 355"/>
                        <a:cNvCxnSpPr>
                          <a:stCxn id="344" idx="2"/>
                        </a:cNvCxnSpPr>
                      </a:nvCxnSpPr>
                      <a:spPr>
                        <a:xfrm>
                          <a:off x="3250332" y="8405304"/>
                          <a:ext cx="864468" cy="34966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59" name="TextBox 358"/>
                        <a:cNvSpPr txBox="1"/>
                      </a:nvSpPr>
                      <a:spPr>
                        <a:xfrm>
                          <a:off x="4876800" y="8461672"/>
                          <a:ext cx="1295400" cy="23693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Unmod-1PS dsRNA</a:t>
                            </a:r>
                            <a:endParaRPr lang="en-GB" sz="1000" dirty="0"/>
                          </a:p>
                        </a:txBody>
                        <a:useSpRect/>
                      </a:txSp>
                    </a:sp>
                    <a:cxnSp>
                      <a:nvCxnSpPr>
                        <a:cNvPr id="360" name="Straight Arrow Connector 359"/>
                        <a:cNvCxnSpPr>
                          <a:stCxn id="359" idx="2"/>
                        </a:cNvCxnSpPr>
                      </a:nvCxnSpPr>
                      <a:spPr>
                        <a:xfrm flipH="1">
                          <a:off x="5105400" y="8698603"/>
                          <a:ext cx="419100" cy="569642"/>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64" name="TextBox 363"/>
                        <a:cNvSpPr txBox="1"/>
                      </a:nvSpPr>
                      <a:spPr>
                        <a:xfrm>
                          <a:off x="2133600" y="9164080"/>
                          <a:ext cx="533400" cy="38501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solidFill>
                                  <a:schemeClr val="tx2"/>
                                </a:solidFill>
                              </a:rPr>
                              <a:t>75°C</a:t>
                            </a:r>
                          </a:p>
                          <a:p>
                            <a:pPr algn="ctr"/>
                            <a:r>
                              <a:rPr lang="en-GB" sz="1000" dirty="0" smtClean="0"/>
                              <a:t>50°C</a:t>
                            </a:r>
                            <a:endParaRPr lang="en-GB" sz="1000" dirty="0"/>
                          </a:p>
                        </a:txBody>
                        <a:useSpRect/>
                      </a:txSp>
                    </a:sp>
                  </a:grpSp>
                  <a:grpSp>
                    <a:nvGrpSpPr>
                      <a:cNvPr id="908" name="Group 907"/>
                      <a:cNvGrpSpPr/>
                    </a:nvGrpSpPr>
                    <a:grpSpPr>
                      <a:xfrm>
                        <a:off x="1142999" y="3204420"/>
                        <a:ext cx="7620001" cy="2062999"/>
                        <a:chOff x="1142999" y="6040524"/>
                        <a:chExt cx="7620001" cy="2062999"/>
                      </a:xfrm>
                    </a:grpSpPr>
                    <a:sp>
                      <a:nvSpPr>
                        <a:cNvPr id="492" name="Rectangle 129"/>
                        <a:cNvSpPr>
                          <a:spLocks noChangeArrowheads="1"/>
                        </a:cNvSpPr>
                      </a:nvSpPr>
                      <a:spPr bwMode="auto">
                        <a:xfrm>
                          <a:off x="4476563" y="7949635"/>
                          <a:ext cx="1950971" cy="153888"/>
                        </a:xfrm>
                        <a:prstGeom prst="rect">
                          <a:avLst/>
                        </a:prstGeom>
                        <a:noFill/>
                        <a:ln w="9525">
                          <a:noFill/>
                          <a:miter lim="800000"/>
                          <a:headEnd/>
                          <a:tailEnd/>
                        </a:ln>
                      </a:spPr>
                      <a:txSp>
                        <a:txBody>
                          <a:bodyPr vert="horz"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lvl="0" defTabSz="914400" fontAlgn="base">
                              <a:spcBef>
                                <a:spcPct val="0"/>
                              </a:spcBef>
                              <a:spcAft>
                                <a:spcPct val="0"/>
                              </a:spcAft>
                            </a:pPr>
                            <a:r>
                              <a:rPr lang="en-US" sz="1000" b="1" dirty="0" smtClean="0">
                                <a:solidFill>
                                  <a:srgbClr val="000000"/>
                                </a:solidFill>
                                <a:latin typeface="Arial" pitchFamily="34" charset="0"/>
                                <a:cs typeface="Arial" pitchFamily="34" charset="0"/>
                              </a:rPr>
                              <a:t>Retention time (minutes)</a:t>
                            </a:r>
                            <a:endParaRPr lang="en-US" sz="1000" b="1" dirty="0" smtClean="0">
                              <a:latin typeface="Arial" pitchFamily="34" charset="0"/>
                              <a:cs typeface="Arial" pitchFamily="34" charset="0"/>
                            </a:endParaRPr>
                          </a:p>
                        </a:txBody>
                        <a:useSpRect/>
                      </a:txSp>
                    </a:sp>
                    <a:sp>
                      <a:nvSpPr>
                        <a:cNvPr id="493" name="Rectangle 128"/>
                        <a:cNvSpPr>
                          <a:spLocks noChangeArrowheads="1"/>
                        </a:cNvSpPr>
                      </a:nvSpPr>
                      <a:spPr bwMode="auto">
                        <a:xfrm>
                          <a:off x="1142999" y="6306040"/>
                          <a:ext cx="153888" cy="1252568"/>
                        </a:xfrm>
                        <a:prstGeom prst="rect">
                          <a:avLst/>
                        </a:prstGeom>
                        <a:noFill/>
                        <a:ln w="9525">
                          <a:noFill/>
                          <a:miter lim="800000"/>
                          <a:headEnd/>
                          <a:tailEnd/>
                        </a:ln>
                      </a:spPr>
                      <a:txSp>
                        <a:txBody>
                          <a:bodyPr vert="vert270"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000" b="1" i="0" u="none" strike="noStrike" cap="none" normalizeH="0" baseline="0" dirty="0" smtClean="0">
                                <a:ln>
                                  <a:noFill/>
                                </a:ln>
                                <a:solidFill>
                                  <a:srgbClr val="000000"/>
                                </a:solidFill>
                                <a:effectLst/>
                                <a:latin typeface="Arial" pitchFamily="34" charset="0"/>
                                <a:cs typeface="Arial" pitchFamily="34" charset="0"/>
                              </a:rPr>
                              <a:t>Absorbance (</a:t>
                            </a:r>
                            <a:r>
                              <a:rPr kumimoji="0" lang="en-US" sz="1000" b="1" i="0" u="none" strike="noStrike" cap="none" normalizeH="0" baseline="0" dirty="0" err="1" smtClean="0">
                                <a:ln>
                                  <a:noFill/>
                                </a:ln>
                                <a:solidFill>
                                  <a:srgbClr val="000000"/>
                                </a:solidFill>
                                <a:effectLst/>
                                <a:latin typeface="Arial" pitchFamily="34" charset="0"/>
                                <a:cs typeface="Arial" pitchFamily="34" charset="0"/>
                              </a:rPr>
                              <a:t>mAU</a:t>
                            </a:r>
                            <a:r>
                              <a:rPr kumimoji="0" lang="en-US" sz="1000" b="1" i="0" u="none" strike="noStrike" cap="none" normalizeH="0" baseline="0" dirty="0" smtClean="0">
                                <a:ln>
                                  <a:noFill/>
                                </a:ln>
                                <a:solidFill>
                                  <a:srgbClr val="000000"/>
                                </a:solidFill>
                                <a:effectLst/>
                                <a:latin typeface="Arial" pitchFamily="34" charset="0"/>
                                <a:cs typeface="Arial" pitchFamily="34" charset="0"/>
                              </a:rPr>
                              <a:t>)</a:t>
                            </a:r>
                            <a:endParaRPr kumimoji="0" lang="en-US" sz="1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2" name="Rectangle 6"/>
                        <a:cNvSpPr>
                          <a:spLocks noChangeArrowheads="1"/>
                        </a:cNvSpPr>
                      </a:nvSpPr>
                      <a:spPr bwMode="auto">
                        <a:xfrm>
                          <a:off x="1591883"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8" name="Line 7"/>
                        <a:cNvSpPr>
                          <a:spLocks noChangeShapeType="1"/>
                        </a:cNvSpPr>
                      </a:nvSpPr>
                      <a:spPr bwMode="auto">
                        <a:xfrm>
                          <a:off x="1666467"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9" name="Line 8"/>
                        <a:cNvSpPr>
                          <a:spLocks noChangeShapeType="1"/>
                        </a:cNvSpPr>
                      </a:nvSpPr>
                      <a:spPr bwMode="auto">
                        <a:xfrm>
                          <a:off x="1752918"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 name="Line 9"/>
                        <a:cNvSpPr>
                          <a:spLocks noChangeShapeType="1"/>
                        </a:cNvSpPr>
                      </a:nvSpPr>
                      <a:spPr bwMode="auto">
                        <a:xfrm>
                          <a:off x="183936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6" name="Line 10"/>
                        <a:cNvSpPr>
                          <a:spLocks noChangeShapeType="1"/>
                        </a:cNvSpPr>
                      </a:nvSpPr>
                      <a:spPr bwMode="auto">
                        <a:xfrm>
                          <a:off x="1925818"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1" name="Line 11"/>
                        <a:cNvSpPr>
                          <a:spLocks noChangeShapeType="1"/>
                        </a:cNvSpPr>
                      </a:nvSpPr>
                      <a:spPr bwMode="auto">
                        <a:xfrm>
                          <a:off x="201226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2" name="Rectangle 12"/>
                        <a:cNvSpPr>
                          <a:spLocks noChangeArrowheads="1"/>
                        </a:cNvSpPr>
                      </a:nvSpPr>
                      <a:spPr bwMode="auto">
                        <a:xfrm>
                          <a:off x="2024133"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23" name="Line 13"/>
                        <a:cNvSpPr>
                          <a:spLocks noChangeShapeType="1"/>
                        </a:cNvSpPr>
                      </a:nvSpPr>
                      <a:spPr bwMode="auto">
                        <a:xfrm>
                          <a:off x="2098717"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4" name="Line 14"/>
                        <a:cNvSpPr>
                          <a:spLocks noChangeShapeType="1"/>
                        </a:cNvSpPr>
                      </a:nvSpPr>
                      <a:spPr bwMode="auto">
                        <a:xfrm>
                          <a:off x="218516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5" name="Line 15"/>
                        <a:cNvSpPr>
                          <a:spLocks noChangeShapeType="1"/>
                        </a:cNvSpPr>
                      </a:nvSpPr>
                      <a:spPr bwMode="auto">
                        <a:xfrm>
                          <a:off x="227161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6" name="Line 16"/>
                        <a:cNvSpPr>
                          <a:spLocks noChangeShapeType="1"/>
                        </a:cNvSpPr>
                      </a:nvSpPr>
                      <a:spPr bwMode="auto">
                        <a:xfrm>
                          <a:off x="2359763"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7" name="Line 17"/>
                        <a:cNvSpPr>
                          <a:spLocks noChangeShapeType="1"/>
                        </a:cNvSpPr>
                      </a:nvSpPr>
                      <a:spPr bwMode="auto">
                        <a:xfrm>
                          <a:off x="244621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8" name="Rectangle 18"/>
                        <a:cNvSpPr>
                          <a:spLocks noChangeArrowheads="1"/>
                        </a:cNvSpPr>
                      </a:nvSpPr>
                      <a:spPr bwMode="auto">
                        <a:xfrm>
                          <a:off x="2458078"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29" name="Line 19"/>
                        <a:cNvSpPr>
                          <a:spLocks noChangeShapeType="1"/>
                        </a:cNvSpPr>
                      </a:nvSpPr>
                      <a:spPr bwMode="auto">
                        <a:xfrm>
                          <a:off x="2532662"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 name="Line 20"/>
                        <a:cNvSpPr>
                          <a:spLocks noChangeShapeType="1"/>
                        </a:cNvSpPr>
                      </a:nvSpPr>
                      <a:spPr bwMode="auto">
                        <a:xfrm>
                          <a:off x="261911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 name="Line 21"/>
                        <a:cNvSpPr>
                          <a:spLocks noChangeShapeType="1"/>
                        </a:cNvSpPr>
                      </a:nvSpPr>
                      <a:spPr bwMode="auto">
                        <a:xfrm>
                          <a:off x="270556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60" name="Line 22"/>
                        <a:cNvSpPr>
                          <a:spLocks noChangeShapeType="1"/>
                        </a:cNvSpPr>
                      </a:nvSpPr>
                      <a:spPr bwMode="auto">
                        <a:xfrm>
                          <a:off x="279201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61" name="Line 23"/>
                        <a:cNvSpPr>
                          <a:spLocks noChangeShapeType="1"/>
                        </a:cNvSpPr>
                      </a:nvSpPr>
                      <a:spPr bwMode="auto">
                        <a:xfrm>
                          <a:off x="287846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62" name="Rectangle 24"/>
                        <a:cNvSpPr>
                          <a:spLocks noChangeArrowheads="1"/>
                        </a:cNvSpPr>
                      </a:nvSpPr>
                      <a:spPr bwMode="auto">
                        <a:xfrm>
                          <a:off x="2890328"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63" name="Line 25"/>
                        <a:cNvSpPr>
                          <a:spLocks noChangeShapeType="1"/>
                        </a:cNvSpPr>
                      </a:nvSpPr>
                      <a:spPr bwMode="auto">
                        <a:xfrm>
                          <a:off x="2964912"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64" name="Line 26"/>
                        <a:cNvSpPr>
                          <a:spLocks noChangeShapeType="1"/>
                        </a:cNvSpPr>
                      </a:nvSpPr>
                      <a:spPr bwMode="auto">
                        <a:xfrm>
                          <a:off x="305136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65" name="Line 27"/>
                        <a:cNvSpPr>
                          <a:spLocks noChangeShapeType="1"/>
                        </a:cNvSpPr>
                      </a:nvSpPr>
                      <a:spPr bwMode="auto">
                        <a:xfrm>
                          <a:off x="313781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69" name="Line 28"/>
                        <a:cNvSpPr>
                          <a:spLocks noChangeShapeType="1"/>
                        </a:cNvSpPr>
                      </a:nvSpPr>
                      <a:spPr bwMode="auto">
                        <a:xfrm>
                          <a:off x="322595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0" name="Line 29"/>
                        <a:cNvSpPr>
                          <a:spLocks noChangeShapeType="1"/>
                        </a:cNvSpPr>
                      </a:nvSpPr>
                      <a:spPr bwMode="auto">
                        <a:xfrm>
                          <a:off x="331240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1" name="Rectangle 30"/>
                        <a:cNvSpPr>
                          <a:spLocks noChangeArrowheads="1"/>
                        </a:cNvSpPr>
                      </a:nvSpPr>
                      <a:spPr bwMode="auto">
                        <a:xfrm>
                          <a:off x="3324273"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72" name="Line 31"/>
                        <a:cNvSpPr>
                          <a:spLocks noChangeShapeType="1"/>
                        </a:cNvSpPr>
                      </a:nvSpPr>
                      <a:spPr bwMode="auto">
                        <a:xfrm>
                          <a:off x="3398857"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3" name="Line 32"/>
                        <a:cNvSpPr>
                          <a:spLocks noChangeShapeType="1"/>
                        </a:cNvSpPr>
                      </a:nvSpPr>
                      <a:spPr bwMode="auto">
                        <a:xfrm>
                          <a:off x="348530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4" name="Line 33"/>
                        <a:cNvSpPr>
                          <a:spLocks noChangeShapeType="1"/>
                        </a:cNvSpPr>
                      </a:nvSpPr>
                      <a:spPr bwMode="auto">
                        <a:xfrm>
                          <a:off x="357175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5" name="Line 34"/>
                        <a:cNvSpPr>
                          <a:spLocks noChangeShapeType="1"/>
                        </a:cNvSpPr>
                      </a:nvSpPr>
                      <a:spPr bwMode="auto">
                        <a:xfrm>
                          <a:off x="365820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6" name="Line 35"/>
                        <a:cNvSpPr>
                          <a:spLocks noChangeShapeType="1"/>
                        </a:cNvSpPr>
                      </a:nvSpPr>
                      <a:spPr bwMode="auto">
                        <a:xfrm>
                          <a:off x="374465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7" name="Rectangle 36"/>
                        <a:cNvSpPr>
                          <a:spLocks noChangeArrowheads="1"/>
                        </a:cNvSpPr>
                      </a:nvSpPr>
                      <a:spPr bwMode="auto">
                        <a:xfrm>
                          <a:off x="3756523"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78" name="Line 37"/>
                        <a:cNvSpPr>
                          <a:spLocks noChangeShapeType="1"/>
                        </a:cNvSpPr>
                      </a:nvSpPr>
                      <a:spPr bwMode="auto">
                        <a:xfrm>
                          <a:off x="3831107"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79" name="Line 38"/>
                        <a:cNvSpPr>
                          <a:spLocks noChangeShapeType="1"/>
                        </a:cNvSpPr>
                      </a:nvSpPr>
                      <a:spPr bwMode="auto">
                        <a:xfrm>
                          <a:off x="391755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0" name="Line 39"/>
                        <a:cNvSpPr>
                          <a:spLocks noChangeShapeType="1"/>
                        </a:cNvSpPr>
                      </a:nvSpPr>
                      <a:spPr bwMode="auto">
                        <a:xfrm>
                          <a:off x="400570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1" name="Line 40"/>
                        <a:cNvSpPr>
                          <a:spLocks noChangeShapeType="1"/>
                        </a:cNvSpPr>
                      </a:nvSpPr>
                      <a:spPr bwMode="auto">
                        <a:xfrm>
                          <a:off x="409215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2" name="Line 41"/>
                        <a:cNvSpPr>
                          <a:spLocks noChangeShapeType="1"/>
                        </a:cNvSpPr>
                      </a:nvSpPr>
                      <a:spPr bwMode="auto">
                        <a:xfrm>
                          <a:off x="417860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3" name="Rectangle 42"/>
                        <a:cNvSpPr>
                          <a:spLocks noChangeArrowheads="1"/>
                        </a:cNvSpPr>
                      </a:nvSpPr>
                      <a:spPr bwMode="auto">
                        <a:xfrm>
                          <a:off x="4190468"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84" name="Line 43"/>
                        <a:cNvSpPr>
                          <a:spLocks noChangeShapeType="1"/>
                        </a:cNvSpPr>
                      </a:nvSpPr>
                      <a:spPr bwMode="auto">
                        <a:xfrm>
                          <a:off x="4265052"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5" name="Line 44"/>
                        <a:cNvSpPr>
                          <a:spLocks noChangeShapeType="1"/>
                        </a:cNvSpPr>
                      </a:nvSpPr>
                      <a:spPr bwMode="auto">
                        <a:xfrm>
                          <a:off x="435150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6" name="Line 45"/>
                        <a:cNvSpPr>
                          <a:spLocks noChangeShapeType="1"/>
                        </a:cNvSpPr>
                      </a:nvSpPr>
                      <a:spPr bwMode="auto">
                        <a:xfrm>
                          <a:off x="443795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7" name="Line 46"/>
                        <a:cNvSpPr>
                          <a:spLocks noChangeShapeType="1"/>
                        </a:cNvSpPr>
                      </a:nvSpPr>
                      <a:spPr bwMode="auto">
                        <a:xfrm>
                          <a:off x="452440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8" name="Line 47"/>
                        <a:cNvSpPr>
                          <a:spLocks noChangeShapeType="1"/>
                        </a:cNvSpPr>
                      </a:nvSpPr>
                      <a:spPr bwMode="auto">
                        <a:xfrm>
                          <a:off x="461085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89" name="Rectangle 48"/>
                        <a:cNvSpPr>
                          <a:spLocks noChangeArrowheads="1"/>
                        </a:cNvSpPr>
                      </a:nvSpPr>
                      <a:spPr bwMode="auto">
                        <a:xfrm>
                          <a:off x="4622717" y="7766069"/>
                          <a:ext cx="18828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90" name="Line 49"/>
                        <a:cNvSpPr>
                          <a:spLocks noChangeShapeType="1"/>
                        </a:cNvSpPr>
                      </a:nvSpPr>
                      <a:spPr bwMode="auto">
                        <a:xfrm>
                          <a:off x="4697302"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91" name="Line 50"/>
                        <a:cNvSpPr>
                          <a:spLocks noChangeShapeType="1"/>
                        </a:cNvSpPr>
                      </a:nvSpPr>
                      <a:spPr bwMode="auto">
                        <a:xfrm>
                          <a:off x="478375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24" name="Line 51"/>
                        <a:cNvSpPr>
                          <a:spLocks noChangeShapeType="1"/>
                        </a:cNvSpPr>
                      </a:nvSpPr>
                      <a:spPr bwMode="auto">
                        <a:xfrm>
                          <a:off x="487189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25" name="Line 52"/>
                        <a:cNvSpPr>
                          <a:spLocks noChangeShapeType="1"/>
                        </a:cNvSpPr>
                      </a:nvSpPr>
                      <a:spPr bwMode="auto">
                        <a:xfrm>
                          <a:off x="495834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026" name="Line 53"/>
                        <a:cNvSpPr>
                          <a:spLocks noChangeShapeType="1"/>
                        </a:cNvSpPr>
                      </a:nvSpPr>
                      <a:spPr bwMode="auto">
                        <a:xfrm>
                          <a:off x="504479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88" name="Rectangle 54"/>
                        <a:cNvSpPr>
                          <a:spLocks noChangeArrowheads="1"/>
                        </a:cNvSpPr>
                      </a:nvSpPr>
                      <a:spPr bwMode="auto">
                        <a:xfrm>
                          <a:off x="5034627"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289" name="Line 55"/>
                        <a:cNvSpPr>
                          <a:spLocks noChangeShapeType="1"/>
                        </a:cNvSpPr>
                      </a:nvSpPr>
                      <a:spPr bwMode="auto">
                        <a:xfrm>
                          <a:off x="5131247"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0" name="Line 56"/>
                        <a:cNvSpPr>
                          <a:spLocks noChangeShapeType="1"/>
                        </a:cNvSpPr>
                      </a:nvSpPr>
                      <a:spPr bwMode="auto">
                        <a:xfrm>
                          <a:off x="521769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1" name="Line 57"/>
                        <a:cNvSpPr>
                          <a:spLocks noChangeShapeType="1"/>
                        </a:cNvSpPr>
                      </a:nvSpPr>
                      <a:spPr bwMode="auto">
                        <a:xfrm>
                          <a:off x="530414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2" name="Line 58"/>
                        <a:cNvSpPr>
                          <a:spLocks noChangeShapeType="1"/>
                        </a:cNvSpPr>
                      </a:nvSpPr>
                      <a:spPr bwMode="auto">
                        <a:xfrm>
                          <a:off x="539059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3" name="Line 59"/>
                        <a:cNvSpPr>
                          <a:spLocks noChangeShapeType="1"/>
                        </a:cNvSpPr>
                      </a:nvSpPr>
                      <a:spPr bwMode="auto">
                        <a:xfrm>
                          <a:off x="547704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4" name="Rectangle 60"/>
                        <a:cNvSpPr>
                          <a:spLocks noChangeArrowheads="1"/>
                        </a:cNvSpPr>
                      </a:nvSpPr>
                      <a:spPr bwMode="auto">
                        <a:xfrm>
                          <a:off x="5466876"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11.3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295" name="Line 61"/>
                        <a:cNvSpPr>
                          <a:spLocks noChangeShapeType="1"/>
                        </a:cNvSpPr>
                      </a:nvSpPr>
                      <a:spPr bwMode="auto">
                        <a:xfrm>
                          <a:off x="5563497"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6" name="Line 62"/>
                        <a:cNvSpPr>
                          <a:spLocks noChangeShapeType="1"/>
                        </a:cNvSpPr>
                      </a:nvSpPr>
                      <a:spPr bwMode="auto">
                        <a:xfrm>
                          <a:off x="565164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7" name="Line 63"/>
                        <a:cNvSpPr>
                          <a:spLocks noChangeShapeType="1"/>
                        </a:cNvSpPr>
                      </a:nvSpPr>
                      <a:spPr bwMode="auto">
                        <a:xfrm>
                          <a:off x="573809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8" name="Line 64"/>
                        <a:cNvSpPr>
                          <a:spLocks noChangeShapeType="1"/>
                        </a:cNvSpPr>
                      </a:nvSpPr>
                      <a:spPr bwMode="auto">
                        <a:xfrm>
                          <a:off x="582454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299" name="Line 65"/>
                        <a:cNvSpPr>
                          <a:spLocks noChangeShapeType="1"/>
                        </a:cNvSpPr>
                      </a:nvSpPr>
                      <a:spPr bwMode="auto">
                        <a:xfrm>
                          <a:off x="591099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0" name="Rectangle 66"/>
                        <a:cNvSpPr>
                          <a:spLocks noChangeArrowheads="1"/>
                        </a:cNvSpPr>
                      </a:nvSpPr>
                      <a:spPr bwMode="auto">
                        <a:xfrm>
                          <a:off x="5900821"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01" name="Line 67"/>
                        <a:cNvSpPr>
                          <a:spLocks noChangeShapeType="1"/>
                        </a:cNvSpPr>
                      </a:nvSpPr>
                      <a:spPr bwMode="auto">
                        <a:xfrm>
                          <a:off x="5997442"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2" name="Line 68"/>
                        <a:cNvSpPr>
                          <a:spLocks noChangeShapeType="1"/>
                        </a:cNvSpPr>
                      </a:nvSpPr>
                      <a:spPr bwMode="auto">
                        <a:xfrm>
                          <a:off x="608389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3" name="Line 69"/>
                        <a:cNvSpPr>
                          <a:spLocks noChangeShapeType="1"/>
                        </a:cNvSpPr>
                      </a:nvSpPr>
                      <a:spPr bwMode="auto">
                        <a:xfrm>
                          <a:off x="617034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4" name="Line 70"/>
                        <a:cNvSpPr>
                          <a:spLocks noChangeShapeType="1"/>
                        </a:cNvSpPr>
                      </a:nvSpPr>
                      <a:spPr bwMode="auto">
                        <a:xfrm>
                          <a:off x="6256791"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5" name="Line 71"/>
                        <a:cNvSpPr>
                          <a:spLocks noChangeShapeType="1"/>
                        </a:cNvSpPr>
                      </a:nvSpPr>
                      <a:spPr bwMode="auto">
                        <a:xfrm>
                          <a:off x="634324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6" name="Rectangle 72"/>
                        <a:cNvSpPr>
                          <a:spLocks noChangeArrowheads="1"/>
                        </a:cNvSpPr>
                      </a:nvSpPr>
                      <a:spPr bwMode="auto">
                        <a:xfrm>
                          <a:off x="6333071"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07" name="Line 73"/>
                        <a:cNvSpPr>
                          <a:spLocks noChangeShapeType="1"/>
                        </a:cNvSpPr>
                      </a:nvSpPr>
                      <a:spPr bwMode="auto">
                        <a:xfrm>
                          <a:off x="6429691"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8" name="Line 74"/>
                        <a:cNvSpPr>
                          <a:spLocks noChangeShapeType="1"/>
                        </a:cNvSpPr>
                      </a:nvSpPr>
                      <a:spPr bwMode="auto">
                        <a:xfrm>
                          <a:off x="651783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09" name="Line 75"/>
                        <a:cNvSpPr>
                          <a:spLocks noChangeShapeType="1"/>
                        </a:cNvSpPr>
                      </a:nvSpPr>
                      <a:spPr bwMode="auto">
                        <a:xfrm>
                          <a:off x="660428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0" name="Line 76"/>
                        <a:cNvSpPr>
                          <a:spLocks noChangeShapeType="1"/>
                        </a:cNvSpPr>
                      </a:nvSpPr>
                      <a:spPr bwMode="auto">
                        <a:xfrm>
                          <a:off x="6690736"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1" name="Line 77"/>
                        <a:cNvSpPr>
                          <a:spLocks noChangeShapeType="1"/>
                        </a:cNvSpPr>
                      </a:nvSpPr>
                      <a:spPr bwMode="auto">
                        <a:xfrm>
                          <a:off x="677718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2" name="Rectangle 78"/>
                        <a:cNvSpPr>
                          <a:spLocks noChangeArrowheads="1"/>
                        </a:cNvSpPr>
                      </a:nvSpPr>
                      <a:spPr bwMode="auto">
                        <a:xfrm>
                          <a:off x="6767016"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13" name="Line 79"/>
                        <a:cNvSpPr>
                          <a:spLocks noChangeShapeType="1"/>
                        </a:cNvSpPr>
                      </a:nvSpPr>
                      <a:spPr bwMode="auto">
                        <a:xfrm>
                          <a:off x="6863636"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5" name="Line 80"/>
                        <a:cNvSpPr>
                          <a:spLocks noChangeShapeType="1"/>
                        </a:cNvSpPr>
                      </a:nvSpPr>
                      <a:spPr bwMode="auto">
                        <a:xfrm>
                          <a:off x="695008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6" name="Line 81"/>
                        <a:cNvSpPr>
                          <a:spLocks noChangeShapeType="1"/>
                        </a:cNvSpPr>
                      </a:nvSpPr>
                      <a:spPr bwMode="auto">
                        <a:xfrm>
                          <a:off x="7036536"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7" name="Line 82"/>
                        <a:cNvSpPr>
                          <a:spLocks noChangeShapeType="1"/>
                        </a:cNvSpPr>
                      </a:nvSpPr>
                      <a:spPr bwMode="auto">
                        <a:xfrm>
                          <a:off x="712298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8" name="Line 83"/>
                        <a:cNvSpPr>
                          <a:spLocks noChangeShapeType="1"/>
                        </a:cNvSpPr>
                      </a:nvSpPr>
                      <a:spPr bwMode="auto">
                        <a:xfrm>
                          <a:off x="7209436"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19" name="Rectangle 84"/>
                        <a:cNvSpPr>
                          <a:spLocks noChangeArrowheads="1"/>
                        </a:cNvSpPr>
                      </a:nvSpPr>
                      <a:spPr bwMode="auto">
                        <a:xfrm>
                          <a:off x="7200961"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20" name="Line 85"/>
                        <a:cNvSpPr>
                          <a:spLocks noChangeShapeType="1"/>
                        </a:cNvSpPr>
                      </a:nvSpPr>
                      <a:spPr bwMode="auto">
                        <a:xfrm>
                          <a:off x="7297581"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1" name="Line 86"/>
                        <a:cNvSpPr>
                          <a:spLocks noChangeShapeType="1"/>
                        </a:cNvSpPr>
                      </a:nvSpPr>
                      <a:spPr bwMode="auto">
                        <a:xfrm>
                          <a:off x="738403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2" name="Line 87"/>
                        <a:cNvSpPr>
                          <a:spLocks noChangeShapeType="1"/>
                        </a:cNvSpPr>
                      </a:nvSpPr>
                      <a:spPr bwMode="auto">
                        <a:xfrm>
                          <a:off x="7470481"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3" name="Line 88"/>
                        <a:cNvSpPr>
                          <a:spLocks noChangeShapeType="1"/>
                        </a:cNvSpPr>
                      </a:nvSpPr>
                      <a:spPr bwMode="auto">
                        <a:xfrm>
                          <a:off x="755693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4" name="Line 89"/>
                        <a:cNvSpPr>
                          <a:spLocks noChangeShapeType="1"/>
                        </a:cNvSpPr>
                      </a:nvSpPr>
                      <a:spPr bwMode="auto">
                        <a:xfrm>
                          <a:off x="7643381"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5" name="Rectangle 90"/>
                        <a:cNvSpPr>
                          <a:spLocks noChangeArrowheads="1"/>
                        </a:cNvSpPr>
                      </a:nvSpPr>
                      <a:spPr bwMode="auto">
                        <a:xfrm>
                          <a:off x="7633211"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26" name="Line 91"/>
                        <a:cNvSpPr>
                          <a:spLocks noChangeShapeType="1"/>
                        </a:cNvSpPr>
                      </a:nvSpPr>
                      <a:spPr bwMode="auto">
                        <a:xfrm>
                          <a:off x="7729832"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7" name="Line 92"/>
                        <a:cNvSpPr>
                          <a:spLocks noChangeShapeType="1"/>
                        </a:cNvSpPr>
                      </a:nvSpPr>
                      <a:spPr bwMode="auto">
                        <a:xfrm>
                          <a:off x="7816281"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8" name="Line 93"/>
                        <a:cNvSpPr>
                          <a:spLocks noChangeShapeType="1"/>
                        </a:cNvSpPr>
                      </a:nvSpPr>
                      <a:spPr bwMode="auto">
                        <a:xfrm>
                          <a:off x="790273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29" name="Line 94"/>
                        <a:cNvSpPr>
                          <a:spLocks noChangeShapeType="1"/>
                        </a:cNvSpPr>
                      </a:nvSpPr>
                      <a:spPr bwMode="auto">
                        <a:xfrm>
                          <a:off x="7989181"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30" name="Line 95"/>
                        <a:cNvSpPr>
                          <a:spLocks noChangeShapeType="1"/>
                        </a:cNvSpPr>
                      </a:nvSpPr>
                      <a:spPr bwMode="auto">
                        <a:xfrm>
                          <a:off x="8075632"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31" name="Rectangle 96"/>
                        <a:cNvSpPr>
                          <a:spLocks noChangeArrowheads="1"/>
                        </a:cNvSpPr>
                      </a:nvSpPr>
                      <a:spPr bwMode="auto">
                        <a:xfrm>
                          <a:off x="8067156"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32" name="Line 97"/>
                        <a:cNvSpPr>
                          <a:spLocks noChangeShapeType="1"/>
                        </a:cNvSpPr>
                      </a:nvSpPr>
                      <a:spPr bwMode="auto">
                        <a:xfrm>
                          <a:off x="8163777"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33" name="Line 98"/>
                        <a:cNvSpPr>
                          <a:spLocks noChangeShapeType="1"/>
                        </a:cNvSpPr>
                      </a:nvSpPr>
                      <a:spPr bwMode="auto">
                        <a:xfrm>
                          <a:off x="8250226"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34" name="Line 99"/>
                        <a:cNvSpPr>
                          <a:spLocks noChangeShapeType="1"/>
                        </a:cNvSpPr>
                      </a:nvSpPr>
                      <a:spPr bwMode="auto">
                        <a:xfrm>
                          <a:off x="833667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48" name="Line 100"/>
                        <a:cNvSpPr>
                          <a:spLocks noChangeShapeType="1"/>
                        </a:cNvSpPr>
                      </a:nvSpPr>
                      <a:spPr bwMode="auto">
                        <a:xfrm>
                          <a:off x="8423126"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49" name="Line 101"/>
                        <a:cNvSpPr>
                          <a:spLocks noChangeShapeType="1"/>
                        </a:cNvSpPr>
                      </a:nvSpPr>
                      <a:spPr bwMode="auto">
                        <a:xfrm>
                          <a:off x="8509577" y="7715263"/>
                          <a:ext cx="1695" cy="22580"/>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50" name="Rectangle 102"/>
                        <a:cNvSpPr>
                          <a:spLocks noChangeArrowheads="1"/>
                        </a:cNvSpPr>
                      </a:nvSpPr>
                      <a:spPr bwMode="auto">
                        <a:xfrm>
                          <a:off x="8499406" y="7766069"/>
                          <a:ext cx="263594"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52" name="Line 103"/>
                        <a:cNvSpPr>
                          <a:spLocks noChangeShapeType="1"/>
                        </a:cNvSpPr>
                      </a:nvSpPr>
                      <a:spPr bwMode="auto">
                        <a:xfrm>
                          <a:off x="8596026" y="7715263"/>
                          <a:ext cx="1695" cy="50807"/>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53" name="Rectangle 104"/>
                        <a:cNvSpPr>
                          <a:spLocks noChangeArrowheads="1"/>
                        </a:cNvSpPr>
                      </a:nvSpPr>
                      <a:spPr bwMode="auto">
                        <a:xfrm>
                          <a:off x="1666467" y="6093212"/>
                          <a:ext cx="6929559" cy="1622051"/>
                        </a:xfrm>
                        <a:prstGeom prst="rect">
                          <a:avLst/>
                        </a:prstGeom>
                        <a:noFill/>
                        <a:ln w="3175">
                          <a:solidFill>
                            <a:srgbClr val="000000"/>
                          </a:solidFill>
                          <a:prstDash val="solid"/>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354" name="Rectangle 105"/>
                        <a:cNvSpPr>
                          <a:spLocks noChangeArrowheads="1"/>
                        </a:cNvSpPr>
                      </a:nvSpPr>
                      <a:spPr bwMode="auto">
                        <a:xfrm>
                          <a:off x="1390247" y="7664456"/>
                          <a:ext cx="196841"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55" name="Line 106"/>
                        <a:cNvSpPr>
                          <a:spLocks noChangeShapeType="1"/>
                        </a:cNvSpPr>
                      </a:nvSpPr>
                      <a:spPr bwMode="auto">
                        <a:xfrm flipH="1">
                          <a:off x="1620700" y="7715263"/>
                          <a:ext cx="45767"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57" name="Line 107"/>
                        <a:cNvSpPr>
                          <a:spLocks noChangeShapeType="1"/>
                        </a:cNvSpPr>
                      </a:nvSpPr>
                      <a:spPr bwMode="auto">
                        <a:xfrm flipH="1">
                          <a:off x="1646126" y="7641875"/>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58" name="Line 108"/>
                        <a:cNvSpPr>
                          <a:spLocks noChangeShapeType="1"/>
                        </a:cNvSpPr>
                      </a:nvSpPr>
                      <a:spPr bwMode="auto">
                        <a:xfrm flipH="1">
                          <a:off x="1620700" y="7568489"/>
                          <a:ext cx="45767"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61" name="Line 109"/>
                        <a:cNvSpPr>
                          <a:spLocks noChangeShapeType="1"/>
                        </a:cNvSpPr>
                      </a:nvSpPr>
                      <a:spPr bwMode="auto">
                        <a:xfrm flipH="1">
                          <a:off x="1646126" y="7493219"/>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62" name="Line 110"/>
                        <a:cNvSpPr>
                          <a:spLocks noChangeShapeType="1"/>
                        </a:cNvSpPr>
                      </a:nvSpPr>
                      <a:spPr bwMode="auto">
                        <a:xfrm flipH="1">
                          <a:off x="1646126" y="7419831"/>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63" name="Line 111"/>
                        <a:cNvSpPr>
                          <a:spLocks noChangeShapeType="1"/>
                        </a:cNvSpPr>
                      </a:nvSpPr>
                      <a:spPr bwMode="auto">
                        <a:xfrm flipH="1">
                          <a:off x="1646126" y="7346444"/>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65" name="Line 112"/>
                        <a:cNvSpPr>
                          <a:spLocks noChangeShapeType="1"/>
                        </a:cNvSpPr>
                      </a:nvSpPr>
                      <a:spPr bwMode="auto">
                        <a:xfrm flipH="1">
                          <a:off x="1646126" y="7273056"/>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66" name="Rectangle 113"/>
                        <a:cNvSpPr>
                          <a:spLocks noChangeArrowheads="1"/>
                        </a:cNvSpPr>
                      </a:nvSpPr>
                      <a:spPr bwMode="auto">
                        <a:xfrm>
                          <a:off x="1417367" y="7146981"/>
                          <a:ext cx="150625"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67" name="Line 114"/>
                        <a:cNvSpPr>
                          <a:spLocks noChangeShapeType="1"/>
                        </a:cNvSpPr>
                      </a:nvSpPr>
                      <a:spPr bwMode="auto">
                        <a:xfrm flipH="1">
                          <a:off x="1620700" y="7199669"/>
                          <a:ext cx="45767"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68" name="Line 115"/>
                        <a:cNvSpPr>
                          <a:spLocks noChangeShapeType="1"/>
                        </a:cNvSpPr>
                      </a:nvSpPr>
                      <a:spPr bwMode="auto">
                        <a:xfrm flipH="1">
                          <a:off x="1646126" y="7124400"/>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69" name="Line 116"/>
                        <a:cNvSpPr>
                          <a:spLocks noChangeShapeType="1"/>
                        </a:cNvSpPr>
                      </a:nvSpPr>
                      <a:spPr bwMode="auto">
                        <a:xfrm flipH="1">
                          <a:off x="1646126" y="7051012"/>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0" name="Line 117"/>
                        <a:cNvSpPr>
                          <a:spLocks noChangeShapeType="1"/>
                        </a:cNvSpPr>
                      </a:nvSpPr>
                      <a:spPr bwMode="auto">
                        <a:xfrm flipH="1">
                          <a:off x="1646126" y="6977625"/>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1" name="Line 118"/>
                        <a:cNvSpPr>
                          <a:spLocks noChangeShapeType="1"/>
                        </a:cNvSpPr>
                      </a:nvSpPr>
                      <a:spPr bwMode="auto">
                        <a:xfrm flipH="1">
                          <a:off x="1646126" y="6904237"/>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2" name="Rectangle 119"/>
                        <a:cNvSpPr>
                          <a:spLocks noChangeArrowheads="1"/>
                        </a:cNvSpPr>
                      </a:nvSpPr>
                      <a:spPr bwMode="auto">
                        <a:xfrm>
                          <a:off x="1417367" y="6778162"/>
                          <a:ext cx="150625"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373" name="Line 120"/>
                        <a:cNvSpPr>
                          <a:spLocks noChangeShapeType="1"/>
                        </a:cNvSpPr>
                      </a:nvSpPr>
                      <a:spPr bwMode="auto">
                        <a:xfrm flipH="1">
                          <a:off x="1620700" y="6830850"/>
                          <a:ext cx="45767"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4" name="Line 121"/>
                        <a:cNvSpPr>
                          <a:spLocks noChangeShapeType="1"/>
                        </a:cNvSpPr>
                      </a:nvSpPr>
                      <a:spPr bwMode="auto">
                        <a:xfrm flipH="1">
                          <a:off x="1646126" y="6755581"/>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5" name="Line 122"/>
                        <a:cNvSpPr>
                          <a:spLocks noChangeShapeType="1"/>
                        </a:cNvSpPr>
                      </a:nvSpPr>
                      <a:spPr bwMode="auto">
                        <a:xfrm flipH="1">
                          <a:off x="1646126" y="6682193"/>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6" name="Line 123"/>
                        <a:cNvSpPr>
                          <a:spLocks noChangeShapeType="1"/>
                        </a:cNvSpPr>
                      </a:nvSpPr>
                      <a:spPr bwMode="auto">
                        <a:xfrm flipH="1">
                          <a:off x="1646126" y="6608806"/>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7" name="Line 124"/>
                        <a:cNvSpPr>
                          <a:spLocks noChangeShapeType="1"/>
                        </a:cNvSpPr>
                      </a:nvSpPr>
                      <a:spPr bwMode="auto">
                        <a:xfrm flipH="1">
                          <a:off x="1646126" y="6535419"/>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49" name="Rectangle 125"/>
                        <a:cNvSpPr>
                          <a:spLocks noChangeArrowheads="1"/>
                        </a:cNvSpPr>
                      </a:nvSpPr>
                      <a:spPr bwMode="auto">
                        <a:xfrm>
                          <a:off x="1417367" y="6409343"/>
                          <a:ext cx="150625"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1150" name="Line 126"/>
                        <a:cNvSpPr>
                          <a:spLocks noChangeShapeType="1"/>
                        </a:cNvSpPr>
                      </a:nvSpPr>
                      <a:spPr bwMode="auto">
                        <a:xfrm flipH="1">
                          <a:off x="1620700" y="6462032"/>
                          <a:ext cx="45767"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151" name="Line 127"/>
                        <a:cNvSpPr>
                          <a:spLocks noChangeShapeType="1"/>
                        </a:cNvSpPr>
                      </a:nvSpPr>
                      <a:spPr bwMode="auto">
                        <a:xfrm flipH="1">
                          <a:off x="1646126" y="6386762"/>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8" name="Line 128"/>
                        <a:cNvSpPr>
                          <a:spLocks noChangeShapeType="1"/>
                        </a:cNvSpPr>
                      </a:nvSpPr>
                      <a:spPr bwMode="auto">
                        <a:xfrm flipH="1">
                          <a:off x="1646126" y="6313374"/>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79" name="Line 129"/>
                        <a:cNvSpPr>
                          <a:spLocks noChangeShapeType="1"/>
                        </a:cNvSpPr>
                      </a:nvSpPr>
                      <a:spPr bwMode="auto">
                        <a:xfrm flipH="1">
                          <a:off x="1646126" y="6239987"/>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80" name="Line 130"/>
                        <a:cNvSpPr>
                          <a:spLocks noChangeShapeType="1"/>
                        </a:cNvSpPr>
                      </a:nvSpPr>
                      <a:spPr bwMode="auto">
                        <a:xfrm flipH="1">
                          <a:off x="1646126" y="6166599"/>
                          <a:ext cx="20341"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381" name="Rectangle 131"/>
                        <a:cNvSpPr>
                          <a:spLocks noChangeArrowheads="1"/>
                        </a:cNvSpPr>
                      </a:nvSpPr>
                      <a:spPr bwMode="auto">
                        <a:xfrm>
                          <a:off x="1371600" y="6040524"/>
                          <a:ext cx="225938" cy="182410"/>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100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308" name="Line 149"/>
                        <a:cNvSpPr>
                          <a:spLocks noChangeShapeType="1"/>
                        </a:cNvSpPr>
                      </a:nvSpPr>
                      <a:spPr bwMode="auto">
                        <a:xfrm flipH="1">
                          <a:off x="1620700" y="6093212"/>
                          <a:ext cx="45767" cy="1881"/>
                        </a:xfrm>
                        <a:prstGeom prst="line">
                          <a:avLst/>
                        </a:pr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10" name="Freeform 151"/>
                        <a:cNvSpPr>
                          <a:spLocks/>
                        </a:cNvSpPr>
                      </a:nvSpPr>
                      <a:spPr bwMode="auto">
                        <a:xfrm>
                          <a:off x="1666467" y="6973862"/>
                          <a:ext cx="415298" cy="269087"/>
                        </a:xfrm>
                        <a:custGeom>
                          <a:avLst/>
                          <a:gdLst/>
                          <a:ahLst/>
                          <a:cxnLst>
                            <a:cxn ang="0">
                              <a:pos x="11" y="143"/>
                            </a:cxn>
                            <a:cxn ang="0">
                              <a:pos x="39" y="143"/>
                            </a:cxn>
                            <a:cxn ang="0">
                              <a:pos x="74" y="143"/>
                            </a:cxn>
                            <a:cxn ang="0">
                              <a:pos x="99" y="143"/>
                            </a:cxn>
                            <a:cxn ang="0">
                              <a:pos x="112" y="143"/>
                            </a:cxn>
                            <a:cxn ang="0">
                              <a:pos x="123" y="143"/>
                            </a:cxn>
                            <a:cxn ang="0">
                              <a:pos x="134" y="143"/>
                            </a:cxn>
                            <a:cxn ang="0">
                              <a:pos x="138" y="143"/>
                            </a:cxn>
                            <a:cxn ang="0">
                              <a:pos x="140" y="143"/>
                            </a:cxn>
                            <a:cxn ang="0">
                              <a:pos x="141" y="142"/>
                            </a:cxn>
                            <a:cxn ang="0">
                              <a:pos x="143" y="142"/>
                            </a:cxn>
                            <a:cxn ang="0">
                              <a:pos x="145" y="142"/>
                            </a:cxn>
                            <a:cxn ang="0">
                              <a:pos x="147" y="141"/>
                            </a:cxn>
                            <a:cxn ang="0">
                              <a:pos x="148" y="140"/>
                            </a:cxn>
                            <a:cxn ang="0">
                              <a:pos x="150" y="139"/>
                            </a:cxn>
                            <a:cxn ang="0">
                              <a:pos x="152" y="137"/>
                            </a:cxn>
                            <a:cxn ang="0">
                              <a:pos x="153" y="136"/>
                            </a:cxn>
                            <a:cxn ang="0">
                              <a:pos x="155" y="133"/>
                            </a:cxn>
                            <a:cxn ang="0">
                              <a:pos x="157" y="130"/>
                            </a:cxn>
                            <a:cxn ang="0">
                              <a:pos x="160" y="123"/>
                            </a:cxn>
                            <a:cxn ang="0">
                              <a:pos x="163" y="119"/>
                            </a:cxn>
                            <a:cxn ang="0">
                              <a:pos x="165" y="116"/>
                            </a:cxn>
                            <a:cxn ang="0">
                              <a:pos x="169" y="113"/>
                            </a:cxn>
                            <a:cxn ang="0">
                              <a:pos x="172" y="111"/>
                            </a:cxn>
                            <a:cxn ang="0">
                              <a:pos x="173" y="109"/>
                            </a:cxn>
                            <a:cxn ang="0">
                              <a:pos x="174" y="107"/>
                            </a:cxn>
                            <a:cxn ang="0">
                              <a:pos x="175" y="105"/>
                            </a:cxn>
                            <a:cxn ang="0">
                              <a:pos x="176" y="102"/>
                            </a:cxn>
                            <a:cxn ang="0">
                              <a:pos x="177" y="96"/>
                            </a:cxn>
                            <a:cxn ang="0">
                              <a:pos x="178" y="89"/>
                            </a:cxn>
                            <a:cxn ang="0">
                              <a:pos x="179" y="74"/>
                            </a:cxn>
                            <a:cxn ang="0">
                              <a:pos x="182" y="47"/>
                            </a:cxn>
                            <a:cxn ang="0">
                              <a:pos x="185" y="21"/>
                            </a:cxn>
                            <a:cxn ang="0">
                              <a:pos x="187" y="7"/>
                            </a:cxn>
                            <a:cxn ang="0">
                              <a:pos x="189" y="1"/>
                            </a:cxn>
                            <a:cxn ang="0">
                              <a:pos x="190" y="2"/>
                            </a:cxn>
                            <a:cxn ang="0">
                              <a:pos x="193" y="11"/>
                            </a:cxn>
                            <a:cxn ang="0">
                              <a:pos x="195" y="32"/>
                            </a:cxn>
                            <a:cxn ang="0">
                              <a:pos x="200" y="65"/>
                            </a:cxn>
                            <a:cxn ang="0">
                              <a:pos x="202" y="84"/>
                            </a:cxn>
                            <a:cxn ang="0">
                              <a:pos x="204" y="96"/>
                            </a:cxn>
                            <a:cxn ang="0">
                              <a:pos x="206" y="105"/>
                            </a:cxn>
                            <a:cxn ang="0">
                              <a:pos x="208" y="113"/>
                            </a:cxn>
                            <a:cxn ang="0">
                              <a:pos x="210" y="119"/>
                            </a:cxn>
                            <a:cxn ang="0">
                              <a:pos x="211" y="120"/>
                            </a:cxn>
                            <a:cxn ang="0">
                              <a:pos x="212" y="123"/>
                            </a:cxn>
                            <a:cxn ang="0">
                              <a:pos x="213" y="127"/>
                            </a:cxn>
                            <a:cxn ang="0">
                              <a:pos x="215" y="130"/>
                            </a:cxn>
                            <a:cxn ang="0">
                              <a:pos x="216" y="132"/>
                            </a:cxn>
                            <a:cxn ang="0">
                              <a:pos x="218" y="134"/>
                            </a:cxn>
                            <a:cxn ang="0">
                              <a:pos x="219" y="135"/>
                            </a:cxn>
                            <a:cxn ang="0">
                              <a:pos x="221" y="136"/>
                            </a:cxn>
                            <a:cxn ang="0">
                              <a:pos x="222" y="136"/>
                            </a:cxn>
                            <a:cxn ang="0">
                              <a:pos x="224" y="136"/>
                            </a:cxn>
                            <a:cxn ang="0">
                              <a:pos x="225" y="136"/>
                            </a:cxn>
                            <a:cxn ang="0">
                              <a:pos x="227" y="135"/>
                            </a:cxn>
                            <a:cxn ang="0">
                              <a:pos x="229" y="133"/>
                            </a:cxn>
                            <a:cxn ang="0">
                              <a:pos x="232" y="131"/>
                            </a:cxn>
                            <a:cxn ang="0">
                              <a:pos x="237" y="126"/>
                            </a:cxn>
                            <a:cxn ang="0">
                              <a:pos x="239" y="124"/>
                            </a:cxn>
                            <a:cxn ang="0">
                              <a:pos x="241" y="123"/>
                            </a:cxn>
                            <a:cxn ang="0">
                              <a:pos x="243" y="123"/>
                            </a:cxn>
                            <a:cxn ang="0">
                              <a:pos x="244" y="124"/>
                            </a:cxn>
                          </a:cxnLst>
                          <a:rect l="0" t="0" r="r" b="b"/>
                          <a:pathLst>
                            <a:path w="245" h="143">
                              <a:moveTo>
                                <a:pt x="0" y="143"/>
                              </a:moveTo>
                              <a:lnTo>
                                <a:pt x="1" y="143"/>
                              </a:lnTo>
                              <a:lnTo>
                                <a:pt x="2" y="143"/>
                              </a:lnTo>
                              <a:lnTo>
                                <a:pt x="4" y="143"/>
                              </a:lnTo>
                              <a:lnTo>
                                <a:pt x="6" y="143"/>
                              </a:lnTo>
                              <a:lnTo>
                                <a:pt x="7" y="143"/>
                              </a:lnTo>
                              <a:lnTo>
                                <a:pt x="9" y="143"/>
                              </a:lnTo>
                              <a:lnTo>
                                <a:pt x="11" y="143"/>
                              </a:lnTo>
                              <a:lnTo>
                                <a:pt x="12" y="143"/>
                              </a:lnTo>
                              <a:lnTo>
                                <a:pt x="14" y="143"/>
                              </a:lnTo>
                              <a:lnTo>
                                <a:pt x="16" y="143"/>
                              </a:lnTo>
                              <a:lnTo>
                                <a:pt x="21" y="143"/>
                              </a:lnTo>
                              <a:lnTo>
                                <a:pt x="26" y="143"/>
                              </a:lnTo>
                              <a:lnTo>
                                <a:pt x="30" y="143"/>
                              </a:lnTo>
                              <a:lnTo>
                                <a:pt x="34" y="143"/>
                              </a:lnTo>
                              <a:lnTo>
                                <a:pt x="39" y="143"/>
                              </a:lnTo>
                              <a:lnTo>
                                <a:pt x="43" y="143"/>
                              </a:lnTo>
                              <a:lnTo>
                                <a:pt x="46" y="143"/>
                              </a:lnTo>
                              <a:lnTo>
                                <a:pt x="51" y="143"/>
                              </a:lnTo>
                              <a:lnTo>
                                <a:pt x="56" y="143"/>
                              </a:lnTo>
                              <a:lnTo>
                                <a:pt x="61" y="143"/>
                              </a:lnTo>
                              <a:lnTo>
                                <a:pt x="65" y="143"/>
                              </a:lnTo>
                              <a:lnTo>
                                <a:pt x="70" y="143"/>
                              </a:lnTo>
                              <a:lnTo>
                                <a:pt x="74" y="143"/>
                              </a:lnTo>
                              <a:lnTo>
                                <a:pt x="76" y="143"/>
                              </a:lnTo>
                              <a:lnTo>
                                <a:pt x="79" y="143"/>
                              </a:lnTo>
                              <a:lnTo>
                                <a:pt x="83" y="143"/>
                              </a:lnTo>
                              <a:lnTo>
                                <a:pt x="88" y="143"/>
                              </a:lnTo>
                              <a:lnTo>
                                <a:pt x="92" y="143"/>
                              </a:lnTo>
                              <a:lnTo>
                                <a:pt x="95" y="143"/>
                              </a:lnTo>
                              <a:lnTo>
                                <a:pt x="97" y="143"/>
                              </a:lnTo>
                              <a:lnTo>
                                <a:pt x="99" y="143"/>
                              </a:lnTo>
                              <a:lnTo>
                                <a:pt x="102" y="143"/>
                              </a:lnTo>
                              <a:lnTo>
                                <a:pt x="104" y="143"/>
                              </a:lnTo>
                              <a:lnTo>
                                <a:pt x="106" y="143"/>
                              </a:lnTo>
                              <a:lnTo>
                                <a:pt x="107" y="143"/>
                              </a:lnTo>
                              <a:lnTo>
                                <a:pt x="108" y="143"/>
                              </a:lnTo>
                              <a:lnTo>
                                <a:pt x="110" y="143"/>
                              </a:lnTo>
                              <a:lnTo>
                                <a:pt x="111" y="143"/>
                              </a:lnTo>
                              <a:lnTo>
                                <a:pt x="112" y="143"/>
                              </a:lnTo>
                              <a:lnTo>
                                <a:pt x="113" y="143"/>
                              </a:lnTo>
                              <a:lnTo>
                                <a:pt x="114" y="143"/>
                              </a:lnTo>
                              <a:lnTo>
                                <a:pt x="115" y="143"/>
                              </a:lnTo>
                              <a:lnTo>
                                <a:pt x="116" y="143"/>
                              </a:lnTo>
                              <a:lnTo>
                                <a:pt x="117" y="143"/>
                              </a:lnTo>
                              <a:lnTo>
                                <a:pt x="118" y="143"/>
                              </a:lnTo>
                              <a:lnTo>
                                <a:pt x="120" y="143"/>
                              </a:lnTo>
                              <a:lnTo>
                                <a:pt x="123" y="143"/>
                              </a:lnTo>
                              <a:lnTo>
                                <a:pt x="125" y="143"/>
                              </a:lnTo>
                              <a:lnTo>
                                <a:pt x="127" y="143"/>
                              </a:lnTo>
                              <a:lnTo>
                                <a:pt x="129" y="143"/>
                              </a:lnTo>
                              <a:lnTo>
                                <a:pt x="131" y="143"/>
                              </a:lnTo>
                              <a:lnTo>
                                <a:pt x="132" y="143"/>
                              </a:lnTo>
                              <a:lnTo>
                                <a:pt x="133" y="143"/>
                              </a:lnTo>
                              <a:lnTo>
                                <a:pt x="134" y="143"/>
                              </a:lnTo>
                              <a:lnTo>
                                <a:pt x="134" y="143"/>
                              </a:lnTo>
                              <a:lnTo>
                                <a:pt x="135" y="143"/>
                              </a:lnTo>
                              <a:lnTo>
                                <a:pt x="135" y="143"/>
                              </a:lnTo>
                              <a:lnTo>
                                <a:pt x="136" y="143"/>
                              </a:lnTo>
                              <a:lnTo>
                                <a:pt x="137" y="143"/>
                              </a:lnTo>
                              <a:lnTo>
                                <a:pt x="137" y="143"/>
                              </a:lnTo>
                              <a:lnTo>
                                <a:pt x="138" y="143"/>
                              </a:lnTo>
                              <a:lnTo>
                                <a:pt x="138" y="143"/>
                              </a:lnTo>
                              <a:lnTo>
                                <a:pt x="138" y="143"/>
                              </a:lnTo>
                              <a:lnTo>
                                <a:pt x="139" y="143"/>
                              </a:lnTo>
                              <a:lnTo>
                                <a:pt x="139" y="143"/>
                              </a:lnTo>
                              <a:lnTo>
                                <a:pt x="139" y="143"/>
                              </a:lnTo>
                              <a:lnTo>
                                <a:pt x="139" y="143"/>
                              </a:lnTo>
                              <a:lnTo>
                                <a:pt x="140" y="143"/>
                              </a:lnTo>
                              <a:lnTo>
                                <a:pt x="140" y="143"/>
                              </a:lnTo>
                              <a:lnTo>
                                <a:pt x="140" y="143"/>
                              </a:lnTo>
                              <a:lnTo>
                                <a:pt x="140" y="143"/>
                              </a:lnTo>
                              <a:lnTo>
                                <a:pt x="140" y="143"/>
                              </a:lnTo>
                              <a:lnTo>
                                <a:pt x="140" y="143"/>
                              </a:lnTo>
                              <a:lnTo>
                                <a:pt x="141" y="143"/>
                              </a:lnTo>
                              <a:lnTo>
                                <a:pt x="141" y="143"/>
                              </a:lnTo>
                              <a:lnTo>
                                <a:pt x="141" y="143"/>
                              </a:lnTo>
                              <a:lnTo>
                                <a:pt x="141" y="143"/>
                              </a:lnTo>
                              <a:lnTo>
                                <a:pt x="141" y="142"/>
                              </a:lnTo>
                              <a:lnTo>
                                <a:pt x="141" y="142"/>
                              </a:lnTo>
                              <a:lnTo>
                                <a:pt x="141" y="142"/>
                              </a:lnTo>
                              <a:lnTo>
                                <a:pt x="141" y="142"/>
                              </a:lnTo>
                              <a:lnTo>
                                <a:pt x="142" y="142"/>
                              </a:lnTo>
                              <a:lnTo>
                                <a:pt x="142" y="142"/>
                              </a:lnTo>
                              <a:lnTo>
                                <a:pt x="142" y="142"/>
                              </a:lnTo>
                              <a:lnTo>
                                <a:pt x="142" y="142"/>
                              </a:lnTo>
                              <a:lnTo>
                                <a:pt x="143" y="142"/>
                              </a:lnTo>
                              <a:lnTo>
                                <a:pt x="143" y="142"/>
                              </a:lnTo>
                              <a:lnTo>
                                <a:pt x="143" y="142"/>
                              </a:lnTo>
                              <a:lnTo>
                                <a:pt x="143" y="142"/>
                              </a:lnTo>
                              <a:lnTo>
                                <a:pt x="144" y="142"/>
                              </a:lnTo>
                              <a:lnTo>
                                <a:pt x="144" y="142"/>
                              </a:lnTo>
                              <a:lnTo>
                                <a:pt x="144" y="142"/>
                              </a:lnTo>
                              <a:lnTo>
                                <a:pt x="144" y="142"/>
                              </a:lnTo>
                              <a:lnTo>
                                <a:pt x="145" y="142"/>
                              </a:lnTo>
                              <a:lnTo>
                                <a:pt x="145" y="142"/>
                              </a:lnTo>
                              <a:lnTo>
                                <a:pt x="145" y="141"/>
                              </a:lnTo>
                              <a:lnTo>
                                <a:pt x="145" y="141"/>
                              </a:lnTo>
                              <a:lnTo>
                                <a:pt x="146" y="141"/>
                              </a:lnTo>
                              <a:lnTo>
                                <a:pt x="146" y="141"/>
                              </a:lnTo>
                              <a:lnTo>
                                <a:pt x="146" y="141"/>
                              </a:lnTo>
                              <a:lnTo>
                                <a:pt x="146" y="141"/>
                              </a:lnTo>
                              <a:lnTo>
                                <a:pt x="147" y="141"/>
                              </a:lnTo>
                              <a:lnTo>
                                <a:pt x="147" y="141"/>
                              </a:lnTo>
                              <a:lnTo>
                                <a:pt x="147" y="141"/>
                              </a:lnTo>
                              <a:lnTo>
                                <a:pt x="147" y="141"/>
                              </a:lnTo>
                              <a:lnTo>
                                <a:pt x="147" y="140"/>
                              </a:lnTo>
                              <a:lnTo>
                                <a:pt x="148" y="140"/>
                              </a:lnTo>
                              <a:lnTo>
                                <a:pt x="148" y="140"/>
                              </a:lnTo>
                              <a:lnTo>
                                <a:pt x="148" y="140"/>
                              </a:lnTo>
                              <a:lnTo>
                                <a:pt x="148" y="140"/>
                              </a:lnTo>
                              <a:lnTo>
                                <a:pt x="148" y="140"/>
                              </a:lnTo>
                              <a:lnTo>
                                <a:pt x="149" y="140"/>
                              </a:lnTo>
                              <a:lnTo>
                                <a:pt x="149" y="140"/>
                              </a:lnTo>
                              <a:lnTo>
                                <a:pt x="149" y="140"/>
                              </a:lnTo>
                              <a:lnTo>
                                <a:pt x="149" y="139"/>
                              </a:lnTo>
                              <a:lnTo>
                                <a:pt x="149" y="139"/>
                              </a:lnTo>
                              <a:lnTo>
                                <a:pt x="150" y="139"/>
                              </a:lnTo>
                              <a:lnTo>
                                <a:pt x="150" y="139"/>
                              </a:lnTo>
                              <a:lnTo>
                                <a:pt x="150" y="139"/>
                              </a:lnTo>
                              <a:lnTo>
                                <a:pt x="150" y="139"/>
                              </a:lnTo>
                              <a:lnTo>
                                <a:pt x="150" y="138"/>
                              </a:lnTo>
                              <a:lnTo>
                                <a:pt x="151" y="138"/>
                              </a:lnTo>
                              <a:lnTo>
                                <a:pt x="151" y="138"/>
                              </a:lnTo>
                              <a:lnTo>
                                <a:pt x="151" y="138"/>
                              </a:lnTo>
                              <a:lnTo>
                                <a:pt x="151" y="138"/>
                              </a:lnTo>
                              <a:lnTo>
                                <a:pt x="151" y="137"/>
                              </a:lnTo>
                              <a:lnTo>
                                <a:pt x="152" y="137"/>
                              </a:lnTo>
                              <a:lnTo>
                                <a:pt x="152" y="137"/>
                              </a:lnTo>
                              <a:lnTo>
                                <a:pt x="152" y="137"/>
                              </a:lnTo>
                              <a:lnTo>
                                <a:pt x="152" y="137"/>
                              </a:lnTo>
                              <a:lnTo>
                                <a:pt x="152" y="137"/>
                              </a:lnTo>
                              <a:lnTo>
                                <a:pt x="152" y="136"/>
                              </a:lnTo>
                              <a:lnTo>
                                <a:pt x="153" y="136"/>
                              </a:lnTo>
                              <a:lnTo>
                                <a:pt x="153" y="136"/>
                              </a:lnTo>
                              <a:lnTo>
                                <a:pt x="153" y="136"/>
                              </a:lnTo>
                              <a:lnTo>
                                <a:pt x="153" y="135"/>
                              </a:lnTo>
                              <a:lnTo>
                                <a:pt x="153" y="135"/>
                              </a:lnTo>
                              <a:lnTo>
                                <a:pt x="154" y="135"/>
                              </a:lnTo>
                              <a:lnTo>
                                <a:pt x="154" y="135"/>
                              </a:lnTo>
                              <a:lnTo>
                                <a:pt x="154" y="134"/>
                              </a:lnTo>
                              <a:lnTo>
                                <a:pt x="154" y="134"/>
                              </a:lnTo>
                              <a:lnTo>
                                <a:pt x="154" y="134"/>
                              </a:lnTo>
                              <a:lnTo>
                                <a:pt x="155" y="133"/>
                              </a:lnTo>
                              <a:lnTo>
                                <a:pt x="155" y="133"/>
                              </a:lnTo>
                              <a:lnTo>
                                <a:pt x="155" y="133"/>
                              </a:lnTo>
                              <a:lnTo>
                                <a:pt x="155" y="132"/>
                              </a:lnTo>
                              <a:lnTo>
                                <a:pt x="156" y="132"/>
                              </a:lnTo>
                              <a:lnTo>
                                <a:pt x="156" y="132"/>
                              </a:lnTo>
                              <a:lnTo>
                                <a:pt x="156" y="131"/>
                              </a:lnTo>
                              <a:lnTo>
                                <a:pt x="156" y="131"/>
                              </a:lnTo>
                              <a:lnTo>
                                <a:pt x="157" y="130"/>
                              </a:lnTo>
                              <a:lnTo>
                                <a:pt x="157" y="130"/>
                              </a:lnTo>
                              <a:lnTo>
                                <a:pt x="157" y="129"/>
                              </a:lnTo>
                              <a:lnTo>
                                <a:pt x="157" y="129"/>
                              </a:lnTo>
                              <a:lnTo>
                                <a:pt x="158" y="128"/>
                              </a:lnTo>
                              <a:lnTo>
                                <a:pt x="159" y="127"/>
                              </a:lnTo>
                              <a:lnTo>
                                <a:pt x="159" y="125"/>
                              </a:lnTo>
                              <a:lnTo>
                                <a:pt x="160" y="124"/>
                              </a:lnTo>
                              <a:lnTo>
                                <a:pt x="160" y="123"/>
                              </a:lnTo>
                              <a:lnTo>
                                <a:pt x="161" y="122"/>
                              </a:lnTo>
                              <a:lnTo>
                                <a:pt x="161" y="122"/>
                              </a:lnTo>
                              <a:lnTo>
                                <a:pt x="162" y="121"/>
                              </a:lnTo>
                              <a:lnTo>
                                <a:pt x="162" y="120"/>
                              </a:lnTo>
                              <a:lnTo>
                                <a:pt x="162" y="120"/>
                              </a:lnTo>
                              <a:lnTo>
                                <a:pt x="163" y="119"/>
                              </a:lnTo>
                              <a:lnTo>
                                <a:pt x="163" y="119"/>
                              </a:lnTo>
                              <a:lnTo>
                                <a:pt x="163" y="119"/>
                              </a:lnTo>
                              <a:lnTo>
                                <a:pt x="163" y="118"/>
                              </a:lnTo>
                              <a:lnTo>
                                <a:pt x="164" y="118"/>
                              </a:lnTo>
                              <a:lnTo>
                                <a:pt x="164" y="117"/>
                              </a:lnTo>
                              <a:lnTo>
                                <a:pt x="164" y="117"/>
                              </a:lnTo>
                              <a:lnTo>
                                <a:pt x="165" y="117"/>
                              </a:lnTo>
                              <a:lnTo>
                                <a:pt x="165" y="116"/>
                              </a:lnTo>
                              <a:lnTo>
                                <a:pt x="165" y="116"/>
                              </a:lnTo>
                              <a:lnTo>
                                <a:pt x="165" y="116"/>
                              </a:lnTo>
                              <a:lnTo>
                                <a:pt x="166" y="115"/>
                              </a:lnTo>
                              <a:lnTo>
                                <a:pt x="166" y="115"/>
                              </a:lnTo>
                              <a:lnTo>
                                <a:pt x="166" y="115"/>
                              </a:lnTo>
                              <a:lnTo>
                                <a:pt x="167" y="114"/>
                              </a:lnTo>
                              <a:lnTo>
                                <a:pt x="167" y="114"/>
                              </a:lnTo>
                              <a:lnTo>
                                <a:pt x="168" y="114"/>
                              </a:lnTo>
                              <a:lnTo>
                                <a:pt x="168" y="114"/>
                              </a:lnTo>
                              <a:lnTo>
                                <a:pt x="169" y="113"/>
                              </a:lnTo>
                              <a:lnTo>
                                <a:pt x="169" y="113"/>
                              </a:lnTo>
                              <a:lnTo>
                                <a:pt x="170" y="113"/>
                              </a:lnTo>
                              <a:lnTo>
                                <a:pt x="170" y="112"/>
                              </a:lnTo>
                              <a:lnTo>
                                <a:pt x="171" y="112"/>
                              </a:lnTo>
                              <a:lnTo>
                                <a:pt x="171" y="112"/>
                              </a:lnTo>
                              <a:lnTo>
                                <a:pt x="171" y="112"/>
                              </a:lnTo>
                              <a:lnTo>
                                <a:pt x="171" y="112"/>
                              </a:lnTo>
                              <a:lnTo>
                                <a:pt x="172" y="111"/>
                              </a:lnTo>
                              <a:lnTo>
                                <a:pt x="172" y="111"/>
                              </a:lnTo>
                              <a:lnTo>
                                <a:pt x="172" y="111"/>
                              </a:lnTo>
                              <a:lnTo>
                                <a:pt x="172" y="111"/>
                              </a:lnTo>
                              <a:lnTo>
                                <a:pt x="173" y="110"/>
                              </a:lnTo>
                              <a:lnTo>
                                <a:pt x="173" y="110"/>
                              </a:lnTo>
                              <a:lnTo>
                                <a:pt x="173" y="110"/>
                              </a:lnTo>
                              <a:lnTo>
                                <a:pt x="173" y="110"/>
                              </a:lnTo>
                              <a:lnTo>
                                <a:pt x="173" y="109"/>
                              </a:lnTo>
                              <a:lnTo>
                                <a:pt x="173" y="109"/>
                              </a:lnTo>
                              <a:lnTo>
                                <a:pt x="174" y="108"/>
                              </a:lnTo>
                              <a:lnTo>
                                <a:pt x="174" y="108"/>
                              </a:lnTo>
                              <a:lnTo>
                                <a:pt x="174" y="108"/>
                              </a:lnTo>
                              <a:lnTo>
                                <a:pt x="174" y="107"/>
                              </a:lnTo>
                              <a:lnTo>
                                <a:pt x="174" y="107"/>
                              </a:lnTo>
                              <a:lnTo>
                                <a:pt x="174" y="107"/>
                              </a:lnTo>
                              <a:lnTo>
                                <a:pt x="174" y="107"/>
                              </a:lnTo>
                              <a:lnTo>
                                <a:pt x="174" y="106"/>
                              </a:lnTo>
                              <a:lnTo>
                                <a:pt x="174" y="106"/>
                              </a:lnTo>
                              <a:lnTo>
                                <a:pt x="174" y="106"/>
                              </a:lnTo>
                              <a:lnTo>
                                <a:pt x="175" y="106"/>
                              </a:lnTo>
                              <a:lnTo>
                                <a:pt x="175" y="106"/>
                              </a:lnTo>
                              <a:lnTo>
                                <a:pt x="175" y="105"/>
                              </a:lnTo>
                              <a:lnTo>
                                <a:pt x="175" y="105"/>
                              </a:lnTo>
                              <a:lnTo>
                                <a:pt x="175" y="105"/>
                              </a:lnTo>
                              <a:lnTo>
                                <a:pt x="175" y="105"/>
                              </a:lnTo>
                              <a:lnTo>
                                <a:pt x="175" y="104"/>
                              </a:lnTo>
                              <a:lnTo>
                                <a:pt x="175" y="104"/>
                              </a:lnTo>
                              <a:lnTo>
                                <a:pt x="175" y="104"/>
                              </a:lnTo>
                              <a:lnTo>
                                <a:pt x="175" y="103"/>
                              </a:lnTo>
                              <a:lnTo>
                                <a:pt x="175" y="103"/>
                              </a:lnTo>
                              <a:lnTo>
                                <a:pt x="175" y="102"/>
                              </a:lnTo>
                              <a:lnTo>
                                <a:pt x="176" y="102"/>
                              </a:lnTo>
                              <a:lnTo>
                                <a:pt x="176" y="101"/>
                              </a:lnTo>
                              <a:lnTo>
                                <a:pt x="176" y="100"/>
                              </a:lnTo>
                              <a:lnTo>
                                <a:pt x="176" y="100"/>
                              </a:lnTo>
                              <a:lnTo>
                                <a:pt x="176" y="99"/>
                              </a:lnTo>
                              <a:lnTo>
                                <a:pt x="176" y="98"/>
                              </a:lnTo>
                              <a:lnTo>
                                <a:pt x="176" y="98"/>
                              </a:lnTo>
                              <a:lnTo>
                                <a:pt x="177" y="97"/>
                              </a:lnTo>
                              <a:lnTo>
                                <a:pt x="177" y="96"/>
                              </a:lnTo>
                              <a:lnTo>
                                <a:pt x="177" y="95"/>
                              </a:lnTo>
                              <a:lnTo>
                                <a:pt x="177" y="94"/>
                              </a:lnTo>
                              <a:lnTo>
                                <a:pt x="177" y="93"/>
                              </a:lnTo>
                              <a:lnTo>
                                <a:pt x="177" y="92"/>
                              </a:lnTo>
                              <a:lnTo>
                                <a:pt x="177" y="92"/>
                              </a:lnTo>
                              <a:lnTo>
                                <a:pt x="177" y="91"/>
                              </a:lnTo>
                              <a:lnTo>
                                <a:pt x="178" y="90"/>
                              </a:lnTo>
                              <a:lnTo>
                                <a:pt x="178" y="89"/>
                              </a:lnTo>
                              <a:lnTo>
                                <a:pt x="178" y="87"/>
                              </a:lnTo>
                              <a:lnTo>
                                <a:pt x="178" y="86"/>
                              </a:lnTo>
                              <a:lnTo>
                                <a:pt x="178" y="84"/>
                              </a:lnTo>
                              <a:lnTo>
                                <a:pt x="179" y="82"/>
                              </a:lnTo>
                              <a:lnTo>
                                <a:pt x="179" y="80"/>
                              </a:lnTo>
                              <a:lnTo>
                                <a:pt x="179" y="79"/>
                              </a:lnTo>
                              <a:lnTo>
                                <a:pt x="179" y="77"/>
                              </a:lnTo>
                              <a:lnTo>
                                <a:pt x="179" y="74"/>
                              </a:lnTo>
                              <a:lnTo>
                                <a:pt x="180" y="72"/>
                              </a:lnTo>
                              <a:lnTo>
                                <a:pt x="180" y="70"/>
                              </a:lnTo>
                              <a:lnTo>
                                <a:pt x="180" y="67"/>
                              </a:lnTo>
                              <a:lnTo>
                                <a:pt x="180" y="64"/>
                              </a:lnTo>
                              <a:lnTo>
                                <a:pt x="181" y="61"/>
                              </a:lnTo>
                              <a:lnTo>
                                <a:pt x="181" y="57"/>
                              </a:lnTo>
                              <a:lnTo>
                                <a:pt x="182" y="52"/>
                              </a:lnTo>
                              <a:lnTo>
                                <a:pt x="182" y="47"/>
                              </a:lnTo>
                              <a:lnTo>
                                <a:pt x="183" y="42"/>
                              </a:lnTo>
                              <a:lnTo>
                                <a:pt x="183" y="39"/>
                              </a:lnTo>
                              <a:lnTo>
                                <a:pt x="183" y="36"/>
                              </a:lnTo>
                              <a:lnTo>
                                <a:pt x="183" y="33"/>
                              </a:lnTo>
                              <a:lnTo>
                                <a:pt x="184" y="30"/>
                              </a:lnTo>
                              <a:lnTo>
                                <a:pt x="184" y="27"/>
                              </a:lnTo>
                              <a:lnTo>
                                <a:pt x="184" y="24"/>
                              </a:lnTo>
                              <a:lnTo>
                                <a:pt x="185" y="21"/>
                              </a:lnTo>
                              <a:lnTo>
                                <a:pt x="185" y="19"/>
                              </a:lnTo>
                              <a:lnTo>
                                <a:pt x="185" y="17"/>
                              </a:lnTo>
                              <a:lnTo>
                                <a:pt x="186" y="15"/>
                              </a:lnTo>
                              <a:lnTo>
                                <a:pt x="186" y="13"/>
                              </a:lnTo>
                              <a:lnTo>
                                <a:pt x="186" y="11"/>
                              </a:lnTo>
                              <a:lnTo>
                                <a:pt x="186" y="10"/>
                              </a:lnTo>
                              <a:lnTo>
                                <a:pt x="186" y="8"/>
                              </a:lnTo>
                              <a:lnTo>
                                <a:pt x="187" y="7"/>
                              </a:lnTo>
                              <a:lnTo>
                                <a:pt x="187" y="6"/>
                              </a:lnTo>
                              <a:lnTo>
                                <a:pt x="187" y="5"/>
                              </a:lnTo>
                              <a:lnTo>
                                <a:pt x="187" y="4"/>
                              </a:lnTo>
                              <a:lnTo>
                                <a:pt x="188" y="3"/>
                              </a:lnTo>
                              <a:lnTo>
                                <a:pt x="188" y="2"/>
                              </a:lnTo>
                              <a:lnTo>
                                <a:pt x="188" y="2"/>
                              </a:lnTo>
                              <a:lnTo>
                                <a:pt x="188" y="1"/>
                              </a:lnTo>
                              <a:lnTo>
                                <a:pt x="189" y="1"/>
                              </a:lnTo>
                              <a:lnTo>
                                <a:pt x="189" y="0"/>
                              </a:lnTo>
                              <a:lnTo>
                                <a:pt x="189" y="0"/>
                              </a:lnTo>
                              <a:lnTo>
                                <a:pt x="189" y="0"/>
                              </a:lnTo>
                              <a:lnTo>
                                <a:pt x="189" y="0"/>
                              </a:lnTo>
                              <a:lnTo>
                                <a:pt x="190" y="1"/>
                              </a:lnTo>
                              <a:lnTo>
                                <a:pt x="190" y="1"/>
                              </a:lnTo>
                              <a:lnTo>
                                <a:pt x="190" y="2"/>
                              </a:lnTo>
                              <a:lnTo>
                                <a:pt x="190" y="2"/>
                              </a:lnTo>
                              <a:lnTo>
                                <a:pt x="191" y="3"/>
                              </a:lnTo>
                              <a:lnTo>
                                <a:pt x="191" y="4"/>
                              </a:lnTo>
                              <a:lnTo>
                                <a:pt x="191" y="4"/>
                              </a:lnTo>
                              <a:lnTo>
                                <a:pt x="192" y="5"/>
                              </a:lnTo>
                              <a:lnTo>
                                <a:pt x="192" y="7"/>
                              </a:lnTo>
                              <a:lnTo>
                                <a:pt x="192" y="8"/>
                              </a:lnTo>
                              <a:lnTo>
                                <a:pt x="192" y="9"/>
                              </a:lnTo>
                              <a:lnTo>
                                <a:pt x="193" y="11"/>
                              </a:lnTo>
                              <a:lnTo>
                                <a:pt x="193" y="13"/>
                              </a:lnTo>
                              <a:lnTo>
                                <a:pt x="193" y="15"/>
                              </a:lnTo>
                              <a:lnTo>
                                <a:pt x="194" y="17"/>
                              </a:lnTo>
                              <a:lnTo>
                                <a:pt x="194" y="20"/>
                              </a:lnTo>
                              <a:lnTo>
                                <a:pt x="194" y="22"/>
                              </a:lnTo>
                              <a:lnTo>
                                <a:pt x="195" y="25"/>
                              </a:lnTo>
                              <a:lnTo>
                                <a:pt x="195" y="29"/>
                              </a:lnTo>
                              <a:lnTo>
                                <a:pt x="195" y="32"/>
                              </a:lnTo>
                              <a:lnTo>
                                <a:pt x="196" y="36"/>
                              </a:lnTo>
                              <a:lnTo>
                                <a:pt x="197" y="41"/>
                              </a:lnTo>
                              <a:lnTo>
                                <a:pt x="197" y="46"/>
                              </a:lnTo>
                              <a:lnTo>
                                <a:pt x="198" y="51"/>
                              </a:lnTo>
                              <a:lnTo>
                                <a:pt x="198" y="55"/>
                              </a:lnTo>
                              <a:lnTo>
                                <a:pt x="199" y="59"/>
                              </a:lnTo>
                              <a:lnTo>
                                <a:pt x="199" y="62"/>
                              </a:lnTo>
                              <a:lnTo>
                                <a:pt x="200" y="65"/>
                              </a:lnTo>
                              <a:lnTo>
                                <a:pt x="200" y="68"/>
                              </a:lnTo>
                              <a:lnTo>
                                <a:pt x="200" y="71"/>
                              </a:lnTo>
                              <a:lnTo>
                                <a:pt x="201" y="73"/>
                              </a:lnTo>
                              <a:lnTo>
                                <a:pt x="201" y="75"/>
                              </a:lnTo>
                              <a:lnTo>
                                <a:pt x="201" y="78"/>
                              </a:lnTo>
                              <a:lnTo>
                                <a:pt x="202" y="80"/>
                              </a:lnTo>
                              <a:lnTo>
                                <a:pt x="202" y="82"/>
                              </a:lnTo>
                              <a:lnTo>
                                <a:pt x="202" y="84"/>
                              </a:lnTo>
                              <a:lnTo>
                                <a:pt x="203" y="87"/>
                              </a:lnTo>
                              <a:lnTo>
                                <a:pt x="203" y="88"/>
                              </a:lnTo>
                              <a:lnTo>
                                <a:pt x="203" y="90"/>
                              </a:lnTo>
                              <a:lnTo>
                                <a:pt x="203" y="91"/>
                              </a:lnTo>
                              <a:lnTo>
                                <a:pt x="204" y="92"/>
                              </a:lnTo>
                              <a:lnTo>
                                <a:pt x="204" y="94"/>
                              </a:lnTo>
                              <a:lnTo>
                                <a:pt x="204" y="95"/>
                              </a:lnTo>
                              <a:lnTo>
                                <a:pt x="204" y="96"/>
                              </a:lnTo>
                              <a:lnTo>
                                <a:pt x="205" y="98"/>
                              </a:lnTo>
                              <a:lnTo>
                                <a:pt x="205" y="99"/>
                              </a:lnTo>
                              <a:lnTo>
                                <a:pt x="205" y="100"/>
                              </a:lnTo>
                              <a:lnTo>
                                <a:pt x="205" y="101"/>
                              </a:lnTo>
                              <a:lnTo>
                                <a:pt x="206" y="102"/>
                              </a:lnTo>
                              <a:lnTo>
                                <a:pt x="206" y="103"/>
                              </a:lnTo>
                              <a:lnTo>
                                <a:pt x="206" y="104"/>
                              </a:lnTo>
                              <a:lnTo>
                                <a:pt x="206" y="105"/>
                              </a:lnTo>
                              <a:lnTo>
                                <a:pt x="207" y="106"/>
                              </a:lnTo>
                              <a:lnTo>
                                <a:pt x="207" y="107"/>
                              </a:lnTo>
                              <a:lnTo>
                                <a:pt x="207" y="108"/>
                              </a:lnTo>
                              <a:lnTo>
                                <a:pt x="207" y="109"/>
                              </a:lnTo>
                              <a:lnTo>
                                <a:pt x="207" y="110"/>
                              </a:lnTo>
                              <a:lnTo>
                                <a:pt x="208" y="111"/>
                              </a:lnTo>
                              <a:lnTo>
                                <a:pt x="208" y="112"/>
                              </a:lnTo>
                              <a:lnTo>
                                <a:pt x="208" y="113"/>
                              </a:lnTo>
                              <a:lnTo>
                                <a:pt x="209" y="114"/>
                              </a:lnTo>
                              <a:lnTo>
                                <a:pt x="209" y="115"/>
                              </a:lnTo>
                              <a:lnTo>
                                <a:pt x="209" y="116"/>
                              </a:lnTo>
                              <a:lnTo>
                                <a:pt x="209" y="117"/>
                              </a:lnTo>
                              <a:lnTo>
                                <a:pt x="210" y="117"/>
                              </a:lnTo>
                              <a:lnTo>
                                <a:pt x="210" y="118"/>
                              </a:lnTo>
                              <a:lnTo>
                                <a:pt x="210" y="118"/>
                              </a:lnTo>
                              <a:lnTo>
                                <a:pt x="210" y="119"/>
                              </a:lnTo>
                              <a:lnTo>
                                <a:pt x="210" y="119"/>
                              </a:lnTo>
                              <a:lnTo>
                                <a:pt x="210" y="119"/>
                              </a:lnTo>
                              <a:lnTo>
                                <a:pt x="210" y="119"/>
                              </a:lnTo>
                              <a:lnTo>
                                <a:pt x="210" y="120"/>
                              </a:lnTo>
                              <a:lnTo>
                                <a:pt x="210" y="120"/>
                              </a:lnTo>
                              <a:lnTo>
                                <a:pt x="210" y="120"/>
                              </a:lnTo>
                              <a:lnTo>
                                <a:pt x="210" y="120"/>
                              </a:lnTo>
                              <a:lnTo>
                                <a:pt x="211" y="120"/>
                              </a:lnTo>
                              <a:lnTo>
                                <a:pt x="211" y="121"/>
                              </a:lnTo>
                              <a:lnTo>
                                <a:pt x="211" y="121"/>
                              </a:lnTo>
                              <a:lnTo>
                                <a:pt x="211" y="121"/>
                              </a:lnTo>
                              <a:lnTo>
                                <a:pt x="211" y="121"/>
                              </a:lnTo>
                              <a:lnTo>
                                <a:pt x="211" y="121"/>
                              </a:lnTo>
                              <a:lnTo>
                                <a:pt x="211" y="122"/>
                              </a:lnTo>
                              <a:lnTo>
                                <a:pt x="211" y="122"/>
                              </a:lnTo>
                              <a:lnTo>
                                <a:pt x="212" y="123"/>
                              </a:lnTo>
                              <a:lnTo>
                                <a:pt x="212" y="123"/>
                              </a:lnTo>
                              <a:lnTo>
                                <a:pt x="212" y="124"/>
                              </a:lnTo>
                              <a:lnTo>
                                <a:pt x="212" y="124"/>
                              </a:lnTo>
                              <a:lnTo>
                                <a:pt x="212" y="125"/>
                              </a:lnTo>
                              <a:lnTo>
                                <a:pt x="213" y="125"/>
                              </a:lnTo>
                              <a:lnTo>
                                <a:pt x="213" y="126"/>
                              </a:lnTo>
                              <a:lnTo>
                                <a:pt x="213" y="126"/>
                              </a:lnTo>
                              <a:lnTo>
                                <a:pt x="213" y="127"/>
                              </a:lnTo>
                              <a:lnTo>
                                <a:pt x="213" y="127"/>
                              </a:lnTo>
                              <a:lnTo>
                                <a:pt x="214" y="128"/>
                              </a:lnTo>
                              <a:lnTo>
                                <a:pt x="214" y="128"/>
                              </a:lnTo>
                              <a:lnTo>
                                <a:pt x="214" y="129"/>
                              </a:lnTo>
                              <a:lnTo>
                                <a:pt x="215" y="129"/>
                              </a:lnTo>
                              <a:lnTo>
                                <a:pt x="215" y="130"/>
                              </a:lnTo>
                              <a:lnTo>
                                <a:pt x="215" y="130"/>
                              </a:lnTo>
                              <a:lnTo>
                                <a:pt x="215" y="130"/>
                              </a:lnTo>
                              <a:lnTo>
                                <a:pt x="215" y="130"/>
                              </a:lnTo>
                              <a:lnTo>
                                <a:pt x="215" y="131"/>
                              </a:lnTo>
                              <a:lnTo>
                                <a:pt x="216" y="131"/>
                              </a:lnTo>
                              <a:lnTo>
                                <a:pt x="216" y="131"/>
                              </a:lnTo>
                              <a:lnTo>
                                <a:pt x="216" y="131"/>
                              </a:lnTo>
                              <a:lnTo>
                                <a:pt x="216" y="132"/>
                              </a:lnTo>
                              <a:lnTo>
                                <a:pt x="216" y="132"/>
                              </a:lnTo>
                              <a:lnTo>
                                <a:pt x="216" y="132"/>
                              </a:lnTo>
                              <a:lnTo>
                                <a:pt x="217" y="132"/>
                              </a:lnTo>
                              <a:lnTo>
                                <a:pt x="217" y="133"/>
                              </a:lnTo>
                              <a:lnTo>
                                <a:pt x="217" y="133"/>
                              </a:lnTo>
                              <a:lnTo>
                                <a:pt x="217" y="133"/>
                              </a:lnTo>
                              <a:lnTo>
                                <a:pt x="217" y="133"/>
                              </a:lnTo>
                              <a:lnTo>
                                <a:pt x="217" y="133"/>
                              </a:lnTo>
                              <a:lnTo>
                                <a:pt x="218" y="134"/>
                              </a:lnTo>
                              <a:lnTo>
                                <a:pt x="218" y="134"/>
                              </a:lnTo>
                              <a:lnTo>
                                <a:pt x="218" y="134"/>
                              </a:lnTo>
                              <a:lnTo>
                                <a:pt x="218" y="134"/>
                              </a:lnTo>
                              <a:lnTo>
                                <a:pt x="218" y="134"/>
                              </a:lnTo>
                              <a:lnTo>
                                <a:pt x="219" y="134"/>
                              </a:lnTo>
                              <a:lnTo>
                                <a:pt x="219" y="134"/>
                              </a:lnTo>
                              <a:lnTo>
                                <a:pt x="219" y="135"/>
                              </a:lnTo>
                              <a:lnTo>
                                <a:pt x="219" y="135"/>
                              </a:lnTo>
                              <a:lnTo>
                                <a:pt x="219" y="135"/>
                              </a:lnTo>
                              <a:lnTo>
                                <a:pt x="219" y="135"/>
                              </a:lnTo>
                              <a:lnTo>
                                <a:pt x="219" y="135"/>
                              </a:lnTo>
                              <a:lnTo>
                                <a:pt x="220" y="135"/>
                              </a:lnTo>
                              <a:lnTo>
                                <a:pt x="220" y="135"/>
                              </a:lnTo>
                              <a:lnTo>
                                <a:pt x="220" y="135"/>
                              </a:lnTo>
                              <a:lnTo>
                                <a:pt x="220" y="135"/>
                              </a:lnTo>
                              <a:lnTo>
                                <a:pt x="220" y="135"/>
                              </a:lnTo>
                              <a:lnTo>
                                <a:pt x="221" y="136"/>
                              </a:lnTo>
                              <a:lnTo>
                                <a:pt x="221" y="136"/>
                              </a:lnTo>
                              <a:lnTo>
                                <a:pt x="221" y="136"/>
                              </a:lnTo>
                              <a:lnTo>
                                <a:pt x="221" y="136"/>
                              </a:lnTo>
                              <a:lnTo>
                                <a:pt x="221" y="136"/>
                              </a:lnTo>
                              <a:lnTo>
                                <a:pt x="221" y="136"/>
                              </a:lnTo>
                              <a:lnTo>
                                <a:pt x="222" y="136"/>
                              </a:lnTo>
                              <a:lnTo>
                                <a:pt x="222" y="136"/>
                              </a:lnTo>
                              <a:lnTo>
                                <a:pt x="222" y="136"/>
                              </a:lnTo>
                              <a:lnTo>
                                <a:pt x="222" y="136"/>
                              </a:lnTo>
                              <a:lnTo>
                                <a:pt x="222" y="136"/>
                              </a:lnTo>
                              <a:lnTo>
                                <a:pt x="222" y="136"/>
                              </a:lnTo>
                              <a:lnTo>
                                <a:pt x="223" y="136"/>
                              </a:lnTo>
                              <a:lnTo>
                                <a:pt x="223" y="136"/>
                              </a:lnTo>
                              <a:lnTo>
                                <a:pt x="223" y="136"/>
                              </a:lnTo>
                              <a:lnTo>
                                <a:pt x="223" y="136"/>
                              </a:lnTo>
                              <a:lnTo>
                                <a:pt x="224" y="136"/>
                              </a:lnTo>
                              <a:lnTo>
                                <a:pt x="224" y="136"/>
                              </a:lnTo>
                              <a:lnTo>
                                <a:pt x="224" y="136"/>
                              </a:lnTo>
                              <a:lnTo>
                                <a:pt x="224" y="136"/>
                              </a:lnTo>
                              <a:lnTo>
                                <a:pt x="224" y="136"/>
                              </a:lnTo>
                              <a:lnTo>
                                <a:pt x="224" y="136"/>
                              </a:lnTo>
                              <a:lnTo>
                                <a:pt x="225" y="136"/>
                              </a:lnTo>
                              <a:lnTo>
                                <a:pt x="225" y="136"/>
                              </a:lnTo>
                              <a:lnTo>
                                <a:pt x="225" y="136"/>
                              </a:lnTo>
                              <a:lnTo>
                                <a:pt x="225" y="135"/>
                              </a:lnTo>
                              <a:lnTo>
                                <a:pt x="225" y="135"/>
                              </a:lnTo>
                              <a:lnTo>
                                <a:pt x="226" y="135"/>
                              </a:lnTo>
                              <a:lnTo>
                                <a:pt x="226" y="135"/>
                              </a:lnTo>
                              <a:lnTo>
                                <a:pt x="226" y="135"/>
                              </a:lnTo>
                              <a:lnTo>
                                <a:pt x="226" y="135"/>
                              </a:lnTo>
                              <a:lnTo>
                                <a:pt x="227" y="135"/>
                              </a:lnTo>
                              <a:lnTo>
                                <a:pt x="227" y="135"/>
                              </a:lnTo>
                              <a:lnTo>
                                <a:pt x="227" y="134"/>
                              </a:lnTo>
                              <a:lnTo>
                                <a:pt x="227" y="134"/>
                              </a:lnTo>
                              <a:lnTo>
                                <a:pt x="228" y="134"/>
                              </a:lnTo>
                              <a:lnTo>
                                <a:pt x="228" y="134"/>
                              </a:lnTo>
                              <a:lnTo>
                                <a:pt x="228" y="134"/>
                              </a:lnTo>
                              <a:lnTo>
                                <a:pt x="228" y="134"/>
                              </a:lnTo>
                              <a:lnTo>
                                <a:pt x="229" y="133"/>
                              </a:lnTo>
                              <a:lnTo>
                                <a:pt x="229" y="133"/>
                              </a:lnTo>
                              <a:lnTo>
                                <a:pt x="229" y="133"/>
                              </a:lnTo>
                              <a:lnTo>
                                <a:pt x="230" y="133"/>
                              </a:lnTo>
                              <a:lnTo>
                                <a:pt x="230" y="132"/>
                              </a:lnTo>
                              <a:lnTo>
                                <a:pt x="230" y="132"/>
                              </a:lnTo>
                              <a:lnTo>
                                <a:pt x="231" y="132"/>
                              </a:lnTo>
                              <a:lnTo>
                                <a:pt x="231" y="131"/>
                              </a:lnTo>
                              <a:lnTo>
                                <a:pt x="231" y="131"/>
                              </a:lnTo>
                              <a:lnTo>
                                <a:pt x="232" y="131"/>
                              </a:lnTo>
                              <a:lnTo>
                                <a:pt x="232" y="130"/>
                              </a:lnTo>
                              <a:lnTo>
                                <a:pt x="233" y="129"/>
                              </a:lnTo>
                              <a:lnTo>
                                <a:pt x="234" y="128"/>
                              </a:lnTo>
                              <a:lnTo>
                                <a:pt x="235" y="128"/>
                              </a:lnTo>
                              <a:lnTo>
                                <a:pt x="235" y="127"/>
                              </a:lnTo>
                              <a:lnTo>
                                <a:pt x="236" y="127"/>
                              </a:lnTo>
                              <a:lnTo>
                                <a:pt x="236" y="126"/>
                              </a:lnTo>
                              <a:lnTo>
                                <a:pt x="237" y="126"/>
                              </a:lnTo>
                              <a:lnTo>
                                <a:pt x="237" y="125"/>
                              </a:lnTo>
                              <a:lnTo>
                                <a:pt x="238" y="125"/>
                              </a:lnTo>
                              <a:lnTo>
                                <a:pt x="238" y="125"/>
                              </a:lnTo>
                              <a:lnTo>
                                <a:pt x="238" y="124"/>
                              </a:lnTo>
                              <a:lnTo>
                                <a:pt x="239" y="124"/>
                              </a:lnTo>
                              <a:lnTo>
                                <a:pt x="239" y="124"/>
                              </a:lnTo>
                              <a:lnTo>
                                <a:pt x="239" y="124"/>
                              </a:lnTo>
                              <a:lnTo>
                                <a:pt x="239" y="124"/>
                              </a:lnTo>
                              <a:lnTo>
                                <a:pt x="240" y="123"/>
                              </a:lnTo>
                              <a:lnTo>
                                <a:pt x="240" y="123"/>
                              </a:lnTo>
                              <a:lnTo>
                                <a:pt x="240" y="123"/>
                              </a:lnTo>
                              <a:lnTo>
                                <a:pt x="240" y="123"/>
                              </a:lnTo>
                              <a:lnTo>
                                <a:pt x="241" y="123"/>
                              </a:lnTo>
                              <a:lnTo>
                                <a:pt x="241" y="123"/>
                              </a:lnTo>
                              <a:lnTo>
                                <a:pt x="241" y="123"/>
                              </a:lnTo>
                              <a:lnTo>
                                <a:pt x="241" y="123"/>
                              </a:lnTo>
                              <a:lnTo>
                                <a:pt x="242" y="123"/>
                              </a:lnTo>
                              <a:lnTo>
                                <a:pt x="242" y="123"/>
                              </a:lnTo>
                              <a:lnTo>
                                <a:pt x="242" y="123"/>
                              </a:lnTo>
                              <a:lnTo>
                                <a:pt x="242" y="123"/>
                              </a:lnTo>
                              <a:lnTo>
                                <a:pt x="242" y="123"/>
                              </a:lnTo>
                              <a:lnTo>
                                <a:pt x="242" y="123"/>
                              </a:lnTo>
                              <a:lnTo>
                                <a:pt x="243" y="123"/>
                              </a:lnTo>
                              <a:lnTo>
                                <a:pt x="243" y="123"/>
                              </a:lnTo>
                              <a:lnTo>
                                <a:pt x="243" y="123"/>
                              </a:lnTo>
                              <a:lnTo>
                                <a:pt x="243" y="123"/>
                              </a:lnTo>
                              <a:lnTo>
                                <a:pt x="243" y="123"/>
                              </a:lnTo>
                              <a:lnTo>
                                <a:pt x="244" y="123"/>
                              </a:lnTo>
                              <a:lnTo>
                                <a:pt x="244" y="124"/>
                              </a:lnTo>
                              <a:lnTo>
                                <a:pt x="244" y="124"/>
                              </a:lnTo>
                              <a:lnTo>
                                <a:pt x="244" y="124"/>
                              </a:lnTo>
                              <a:lnTo>
                                <a:pt x="244" y="124"/>
                              </a:lnTo>
                              <a:lnTo>
                                <a:pt x="244" y="124"/>
                              </a:lnTo>
                              <a:lnTo>
                                <a:pt x="245" y="124"/>
                              </a:lnTo>
                              <a:lnTo>
                                <a:pt x="245" y="124"/>
                              </a:lnTo>
                              <a:lnTo>
                                <a:pt x="245" y="125"/>
                              </a:lnTo>
                              <a:lnTo>
                                <a:pt x="245" y="125"/>
                              </a:lnTo>
                              <a:lnTo>
                                <a:pt x="245" y="125"/>
                              </a:lnTo>
                              <a:lnTo>
                                <a:pt x="245" y="125"/>
                              </a:lnTo>
                            </a:path>
                          </a:pathLst>
                        </a:custGeom>
                        <a:noFill/>
                        <a:ln w="3175">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11" name="Freeform 152"/>
                        <a:cNvSpPr>
                          <a:spLocks/>
                        </a:cNvSpPr>
                      </a:nvSpPr>
                      <a:spPr bwMode="auto">
                        <a:xfrm>
                          <a:off x="2081767" y="7209077"/>
                          <a:ext cx="1866302" cy="33871"/>
                        </a:xfrm>
                        <a:custGeom>
                          <a:avLst/>
                          <a:gdLst/>
                          <a:ahLst/>
                          <a:cxnLst>
                            <a:cxn ang="0">
                              <a:pos x="1" y="1"/>
                            </a:cxn>
                            <a:cxn ang="0">
                              <a:pos x="4" y="6"/>
                            </a:cxn>
                            <a:cxn ang="0">
                              <a:pos x="6" y="10"/>
                            </a:cxn>
                            <a:cxn ang="0">
                              <a:pos x="7" y="12"/>
                            </a:cxn>
                            <a:cxn ang="0">
                              <a:pos x="8" y="13"/>
                            </a:cxn>
                            <a:cxn ang="0">
                              <a:pos x="9" y="15"/>
                            </a:cxn>
                            <a:cxn ang="0">
                              <a:pos x="11" y="15"/>
                            </a:cxn>
                            <a:cxn ang="0">
                              <a:pos x="12" y="16"/>
                            </a:cxn>
                            <a:cxn ang="0">
                              <a:pos x="13" y="17"/>
                            </a:cxn>
                            <a:cxn ang="0">
                              <a:pos x="15" y="17"/>
                            </a:cxn>
                            <a:cxn ang="0">
                              <a:pos x="17" y="18"/>
                            </a:cxn>
                            <a:cxn ang="0">
                              <a:pos x="19" y="18"/>
                            </a:cxn>
                            <a:cxn ang="0">
                              <a:pos x="22" y="18"/>
                            </a:cxn>
                            <a:cxn ang="0">
                              <a:pos x="28" y="17"/>
                            </a:cxn>
                            <a:cxn ang="0">
                              <a:pos x="35" y="16"/>
                            </a:cxn>
                            <a:cxn ang="0">
                              <a:pos x="43" y="16"/>
                            </a:cxn>
                            <a:cxn ang="0">
                              <a:pos x="73" y="16"/>
                            </a:cxn>
                            <a:cxn ang="0">
                              <a:pos x="98" y="17"/>
                            </a:cxn>
                            <a:cxn ang="0">
                              <a:pos x="122" y="17"/>
                            </a:cxn>
                            <a:cxn ang="0">
                              <a:pos x="144" y="17"/>
                            </a:cxn>
                            <a:cxn ang="0">
                              <a:pos x="163" y="17"/>
                            </a:cxn>
                            <a:cxn ang="0">
                              <a:pos x="195" y="17"/>
                            </a:cxn>
                            <a:cxn ang="0">
                              <a:pos x="219" y="17"/>
                            </a:cxn>
                            <a:cxn ang="0">
                              <a:pos x="251" y="17"/>
                            </a:cxn>
                            <a:cxn ang="0">
                              <a:pos x="274" y="18"/>
                            </a:cxn>
                            <a:cxn ang="0">
                              <a:pos x="292" y="18"/>
                            </a:cxn>
                            <a:cxn ang="0">
                              <a:pos x="322" y="18"/>
                            </a:cxn>
                            <a:cxn ang="0">
                              <a:pos x="353" y="18"/>
                            </a:cxn>
                            <a:cxn ang="0">
                              <a:pos x="387" y="18"/>
                            </a:cxn>
                            <a:cxn ang="0">
                              <a:pos x="413" y="18"/>
                            </a:cxn>
                            <a:cxn ang="0">
                              <a:pos x="465" y="18"/>
                            </a:cxn>
                            <a:cxn ang="0">
                              <a:pos x="492" y="18"/>
                            </a:cxn>
                            <a:cxn ang="0">
                              <a:pos x="516" y="18"/>
                            </a:cxn>
                            <a:cxn ang="0">
                              <a:pos x="561" y="18"/>
                            </a:cxn>
                            <a:cxn ang="0">
                              <a:pos x="596" y="18"/>
                            </a:cxn>
                            <a:cxn ang="0">
                              <a:pos x="623" y="18"/>
                            </a:cxn>
                            <a:cxn ang="0">
                              <a:pos x="643" y="18"/>
                            </a:cxn>
                            <a:cxn ang="0">
                              <a:pos x="679" y="18"/>
                            </a:cxn>
                            <a:cxn ang="0">
                              <a:pos x="713" y="18"/>
                            </a:cxn>
                            <a:cxn ang="0">
                              <a:pos x="738" y="18"/>
                            </a:cxn>
                            <a:cxn ang="0">
                              <a:pos x="765" y="18"/>
                            </a:cxn>
                            <a:cxn ang="0">
                              <a:pos x="790" y="17"/>
                            </a:cxn>
                            <a:cxn ang="0">
                              <a:pos x="813" y="17"/>
                            </a:cxn>
                            <a:cxn ang="0">
                              <a:pos x="835" y="17"/>
                            </a:cxn>
                            <a:cxn ang="0">
                              <a:pos x="851" y="17"/>
                            </a:cxn>
                            <a:cxn ang="0">
                              <a:pos x="871" y="17"/>
                            </a:cxn>
                            <a:cxn ang="0">
                              <a:pos x="895" y="17"/>
                            </a:cxn>
                            <a:cxn ang="0">
                              <a:pos x="911" y="17"/>
                            </a:cxn>
                            <a:cxn ang="0">
                              <a:pos x="924" y="17"/>
                            </a:cxn>
                            <a:cxn ang="0">
                              <a:pos x="941" y="17"/>
                            </a:cxn>
                            <a:cxn ang="0">
                              <a:pos x="952" y="17"/>
                            </a:cxn>
                            <a:cxn ang="0">
                              <a:pos x="971" y="16"/>
                            </a:cxn>
                            <a:cxn ang="0">
                              <a:pos x="987" y="16"/>
                            </a:cxn>
                            <a:cxn ang="0">
                              <a:pos x="1006" y="16"/>
                            </a:cxn>
                            <a:cxn ang="0">
                              <a:pos x="1017" y="16"/>
                            </a:cxn>
                            <a:cxn ang="0">
                              <a:pos x="1028" y="16"/>
                            </a:cxn>
                            <a:cxn ang="0">
                              <a:pos x="1038" y="15"/>
                            </a:cxn>
                            <a:cxn ang="0">
                              <a:pos x="1048" y="15"/>
                            </a:cxn>
                            <a:cxn ang="0">
                              <a:pos x="1056" y="15"/>
                            </a:cxn>
                            <a:cxn ang="0">
                              <a:pos x="1067" y="14"/>
                            </a:cxn>
                            <a:cxn ang="0">
                              <a:pos x="1076" y="14"/>
                            </a:cxn>
                            <a:cxn ang="0">
                              <a:pos x="1085" y="13"/>
                            </a:cxn>
                            <a:cxn ang="0">
                              <a:pos x="1092" y="13"/>
                            </a:cxn>
                          </a:cxnLst>
                          <a:rect l="0" t="0" r="r" b="b"/>
                          <a:pathLst>
                            <a:path w="1101" h="18">
                              <a:moveTo>
                                <a:pt x="0" y="0"/>
                              </a:moveTo>
                              <a:lnTo>
                                <a:pt x="0" y="0"/>
                              </a:lnTo>
                              <a:lnTo>
                                <a:pt x="0" y="0"/>
                              </a:lnTo>
                              <a:lnTo>
                                <a:pt x="0" y="0"/>
                              </a:lnTo>
                              <a:lnTo>
                                <a:pt x="0" y="0"/>
                              </a:lnTo>
                              <a:lnTo>
                                <a:pt x="1" y="1"/>
                              </a:lnTo>
                              <a:lnTo>
                                <a:pt x="1" y="1"/>
                              </a:lnTo>
                              <a:lnTo>
                                <a:pt x="1" y="1"/>
                              </a:lnTo>
                              <a:lnTo>
                                <a:pt x="1" y="2"/>
                              </a:lnTo>
                              <a:lnTo>
                                <a:pt x="2" y="2"/>
                              </a:lnTo>
                              <a:lnTo>
                                <a:pt x="2" y="3"/>
                              </a:lnTo>
                              <a:lnTo>
                                <a:pt x="2" y="3"/>
                              </a:lnTo>
                              <a:lnTo>
                                <a:pt x="3" y="4"/>
                              </a:lnTo>
                              <a:lnTo>
                                <a:pt x="3" y="5"/>
                              </a:lnTo>
                              <a:lnTo>
                                <a:pt x="3" y="5"/>
                              </a:lnTo>
                              <a:lnTo>
                                <a:pt x="4" y="6"/>
                              </a:lnTo>
                              <a:lnTo>
                                <a:pt x="4" y="7"/>
                              </a:lnTo>
                              <a:lnTo>
                                <a:pt x="4" y="7"/>
                              </a:lnTo>
                              <a:lnTo>
                                <a:pt x="5" y="8"/>
                              </a:lnTo>
                              <a:lnTo>
                                <a:pt x="5" y="8"/>
                              </a:lnTo>
                              <a:lnTo>
                                <a:pt x="5" y="9"/>
                              </a:lnTo>
                              <a:lnTo>
                                <a:pt x="5" y="9"/>
                              </a:lnTo>
                              <a:lnTo>
                                <a:pt x="6" y="9"/>
                              </a:lnTo>
                              <a:lnTo>
                                <a:pt x="6" y="10"/>
                              </a:lnTo>
                              <a:lnTo>
                                <a:pt x="6" y="10"/>
                              </a:lnTo>
                              <a:lnTo>
                                <a:pt x="6" y="10"/>
                              </a:lnTo>
                              <a:lnTo>
                                <a:pt x="6" y="11"/>
                              </a:lnTo>
                              <a:lnTo>
                                <a:pt x="6" y="11"/>
                              </a:lnTo>
                              <a:lnTo>
                                <a:pt x="7" y="11"/>
                              </a:lnTo>
                              <a:lnTo>
                                <a:pt x="7" y="12"/>
                              </a:lnTo>
                              <a:lnTo>
                                <a:pt x="7" y="12"/>
                              </a:lnTo>
                              <a:lnTo>
                                <a:pt x="7" y="12"/>
                              </a:lnTo>
                              <a:lnTo>
                                <a:pt x="7" y="12"/>
                              </a:lnTo>
                              <a:lnTo>
                                <a:pt x="7" y="12"/>
                              </a:lnTo>
                              <a:lnTo>
                                <a:pt x="8" y="12"/>
                              </a:lnTo>
                              <a:lnTo>
                                <a:pt x="8" y="13"/>
                              </a:lnTo>
                              <a:lnTo>
                                <a:pt x="8" y="13"/>
                              </a:lnTo>
                              <a:lnTo>
                                <a:pt x="8" y="13"/>
                              </a:lnTo>
                              <a:lnTo>
                                <a:pt x="8" y="13"/>
                              </a:lnTo>
                              <a:lnTo>
                                <a:pt x="8" y="13"/>
                              </a:lnTo>
                              <a:lnTo>
                                <a:pt x="8" y="14"/>
                              </a:lnTo>
                              <a:lnTo>
                                <a:pt x="9" y="14"/>
                              </a:lnTo>
                              <a:lnTo>
                                <a:pt x="9" y="14"/>
                              </a:lnTo>
                              <a:lnTo>
                                <a:pt x="9" y="14"/>
                              </a:lnTo>
                              <a:lnTo>
                                <a:pt x="9" y="14"/>
                              </a:lnTo>
                              <a:lnTo>
                                <a:pt x="9" y="14"/>
                              </a:lnTo>
                              <a:lnTo>
                                <a:pt x="9" y="15"/>
                              </a:lnTo>
                              <a:lnTo>
                                <a:pt x="9" y="15"/>
                              </a:lnTo>
                              <a:lnTo>
                                <a:pt x="10" y="15"/>
                              </a:lnTo>
                              <a:lnTo>
                                <a:pt x="10" y="15"/>
                              </a:lnTo>
                              <a:lnTo>
                                <a:pt x="10" y="15"/>
                              </a:lnTo>
                              <a:lnTo>
                                <a:pt x="10" y="15"/>
                              </a:lnTo>
                              <a:lnTo>
                                <a:pt x="10" y="15"/>
                              </a:lnTo>
                              <a:lnTo>
                                <a:pt x="10" y="15"/>
                              </a:lnTo>
                              <a:lnTo>
                                <a:pt x="10" y="15"/>
                              </a:lnTo>
                              <a:lnTo>
                                <a:pt x="11" y="15"/>
                              </a:lnTo>
                              <a:lnTo>
                                <a:pt x="11" y="16"/>
                              </a:lnTo>
                              <a:lnTo>
                                <a:pt x="11" y="16"/>
                              </a:lnTo>
                              <a:lnTo>
                                <a:pt x="11" y="16"/>
                              </a:lnTo>
                              <a:lnTo>
                                <a:pt x="11" y="16"/>
                              </a:lnTo>
                              <a:lnTo>
                                <a:pt x="11" y="16"/>
                              </a:lnTo>
                              <a:lnTo>
                                <a:pt x="12" y="16"/>
                              </a:lnTo>
                              <a:lnTo>
                                <a:pt x="12" y="16"/>
                              </a:lnTo>
                              <a:lnTo>
                                <a:pt x="12" y="16"/>
                              </a:lnTo>
                              <a:lnTo>
                                <a:pt x="12" y="16"/>
                              </a:lnTo>
                              <a:lnTo>
                                <a:pt x="12" y="17"/>
                              </a:lnTo>
                              <a:lnTo>
                                <a:pt x="12" y="17"/>
                              </a:lnTo>
                              <a:lnTo>
                                <a:pt x="13" y="17"/>
                              </a:lnTo>
                              <a:lnTo>
                                <a:pt x="13" y="17"/>
                              </a:lnTo>
                              <a:lnTo>
                                <a:pt x="13" y="17"/>
                              </a:lnTo>
                              <a:lnTo>
                                <a:pt x="13" y="17"/>
                              </a:lnTo>
                              <a:lnTo>
                                <a:pt x="13" y="17"/>
                              </a:lnTo>
                              <a:lnTo>
                                <a:pt x="13" y="17"/>
                              </a:lnTo>
                              <a:lnTo>
                                <a:pt x="14" y="17"/>
                              </a:lnTo>
                              <a:lnTo>
                                <a:pt x="14" y="17"/>
                              </a:lnTo>
                              <a:lnTo>
                                <a:pt x="14" y="17"/>
                              </a:lnTo>
                              <a:lnTo>
                                <a:pt x="14" y="17"/>
                              </a:lnTo>
                              <a:lnTo>
                                <a:pt x="15" y="17"/>
                              </a:lnTo>
                              <a:lnTo>
                                <a:pt x="15" y="17"/>
                              </a:lnTo>
                              <a:lnTo>
                                <a:pt x="15" y="17"/>
                              </a:lnTo>
                              <a:lnTo>
                                <a:pt x="15" y="17"/>
                              </a:lnTo>
                              <a:lnTo>
                                <a:pt x="15" y="18"/>
                              </a:lnTo>
                              <a:lnTo>
                                <a:pt x="16" y="18"/>
                              </a:lnTo>
                              <a:lnTo>
                                <a:pt x="16" y="18"/>
                              </a:lnTo>
                              <a:lnTo>
                                <a:pt x="16" y="18"/>
                              </a:lnTo>
                              <a:lnTo>
                                <a:pt x="16" y="18"/>
                              </a:lnTo>
                              <a:lnTo>
                                <a:pt x="17" y="18"/>
                              </a:lnTo>
                              <a:lnTo>
                                <a:pt x="17" y="18"/>
                              </a:lnTo>
                              <a:lnTo>
                                <a:pt x="17" y="18"/>
                              </a:lnTo>
                              <a:lnTo>
                                <a:pt x="17" y="18"/>
                              </a:lnTo>
                              <a:lnTo>
                                <a:pt x="18" y="18"/>
                              </a:lnTo>
                              <a:lnTo>
                                <a:pt x="18" y="18"/>
                              </a:lnTo>
                              <a:lnTo>
                                <a:pt x="18" y="18"/>
                              </a:lnTo>
                              <a:lnTo>
                                <a:pt x="18" y="18"/>
                              </a:lnTo>
                              <a:lnTo>
                                <a:pt x="19" y="18"/>
                              </a:lnTo>
                              <a:lnTo>
                                <a:pt x="19" y="18"/>
                              </a:lnTo>
                              <a:lnTo>
                                <a:pt x="19" y="18"/>
                              </a:lnTo>
                              <a:lnTo>
                                <a:pt x="20" y="18"/>
                              </a:lnTo>
                              <a:lnTo>
                                <a:pt x="20" y="18"/>
                              </a:lnTo>
                              <a:lnTo>
                                <a:pt x="21" y="18"/>
                              </a:lnTo>
                              <a:lnTo>
                                <a:pt x="21" y="18"/>
                              </a:lnTo>
                              <a:lnTo>
                                <a:pt x="21" y="18"/>
                              </a:lnTo>
                              <a:lnTo>
                                <a:pt x="22" y="18"/>
                              </a:lnTo>
                              <a:lnTo>
                                <a:pt x="22" y="18"/>
                              </a:lnTo>
                              <a:lnTo>
                                <a:pt x="23" y="17"/>
                              </a:lnTo>
                              <a:lnTo>
                                <a:pt x="23" y="17"/>
                              </a:lnTo>
                              <a:lnTo>
                                <a:pt x="24" y="17"/>
                              </a:lnTo>
                              <a:lnTo>
                                <a:pt x="24" y="17"/>
                              </a:lnTo>
                              <a:lnTo>
                                <a:pt x="25" y="17"/>
                              </a:lnTo>
                              <a:lnTo>
                                <a:pt x="26" y="17"/>
                              </a:lnTo>
                              <a:lnTo>
                                <a:pt x="27" y="17"/>
                              </a:lnTo>
                              <a:lnTo>
                                <a:pt x="28" y="17"/>
                              </a:lnTo>
                              <a:lnTo>
                                <a:pt x="29" y="17"/>
                              </a:lnTo>
                              <a:lnTo>
                                <a:pt x="30" y="17"/>
                              </a:lnTo>
                              <a:lnTo>
                                <a:pt x="31" y="16"/>
                              </a:lnTo>
                              <a:lnTo>
                                <a:pt x="32" y="16"/>
                              </a:lnTo>
                              <a:lnTo>
                                <a:pt x="33" y="16"/>
                              </a:lnTo>
                              <a:lnTo>
                                <a:pt x="33" y="16"/>
                              </a:lnTo>
                              <a:lnTo>
                                <a:pt x="34" y="16"/>
                              </a:lnTo>
                              <a:lnTo>
                                <a:pt x="35" y="16"/>
                              </a:lnTo>
                              <a:lnTo>
                                <a:pt x="36" y="16"/>
                              </a:lnTo>
                              <a:lnTo>
                                <a:pt x="37" y="16"/>
                              </a:lnTo>
                              <a:lnTo>
                                <a:pt x="38" y="16"/>
                              </a:lnTo>
                              <a:lnTo>
                                <a:pt x="39" y="16"/>
                              </a:lnTo>
                              <a:lnTo>
                                <a:pt x="40" y="16"/>
                              </a:lnTo>
                              <a:lnTo>
                                <a:pt x="41" y="16"/>
                              </a:lnTo>
                              <a:lnTo>
                                <a:pt x="42" y="16"/>
                              </a:lnTo>
                              <a:lnTo>
                                <a:pt x="43" y="16"/>
                              </a:lnTo>
                              <a:lnTo>
                                <a:pt x="45" y="16"/>
                              </a:lnTo>
                              <a:lnTo>
                                <a:pt x="47" y="16"/>
                              </a:lnTo>
                              <a:lnTo>
                                <a:pt x="50" y="16"/>
                              </a:lnTo>
                              <a:lnTo>
                                <a:pt x="55" y="16"/>
                              </a:lnTo>
                              <a:lnTo>
                                <a:pt x="60" y="16"/>
                              </a:lnTo>
                              <a:lnTo>
                                <a:pt x="64" y="16"/>
                              </a:lnTo>
                              <a:lnTo>
                                <a:pt x="68" y="16"/>
                              </a:lnTo>
                              <a:lnTo>
                                <a:pt x="73" y="16"/>
                              </a:lnTo>
                              <a:lnTo>
                                <a:pt x="78" y="16"/>
                              </a:lnTo>
                              <a:lnTo>
                                <a:pt x="82" y="16"/>
                              </a:lnTo>
                              <a:lnTo>
                                <a:pt x="85" y="16"/>
                              </a:lnTo>
                              <a:lnTo>
                                <a:pt x="88" y="17"/>
                              </a:lnTo>
                              <a:lnTo>
                                <a:pt x="90" y="17"/>
                              </a:lnTo>
                              <a:lnTo>
                                <a:pt x="92" y="17"/>
                              </a:lnTo>
                              <a:lnTo>
                                <a:pt x="95" y="17"/>
                              </a:lnTo>
                              <a:lnTo>
                                <a:pt x="98" y="17"/>
                              </a:lnTo>
                              <a:lnTo>
                                <a:pt x="101" y="17"/>
                              </a:lnTo>
                              <a:lnTo>
                                <a:pt x="104" y="17"/>
                              </a:lnTo>
                              <a:lnTo>
                                <a:pt x="108" y="17"/>
                              </a:lnTo>
                              <a:lnTo>
                                <a:pt x="111" y="17"/>
                              </a:lnTo>
                              <a:lnTo>
                                <a:pt x="114" y="17"/>
                              </a:lnTo>
                              <a:lnTo>
                                <a:pt x="116" y="17"/>
                              </a:lnTo>
                              <a:lnTo>
                                <a:pt x="119" y="17"/>
                              </a:lnTo>
                              <a:lnTo>
                                <a:pt x="122" y="17"/>
                              </a:lnTo>
                              <a:lnTo>
                                <a:pt x="126" y="17"/>
                              </a:lnTo>
                              <a:lnTo>
                                <a:pt x="128" y="17"/>
                              </a:lnTo>
                              <a:lnTo>
                                <a:pt x="131" y="17"/>
                              </a:lnTo>
                              <a:lnTo>
                                <a:pt x="134" y="17"/>
                              </a:lnTo>
                              <a:lnTo>
                                <a:pt x="137" y="17"/>
                              </a:lnTo>
                              <a:lnTo>
                                <a:pt x="140" y="17"/>
                              </a:lnTo>
                              <a:lnTo>
                                <a:pt x="142" y="17"/>
                              </a:lnTo>
                              <a:lnTo>
                                <a:pt x="144" y="17"/>
                              </a:lnTo>
                              <a:lnTo>
                                <a:pt x="146" y="17"/>
                              </a:lnTo>
                              <a:lnTo>
                                <a:pt x="148" y="17"/>
                              </a:lnTo>
                              <a:lnTo>
                                <a:pt x="150" y="17"/>
                              </a:lnTo>
                              <a:lnTo>
                                <a:pt x="152" y="17"/>
                              </a:lnTo>
                              <a:lnTo>
                                <a:pt x="154" y="17"/>
                              </a:lnTo>
                              <a:lnTo>
                                <a:pt x="157" y="17"/>
                              </a:lnTo>
                              <a:lnTo>
                                <a:pt x="159" y="17"/>
                              </a:lnTo>
                              <a:lnTo>
                                <a:pt x="163" y="17"/>
                              </a:lnTo>
                              <a:lnTo>
                                <a:pt x="167" y="17"/>
                              </a:lnTo>
                              <a:lnTo>
                                <a:pt x="171" y="17"/>
                              </a:lnTo>
                              <a:lnTo>
                                <a:pt x="175" y="17"/>
                              </a:lnTo>
                              <a:lnTo>
                                <a:pt x="179" y="17"/>
                              </a:lnTo>
                              <a:lnTo>
                                <a:pt x="182" y="17"/>
                              </a:lnTo>
                              <a:lnTo>
                                <a:pt x="186" y="17"/>
                              </a:lnTo>
                              <a:lnTo>
                                <a:pt x="191" y="17"/>
                              </a:lnTo>
                              <a:lnTo>
                                <a:pt x="195" y="17"/>
                              </a:lnTo>
                              <a:lnTo>
                                <a:pt x="197" y="17"/>
                              </a:lnTo>
                              <a:lnTo>
                                <a:pt x="200" y="17"/>
                              </a:lnTo>
                              <a:lnTo>
                                <a:pt x="204" y="17"/>
                              </a:lnTo>
                              <a:lnTo>
                                <a:pt x="209" y="17"/>
                              </a:lnTo>
                              <a:lnTo>
                                <a:pt x="212" y="17"/>
                              </a:lnTo>
                              <a:lnTo>
                                <a:pt x="213" y="17"/>
                              </a:lnTo>
                              <a:lnTo>
                                <a:pt x="216" y="17"/>
                              </a:lnTo>
                              <a:lnTo>
                                <a:pt x="219" y="17"/>
                              </a:lnTo>
                              <a:lnTo>
                                <a:pt x="222" y="17"/>
                              </a:lnTo>
                              <a:lnTo>
                                <a:pt x="225" y="17"/>
                              </a:lnTo>
                              <a:lnTo>
                                <a:pt x="228" y="17"/>
                              </a:lnTo>
                              <a:lnTo>
                                <a:pt x="233" y="17"/>
                              </a:lnTo>
                              <a:lnTo>
                                <a:pt x="237" y="17"/>
                              </a:lnTo>
                              <a:lnTo>
                                <a:pt x="242" y="17"/>
                              </a:lnTo>
                              <a:lnTo>
                                <a:pt x="247" y="17"/>
                              </a:lnTo>
                              <a:lnTo>
                                <a:pt x="251" y="17"/>
                              </a:lnTo>
                              <a:lnTo>
                                <a:pt x="254" y="17"/>
                              </a:lnTo>
                              <a:lnTo>
                                <a:pt x="257" y="17"/>
                              </a:lnTo>
                              <a:lnTo>
                                <a:pt x="260" y="17"/>
                              </a:lnTo>
                              <a:lnTo>
                                <a:pt x="262" y="17"/>
                              </a:lnTo>
                              <a:lnTo>
                                <a:pt x="265" y="17"/>
                              </a:lnTo>
                              <a:lnTo>
                                <a:pt x="268" y="17"/>
                              </a:lnTo>
                              <a:lnTo>
                                <a:pt x="271" y="17"/>
                              </a:lnTo>
                              <a:lnTo>
                                <a:pt x="274" y="18"/>
                              </a:lnTo>
                              <a:lnTo>
                                <a:pt x="277" y="18"/>
                              </a:lnTo>
                              <a:lnTo>
                                <a:pt x="279" y="18"/>
                              </a:lnTo>
                              <a:lnTo>
                                <a:pt x="282" y="18"/>
                              </a:lnTo>
                              <a:lnTo>
                                <a:pt x="284" y="17"/>
                              </a:lnTo>
                              <a:lnTo>
                                <a:pt x="286" y="17"/>
                              </a:lnTo>
                              <a:lnTo>
                                <a:pt x="288" y="17"/>
                              </a:lnTo>
                              <a:lnTo>
                                <a:pt x="289" y="17"/>
                              </a:lnTo>
                              <a:lnTo>
                                <a:pt x="292" y="18"/>
                              </a:lnTo>
                              <a:lnTo>
                                <a:pt x="296" y="18"/>
                              </a:lnTo>
                              <a:lnTo>
                                <a:pt x="300" y="18"/>
                              </a:lnTo>
                              <a:lnTo>
                                <a:pt x="305" y="18"/>
                              </a:lnTo>
                              <a:lnTo>
                                <a:pt x="309" y="18"/>
                              </a:lnTo>
                              <a:lnTo>
                                <a:pt x="314" y="18"/>
                              </a:lnTo>
                              <a:lnTo>
                                <a:pt x="318" y="18"/>
                              </a:lnTo>
                              <a:lnTo>
                                <a:pt x="320" y="18"/>
                              </a:lnTo>
                              <a:lnTo>
                                <a:pt x="322" y="18"/>
                              </a:lnTo>
                              <a:lnTo>
                                <a:pt x="325" y="18"/>
                              </a:lnTo>
                              <a:lnTo>
                                <a:pt x="328" y="18"/>
                              </a:lnTo>
                              <a:lnTo>
                                <a:pt x="331" y="18"/>
                              </a:lnTo>
                              <a:lnTo>
                                <a:pt x="333" y="18"/>
                              </a:lnTo>
                              <a:lnTo>
                                <a:pt x="337" y="18"/>
                              </a:lnTo>
                              <a:lnTo>
                                <a:pt x="341" y="18"/>
                              </a:lnTo>
                              <a:lnTo>
                                <a:pt x="346" y="18"/>
                              </a:lnTo>
                              <a:lnTo>
                                <a:pt x="353" y="18"/>
                              </a:lnTo>
                              <a:lnTo>
                                <a:pt x="359" y="18"/>
                              </a:lnTo>
                              <a:lnTo>
                                <a:pt x="363" y="18"/>
                              </a:lnTo>
                              <a:lnTo>
                                <a:pt x="368" y="18"/>
                              </a:lnTo>
                              <a:lnTo>
                                <a:pt x="371" y="18"/>
                              </a:lnTo>
                              <a:lnTo>
                                <a:pt x="376" y="18"/>
                              </a:lnTo>
                              <a:lnTo>
                                <a:pt x="381" y="18"/>
                              </a:lnTo>
                              <a:lnTo>
                                <a:pt x="384" y="18"/>
                              </a:lnTo>
                              <a:lnTo>
                                <a:pt x="387" y="18"/>
                              </a:lnTo>
                              <a:lnTo>
                                <a:pt x="390" y="18"/>
                              </a:lnTo>
                              <a:lnTo>
                                <a:pt x="393" y="18"/>
                              </a:lnTo>
                              <a:lnTo>
                                <a:pt x="396" y="18"/>
                              </a:lnTo>
                              <a:lnTo>
                                <a:pt x="400" y="18"/>
                              </a:lnTo>
                              <a:lnTo>
                                <a:pt x="404" y="18"/>
                              </a:lnTo>
                              <a:lnTo>
                                <a:pt x="407" y="18"/>
                              </a:lnTo>
                              <a:lnTo>
                                <a:pt x="409" y="18"/>
                              </a:lnTo>
                              <a:lnTo>
                                <a:pt x="413" y="18"/>
                              </a:lnTo>
                              <a:lnTo>
                                <a:pt x="417" y="18"/>
                              </a:lnTo>
                              <a:lnTo>
                                <a:pt x="423" y="18"/>
                              </a:lnTo>
                              <a:lnTo>
                                <a:pt x="430" y="18"/>
                              </a:lnTo>
                              <a:lnTo>
                                <a:pt x="436" y="18"/>
                              </a:lnTo>
                              <a:lnTo>
                                <a:pt x="444" y="18"/>
                              </a:lnTo>
                              <a:lnTo>
                                <a:pt x="453" y="18"/>
                              </a:lnTo>
                              <a:lnTo>
                                <a:pt x="459" y="18"/>
                              </a:lnTo>
                              <a:lnTo>
                                <a:pt x="465" y="18"/>
                              </a:lnTo>
                              <a:lnTo>
                                <a:pt x="470" y="18"/>
                              </a:lnTo>
                              <a:lnTo>
                                <a:pt x="474" y="18"/>
                              </a:lnTo>
                              <a:lnTo>
                                <a:pt x="478" y="18"/>
                              </a:lnTo>
                              <a:lnTo>
                                <a:pt x="481" y="18"/>
                              </a:lnTo>
                              <a:lnTo>
                                <a:pt x="484" y="18"/>
                              </a:lnTo>
                              <a:lnTo>
                                <a:pt x="487" y="18"/>
                              </a:lnTo>
                              <a:lnTo>
                                <a:pt x="489" y="18"/>
                              </a:lnTo>
                              <a:lnTo>
                                <a:pt x="492" y="18"/>
                              </a:lnTo>
                              <a:lnTo>
                                <a:pt x="495" y="18"/>
                              </a:lnTo>
                              <a:lnTo>
                                <a:pt x="498" y="18"/>
                              </a:lnTo>
                              <a:lnTo>
                                <a:pt x="500" y="18"/>
                              </a:lnTo>
                              <a:lnTo>
                                <a:pt x="502" y="18"/>
                              </a:lnTo>
                              <a:lnTo>
                                <a:pt x="505" y="18"/>
                              </a:lnTo>
                              <a:lnTo>
                                <a:pt x="508" y="18"/>
                              </a:lnTo>
                              <a:lnTo>
                                <a:pt x="511" y="18"/>
                              </a:lnTo>
                              <a:lnTo>
                                <a:pt x="516" y="18"/>
                              </a:lnTo>
                              <a:lnTo>
                                <a:pt x="522" y="18"/>
                              </a:lnTo>
                              <a:lnTo>
                                <a:pt x="527" y="18"/>
                              </a:lnTo>
                              <a:lnTo>
                                <a:pt x="535" y="18"/>
                              </a:lnTo>
                              <a:lnTo>
                                <a:pt x="542" y="18"/>
                              </a:lnTo>
                              <a:lnTo>
                                <a:pt x="547" y="18"/>
                              </a:lnTo>
                              <a:lnTo>
                                <a:pt x="552" y="18"/>
                              </a:lnTo>
                              <a:lnTo>
                                <a:pt x="556" y="18"/>
                              </a:lnTo>
                              <a:lnTo>
                                <a:pt x="561" y="18"/>
                              </a:lnTo>
                              <a:lnTo>
                                <a:pt x="566" y="18"/>
                              </a:lnTo>
                              <a:lnTo>
                                <a:pt x="569" y="18"/>
                              </a:lnTo>
                              <a:lnTo>
                                <a:pt x="572" y="18"/>
                              </a:lnTo>
                              <a:lnTo>
                                <a:pt x="576" y="18"/>
                              </a:lnTo>
                              <a:lnTo>
                                <a:pt x="581" y="18"/>
                              </a:lnTo>
                              <a:lnTo>
                                <a:pt x="587" y="18"/>
                              </a:lnTo>
                              <a:lnTo>
                                <a:pt x="592" y="18"/>
                              </a:lnTo>
                              <a:lnTo>
                                <a:pt x="596" y="18"/>
                              </a:lnTo>
                              <a:lnTo>
                                <a:pt x="598" y="18"/>
                              </a:lnTo>
                              <a:lnTo>
                                <a:pt x="601" y="18"/>
                              </a:lnTo>
                              <a:lnTo>
                                <a:pt x="604" y="18"/>
                              </a:lnTo>
                              <a:lnTo>
                                <a:pt x="610" y="18"/>
                              </a:lnTo>
                              <a:lnTo>
                                <a:pt x="614" y="18"/>
                              </a:lnTo>
                              <a:lnTo>
                                <a:pt x="617" y="18"/>
                              </a:lnTo>
                              <a:lnTo>
                                <a:pt x="620" y="18"/>
                              </a:lnTo>
                              <a:lnTo>
                                <a:pt x="623" y="18"/>
                              </a:lnTo>
                              <a:lnTo>
                                <a:pt x="627" y="18"/>
                              </a:lnTo>
                              <a:lnTo>
                                <a:pt x="631" y="18"/>
                              </a:lnTo>
                              <a:lnTo>
                                <a:pt x="632" y="18"/>
                              </a:lnTo>
                              <a:lnTo>
                                <a:pt x="634" y="18"/>
                              </a:lnTo>
                              <a:lnTo>
                                <a:pt x="637" y="18"/>
                              </a:lnTo>
                              <a:lnTo>
                                <a:pt x="639" y="18"/>
                              </a:lnTo>
                              <a:lnTo>
                                <a:pt x="641" y="18"/>
                              </a:lnTo>
                              <a:lnTo>
                                <a:pt x="643" y="18"/>
                              </a:lnTo>
                              <a:lnTo>
                                <a:pt x="647" y="18"/>
                              </a:lnTo>
                              <a:lnTo>
                                <a:pt x="651" y="18"/>
                              </a:lnTo>
                              <a:lnTo>
                                <a:pt x="656" y="18"/>
                              </a:lnTo>
                              <a:lnTo>
                                <a:pt x="660" y="18"/>
                              </a:lnTo>
                              <a:lnTo>
                                <a:pt x="665" y="18"/>
                              </a:lnTo>
                              <a:lnTo>
                                <a:pt x="670" y="18"/>
                              </a:lnTo>
                              <a:lnTo>
                                <a:pt x="674" y="18"/>
                              </a:lnTo>
                              <a:lnTo>
                                <a:pt x="679" y="18"/>
                              </a:lnTo>
                              <a:lnTo>
                                <a:pt x="682" y="18"/>
                              </a:lnTo>
                              <a:lnTo>
                                <a:pt x="686" y="18"/>
                              </a:lnTo>
                              <a:lnTo>
                                <a:pt x="691" y="18"/>
                              </a:lnTo>
                              <a:lnTo>
                                <a:pt x="696" y="18"/>
                              </a:lnTo>
                              <a:lnTo>
                                <a:pt x="701" y="18"/>
                              </a:lnTo>
                              <a:lnTo>
                                <a:pt x="707" y="18"/>
                              </a:lnTo>
                              <a:lnTo>
                                <a:pt x="710" y="18"/>
                              </a:lnTo>
                              <a:lnTo>
                                <a:pt x="713" y="18"/>
                              </a:lnTo>
                              <a:lnTo>
                                <a:pt x="716" y="18"/>
                              </a:lnTo>
                              <a:lnTo>
                                <a:pt x="720" y="18"/>
                              </a:lnTo>
                              <a:lnTo>
                                <a:pt x="724" y="18"/>
                              </a:lnTo>
                              <a:lnTo>
                                <a:pt x="727" y="18"/>
                              </a:lnTo>
                              <a:lnTo>
                                <a:pt x="731" y="18"/>
                              </a:lnTo>
                              <a:lnTo>
                                <a:pt x="733" y="18"/>
                              </a:lnTo>
                              <a:lnTo>
                                <a:pt x="736" y="18"/>
                              </a:lnTo>
                              <a:lnTo>
                                <a:pt x="738" y="18"/>
                              </a:lnTo>
                              <a:lnTo>
                                <a:pt x="740" y="18"/>
                              </a:lnTo>
                              <a:lnTo>
                                <a:pt x="742" y="18"/>
                              </a:lnTo>
                              <a:lnTo>
                                <a:pt x="745" y="18"/>
                              </a:lnTo>
                              <a:lnTo>
                                <a:pt x="750" y="18"/>
                              </a:lnTo>
                              <a:lnTo>
                                <a:pt x="754" y="18"/>
                              </a:lnTo>
                              <a:lnTo>
                                <a:pt x="758" y="18"/>
                              </a:lnTo>
                              <a:lnTo>
                                <a:pt x="761" y="18"/>
                              </a:lnTo>
                              <a:lnTo>
                                <a:pt x="765" y="18"/>
                              </a:lnTo>
                              <a:lnTo>
                                <a:pt x="768" y="18"/>
                              </a:lnTo>
                              <a:lnTo>
                                <a:pt x="771" y="18"/>
                              </a:lnTo>
                              <a:lnTo>
                                <a:pt x="772" y="18"/>
                              </a:lnTo>
                              <a:lnTo>
                                <a:pt x="774" y="18"/>
                              </a:lnTo>
                              <a:lnTo>
                                <a:pt x="778" y="18"/>
                              </a:lnTo>
                              <a:lnTo>
                                <a:pt x="783" y="17"/>
                              </a:lnTo>
                              <a:lnTo>
                                <a:pt x="787" y="17"/>
                              </a:lnTo>
                              <a:lnTo>
                                <a:pt x="790" y="17"/>
                              </a:lnTo>
                              <a:lnTo>
                                <a:pt x="793" y="17"/>
                              </a:lnTo>
                              <a:lnTo>
                                <a:pt x="796" y="17"/>
                              </a:lnTo>
                              <a:lnTo>
                                <a:pt x="800" y="17"/>
                              </a:lnTo>
                              <a:lnTo>
                                <a:pt x="804" y="17"/>
                              </a:lnTo>
                              <a:lnTo>
                                <a:pt x="807" y="17"/>
                              </a:lnTo>
                              <a:lnTo>
                                <a:pt x="809" y="17"/>
                              </a:lnTo>
                              <a:lnTo>
                                <a:pt x="811" y="17"/>
                              </a:lnTo>
                              <a:lnTo>
                                <a:pt x="813" y="17"/>
                              </a:lnTo>
                              <a:lnTo>
                                <a:pt x="814" y="17"/>
                              </a:lnTo>
                              <a:lnTo>
                                <a:pt x="816" y="17"/>
                              </a:lnTo>
                              <a:lnTo>
                                <a:pt x="819" y="17"/>
                              </a:lnTo>
                              <a:lnTo>
                                <a:pt x="822" y="17"/>
                              </a:lnTo>
                              <a:lnTo>
                                <a:pt x="825" y="17"/>
                              </a:lnTo>
                              <a:lnTo>
                                <a:pt x="828" y="17"/>
                              </a:lnTo>
                              <a:lnTo>
                                <a:pt x="832" y="17"/>
                              </a:lnTo>
                              <a:lnTo>
                                <a:pt x="835" y="17"/>
                              </a:lnTo>
                              <a:lnTo>
                                <a:pt x="838" y="17"/>
                              </a:lnTo>
                              <a:lnTo>
                                <a:pt x="840" y="17"/>
                              </a:lnTo>
                              <a:lnTo>
                                <a:pt x="841" y="17"/>
                              </a:lnTo>
                              <a:lnTo>
                                <a:pt x="843" y="17"/>
                              </a:lnTo>
                              <a:lnTo>
                                <a:pt x="845" y="17"/>
                              </a:lnTo>
                              <a:lnTo>
                                <a:pt x="847" y="17"/>
                              </a:lnTo>
                              <a:lnTo>
                                <a:pt x="849" y="17"/>
                              </a:lnTo>
                              <a:lnTo>
                                <a:pt x="851" y="17"/>
                              </a:lnTo>
                              <a:lnTo>
                                <a:pt x="853" y="17"/>
                              </a:lnTo>
                              <a:lnTo>
                                <a:pt x="855" y="17"/>
                              </a:lnTo>
                              <a:lnTo>
                                <a:pt x="857" y="17"/>
                              </a:lnTo>
                              <a:lnTo>
                                <a:pt x="859" y="17"/>
                              </a:lnTo>
                              <a:lnTo>
                                <a:pt x="862" y="17"/>
                              </a:lnTo>
                              <a:lnTo>
                                <a:pt x="865" y="17"/>
                              </a:lnTo>
                              <a:lnTo>
                                <a:pt x="868" y="17"/>
                              </a:lnTo>
                              <a:lnTo>
                                <a:pt x="871" y="17"/>
                              </a:lnTo>
                              <a:lnTo>
                                <a:pt x="874" y="17"/>
                              </a:lnTo>
                              <a:lnTo>
                                <a:pt x="877" y="17"/>
                              </a:lnTo>
                              <a:lnTo>
                                <a:pt x="882" y="17"/>
                              </a:lnTo>
                              <a:lnTo>
                                <a:pt x="885" y="17"/>
                              </a:lnTo>
                              <a:lnTo>
                                <a:pt x="888" y="17"/>
                              </a:lnTo>
                              <a:lnTo>
                                <a:pt x="890" y="17"/>
                              </a:lnTo>
                              <a:lnTo>
                                <a:pt x="893" y="17"/>
                              </a:lnTo>
                              <a:lnTo>
                                <a:pt x="895" y="17"/>
                              </a:lnTo>
                              <a:lnTo>
                                <a:pt x="897" y="17"/>
                              </a:lnTo>
                              <a:lnTo>
                                <a:pt x="899" y="17"/>
                              </a:lnTo>
                              <a:lnTo>
                                <a:pt x="901" y="17"/>
                              </a:lnTo>
                              <a:lnTo>
                                <a:pt x="902" y="17"/>
                              </a:lnTo>
                              <a:lnTo>
                                <a:pt x="904" y="17"/>
                              </a:lnTo>
                              <a:lnTo>
                                <a:pt x="906" y="17"/>
                              </a:lnTo>
                              <a:lnTo>
                                <a:pt x="909" y="17"/>
                              </a:lnTo>
                              <a:lnTo>
                                <a:pt x="911" y="17"/>
                              </a:lnTo>
                              <a:lnTo>
                                <a:pt x="912" y="17"/>
                              </a:lnTo>
                              <a:lnTo>
                                <a:pt x="914" y="17"/>
                              </a:lnTo>
                              <a:lnTo>
                                <a:pt x="915" y="17"/>
                              </a:lnTo>
                              <a:lnTo>
                                <a:pt x="916" y="17"/>
                              </a:lnTo>
                              <a:lnTo>
                                <a:pt x="918" y="17"/>
                              </a:lnTo>
                              <a:lnTo>
                                <a:pt x="920" y="17"/>
                              </a:lnTo>
                              <a:lnTo>
                                <a:pt x="921" y="17"/>
                              </a:lnTo>
                              <a:lnTo>
                                <a:pt x="924" y="17"/>
                              </a:lnTo>
                              <a:lnTo>
                                <a:pt x="927" y="17"/>
                              </a:lnTo>
                              <a:lnTo>
                                <a:pt x="930" y="17"/>
                              </a:lnTo>
                              <a:lnTo>
                                <a:pt x="932" y="17"/>
                              </a:lnTo>
                              <a:lnTo>
                                <a:pt x="934" y="17"/>
                              </a:lnTo>
                              <a:lnTo>
                                <a:pt x="936" y="17"/>
                              </a:lnTo>
                              <a:lnTo>
                                <a:pt x="938" y="17"/>
                              </a:lnTo>
                              <a:lnTo>
                                <a:pt x="939" y="17"/>
                              </a:lnTo>
                              <a:lnTo>
                                <a:pt x="941" y="17"/>
                              </a:lnTo>
                              <a:lnTo>
                                <a:pt x="942" y="17"/>
                              </a:lnTo>
                              <a:lnTo>
                                <a:pt x="944" y="17"/>
                              </a:lnTo>
                              <a:lnTo>
                                <a:pt x="945" y="17"/>
                              </a:lnTo>
                              <a:lnTo>
                                <a:pt x="945" y="17"/>
                              </a:lnTo>
                              <a:lnTo>
                                <a:pt x="947" y="17"/>
                              </a:lnTo>
                              <a:lnTo>
                                <a:pt x="948" y="17"/>
                              </a:lnTo>
                              <a:lnTo>
                                <a:pt x="950" y="17"/>
                              </a:lnTo>
                              <a:lnTo>
                                <a:pt x="952" y="17"/>
                              </a:lnTo>
                              <a:lnTo>
                                <a:pt x="954" y="17"/>
                              </a:lnTo>
                              <a:lnTo>
                                <a:pt x="956" y="16"/>
                              </a:lnTo>
                              <a:lnTo>
                                <a:pt x="958" y="16"/>
                              </a:lnTo>
                              <a:lnTo>
                                <a:pt x="960" y="16"/>
                              </a:lnTo>
                              <a:lnTo>
                                <a:pt x="962" y="16"/>
                              </a:lnTo>
                              <a:lnTo>
                                <a:pt x="964" y="16"/>
                              </a:lnTo>
                              <a:lnTo>
                                <a:pt x="967" y="16"/>
                              </a:lnTo>
                              <a:lnTo>
                                <a:pt x="971" y="16"/>
                              </a:lnTo>
                              <a:lnTo>
                                <a:pt x="974" y="16"/>
                              </a:lnTo>
                              <a:lnTo>
                                <a:pt x="977" y="16"/>
                              </a:lnTo>
                              <a:lnTo>
                                <a:pt x="979" y="16"/>
                              </a:lnTo>
                              <a:lnTo>
                                <a:pt x="980" y="16"/>
                              </a:lnTo>
                              <a:lnTo>
                                <a:pt x="981" y="16"/>
                              </a:lnTo>
                              <a:lnTo>
                                <a:pt x="983" y="16"/>
                              </a:lnTo>
                              <a:lnTo>
                                <a:pt x="985" y="16"/>
                              </a:lnTo>
                              <a:lnTo>
                                <a:pt x="987" y="16"/>
                              </a:lnTo>
                              <a:lnTo>
                                <a:pt x="989" y="16"/>
                              </a:lnTo>
                              <a:lnTo>
                                <a:pt x="992" y="16"/>
                              </a:lnTo>
                              <a:lnTo>
                                <a:pt x="994" y="16"/>
                              </a:lnTo>
                              <a:lnTo>
                                <a:pt x="996" y="16"/>
                              </a:lnTo>
                              <a:lnTo>
                                <a:pt x="999" y="16"/>
                              </a:lnTo>
                              <a:lnTo>
                                <a:pt x="1002" y="16"/>
                              </a:lnTo>
                              <a:lnTo>
                                <a:pt x="1004" y="16"/>
                              </a:lnTo>
                              <a:lnTo>
                                <a:pt x="1006" y="16"/>
                              </a:lnTo>
                              <a:lnTo>
                                <a:pt x="1008" y="16"/>
                              </a:lnTo>
                              <a:lnTo>
                                <a:pt x="1010" y="16"/>
                              </a:lnTo>
                              <a:lnTo>
                                <a:pt x="1012" y="16"/>
                              </a:lnTo>
                              <a:lnTo>
                                <a:pt x="1013" y="16"/>
                              </a:lnTo>
                              <a:lnTo>
                                <a:pt x="1014" y="16"/>
                              </a:lnTo>
                              <a:lnTo>
                                <a:pt x="1014" y="16"/>
                              </a:lnTo>
                              <a:lnTo>
                                <a:pt x="1016" y="16"/>
                              </a:lnTo>
                              <a:lnTo>
                                <a:pt x="1017" y="16"/>
                              </a:lnTo>
                              <a:lnTo>
                                <a:pt x="1019" y="16"/>
                              </a:lnTo>
                              <a:lnTo>
                                <a:pt x="1020" y="16"/>
                              </a:lnTo>
                              <a:lnTo>
                                <a:pt x="1022" y="16"/>
                              </a:lnTo>
                              <a:lnTo>
                                <a:pt x="1023" y="16"/>
                              </a:lnTo>
                              <a:lnTo>
                                <a:pt x="1024" y="16"/>
                              </a:lnTo>
                              <a:lnTo>
                                <a:pt x="1025" y="16"/>
                              </a:lnTo>
                              <a:lnTo>
                                <a:pt x="1026" y="16"/>
                              </a:lnTo>
                              <a:lnTo>
                                <a:pt x="1028" y="16"/>
                              </a:lnTo>
                              <a:lnTo>
                                <a:pt x="1029" y="16"/>
                              </a:lnTo>
                              <a:lnTo>
                                <a:pt x="1030" y="16"/>
                              </a:lnTo>
                              <a:lnTo>
                                <a:pt x="1031" y="16"/>
                              </a:lnTo>
                              <a:lnTo>
                                <a:pt x="1033" y="16"/>
                              </a:lnTo>
                              <a:lnTo>
                                <a:pt x="1034" y="16"/>
                              </a:lnTo>
                              <a:lnTo>
                                <a:pt x="1035" y="16"/>
                              </a:lnTo>
                              <a:lnTo>
                                <a:pt x="1036" y="16"/>
                              </a:lnTo>
                              <a:lnTo>
                                <a:pt x="1038" y="15"/>
                              </a:lnTo>
                              <a:lnTo>
                                <a:pt x="1039" y="15"/>
                              </a:lnTo>
                              <a:lnTo>
                                <a:pt x="1041" y="15"/>
                              </a:lnTo>
                              <a:lnTo>
                                <a:pt x="1043" y="15"/>
                              </a:lnTo>
                              <a:lnTo>
                                <a:pt x="1045" y="15"/>
                              </a:lnTo>
                              <a:lnTo>
                                <a:pt x="1046" y="15"/>
                              </a:lnTo>
                              <a:lnTo>
                                <a:pt x="1047" y="15"/>
                              </a:lnTo>
                              <a:lnTo>
                                <a:pt x="1048" y="15"/>
                              </a:lnTo>
                              <a:lnTo>
                                <a:pt x="1048" y="15"/>
                              </a:lnTo>
                              <a:lnTo>
                                <a:pt x="1049" y="15"/>
                              </a:lnTo>
                              <a:lnTo>
                                <a:pt x="1049" y="15"/>
                              </a:lnTo>
                              <a:lnTo>
                                <a:pt x="1050" y="15"/>
                              </a:lnTo>
                              <a:lnTo>
                                <a:pt x="1051" y="15"/>
                              </a:lnTo>
                              <a:lnTo>
                                <a:pt x="1052" y="15"/>
                              </a:lnTo>
                              <a:lnTo>
                                <a:pt x="1054" y="15"/>
                              </a:lnTo>
                              <a:lnTo>
                                <a:pt x="1055" y="15"/>
                              </a:lnTo>
                              <a:lnTo>
                                <a:pt x="1056" y="15"/>
                              </a:lnTo>
                              <a:lnTo>
                                <a:pt x="1057" y="15"/>
                              </a:lnTo>
                              <a:lnTo>
                                <a:pt x="1059" y="15"/>
                              </a:lnTo>
                              <a:lnTo>
                                <a:pt x="1060" y="15"/>
                              </a:lnTo>
                              <a:lnTo>
                                <a:pt x="1062" y="14"/>
                              </a:lnTo>
                              <a:lnTo>
                                <a:pt x="1064" y="14"/>
                              </a:lnTo>
                              <a:lnTo>
                                <a:pt x="1065" y="14"/>
                              </a:lnTo>
                              <a:lnTo>
                                <a:pt x="1066" y="14"/>
                              </a:lnTo>
                              <a:lnTo>
                                <a:pt x="1067" y="14"/>
                              </a:lnTo>
                              <a:lnTo>
                                <a:pt x="1068" y="14"/>
                              </a:lnTo>
                              <a:lnTo>
                                <a:pt x="1069" y="14"/>
                              </a:lnTo>
                              <a:lnTo>
                                <a:pt x="1070" y="14"/>
                              </a:lnTo>
                              <a:lnTo>
                                <a:pt x="1071" y="14"/>
                              </a:lnTo>
                              <a:lnTo>
                                <a:pt x="1072" y="14"/>
                              </a:lnTo>
                              <a:lnTo>
                                <a:pt x="1074" y="14"/>
                              </a:lnTo>
                              <a:lnTo>
                                <a:pt x="1075" y="14"/>
                              </a:lnTo>
                              <a:lnTo>
                                <a:pt x="1076" y="14"/>
                              </a:lnTo>
                              <a:lnTo>
                                <a:pt x="1078" y="14"/>
                              </a:lnTo>
                              <a:lnTo>
                                <a:pt x="1080" y="14"/>
                              </a:lnTo>
                              <a:lnTo>
                                <a:pt x="1082" y="13"/>
                              </a:lnTo>
                              <a:lnTo>
                                <a:pt x="1083" y="13"/>
                              </a:lnTo>
                              <a:lnTo>
                                <a:pt x="1083" y="13"/>
                              </a:lnTo>
                              <a:lnTo>
                                <a:pt x="1084" y="13"/>
                              </a:lnTo>
                              <a:lnTo>
                                <a:pt x="1084" y="13"/>
                              </a:lnTo>
                              <a:lnTo>
                                <a:pt x="1085" y="13"/>
                              </a:lnTo>
                              <a:lnTo>
                                <a:pt x="1086" y="13"/>
                              </a:lnTo>
                              <a:lnTo>
                                <a:pt x="1087" y="13"/>
                              </a:lnTo>
                              <a:lnTo>
                                <a:pt x="1087" y="13"/>
                              </a:lnTo>
                              <a:lnTo>
                                <a:pt x="1088" y="13"/>
                              </a:lnTo>
                              <a:lnTo>
                                <a:pt x="1089" y="13"/>
                              </a:lnTo>
                              <a:lnTo>
                                <a:pt x="1090" y="13"/>
                              </a:lnTo>
                              <a:lnTo>
                                <a:pt x="1091" y="13"/>
                              </a:lnTo>
                              <a:lnTo>
                                <a:pt x="1092" y="13"/>
                              </a:lnTo>
                              <a:lnTo>
                                <a:pt x="1093" y="13"/>
                              </a:lnTo>
                              <a:lnTo>
                                <a:pt x="1095" y="13"/>
                              </a:lnTo>
                              <a:lnTo>
                                <a:pt x="1096" y="13"/>
                              </a:lnTo>
                              <a:lnTo>
                                <a:pt x="1098" y="13"/>
                              </a:lnTo>
                              <a:lnTo>
                                <a:pt x="1099" y="13"/>
                              </a:lnTo>
                              <a:lnTo>
                                <a:pt x="1100" y="13"/>
                              </a:lnTo>
                              <a:lnTo>
                                <a:pt x="1101" y="13"/>
                              </a:lnTo>
                            </a:path>
                          </a:pathLst>
                        </a:custGeom>
                        <a:noFill/>
                        <a:ln w="3175">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12" name="Freeform 153"/>
                        <a:cNvSpPr>
                          <a:spLocks/>
                        </a:cNvSpPr>
                      </a:nvSpPr>
                      <a:spPr bwMode="auto">
                        <a:xfrm>
                          <a:off x="3948068" y="6838377"/>
                          <a:ext cx="650917" cy="395163"/>
                        </a:xfrm>
                        <a:custGeom>
                          <a:avLst/>
                          <a:gdLst/>
                          <a:ahLst/>
                          <a:cxnLst>
                            <a:cxn ang="0">
                              <a:pos x="10" y="209"/>
                            </a:cxn>
                            <a:cxn ang="0">
                              <a:pos x="19" y="209"/>
                            </a:cxn>
                            <a:cxn ang="0">
                              <a:pos x="31" y="209"/>
                            </a:cxn>
                            <a:cxn ang="0">
                              <a:pos x="37" y="209"/>
                            </a:cxn>
                            <a:cxn ang="0">
                              <a:pos x="43" y="208"/>
                            </a:cxn>
                            <a:cxn ang="0">
                              <a:pos x="51" y="207"/>
                            </a:cxn>
                            <a:cxn ang="0">
                              <a:pos x="55" y="207"/>
                            </a:cxn>
                            <a:cxn ang="0">
                              <a:pos x="64" y="206"/>
                            </a:cxn>
                            <a:cxn ang="0">
                              <a:pos x="72" y="206"/>
                            </a:cxn>
                            <a:cxn ang="0">
                              <a:pos x="81" y="205"/>
                            </a:cxn>
                            <a:cxn ang="0">
                              <a:pos x="86" y="204"/>
                            </a:cxn>
                            <a:cxn ang="0">
                              <a:pos x="88" y="204"/>
                            </a:cxn>
                            <a:cxn ang="0">
                              <a:pos x="93" y="204"/>
                            </a:cxn>
                            <a:cxn ang="0">
                              <a:pos x="98" y="203"/>
                            </a:cxn>
                            <a:cxn ang="0">
                              <a:pos x="103" y="201"/>
                            </a:cxn>
                            <a:cxn ang="0">
                              <a:pos x="107" y="200"/>
                            </a:cxn>
                            <a:cxn ang="0">
                              <a:pos x="110" y="198"/>
                            </a:cxn>
                            <a:cxn ang="0">
                              <a:pos x="111" y="197"/>
                            </a:cxn>
                            <a:cxn ang="0">
                              <a:pos x="113" y="194"/>
                            </a:cxn>
                            <a:cxn ang="0">
                              <a:pos x="114" y="192"/>
                            </a:cxn>
                            <a:cxn ang="0">
                              <a:pos x="115" y="189"/>
                            </a:cxn>
                            <a:cxn ang="0">
                              <a:pos x="116" y="185"/>
                            </a:cxn>
                            <a:cxn ang="0">
                              <a:pos x="118" y="179"/>
                            </a:cxn>
                            <a:cxn ang="0">
                              <a:pos x="119" y="172"/>
                            </a:cxn>
                            <a:cxn ang="0">
                              <a:pos x="120" y="168"/>
                            </a:cxn>
                            <a:cxn ang="0">
                              <a:pos x="120" y="163"/>
                            </a:cxn>
                            <a:cxn ang="0">
                              <a:pos x="122" y="148"/>
                            </a:cxn>
                            <a:cxn ang="0">
                              <a:pos x="124" y="127"/>
                            </a:cxn>
                            <a:cxn ang="0">
                              <a:pos x="127" y="96"/>
                            </a:cxn>
                            <a:cxn ang="0">
                              <a:pos x="131" y="43"/>
                            </a:cxn>
                            <a:cxn ang="0">
                              <a:pos x="133" y="20"/>
                            </a:cxn>
                            <a:cxn ang="0">
                              <a:pos x="135" y="6"/>
                            </a:cxn>
                            <a:cxn ang="0">
                              <a:pos x="137" y="0"/>
                            </a:cxn>
                            <a:cxn ang="0">
                              <a:pos x="139" y="2"/>
                            </a:cxn>
                            <a:cxn ang="0">
                              <a:pos x="141" y="11"/>
                            </a:cxn>
                            <a:cxn ang="0">
                              <a:pos x="144" y="31"/>
                            </a:cxn>
                            <a:cxn ang="0">
                              <a:pos x="150" y="78"/>
                            </a:cxn>
                            <a:cxn ang="0">
                              <a:pos x="154" y="104"/>
                            </a:cxn>
                            <a:cxn ang="0">
                              <a:pos x="155" y="109"/>
                            </a:cxn>
                            <a:cxn ang="0">
                              <a:pos x="156" y="112"/>
                            </a:cxn>
                            <a:cxn ang="0">
                              <a:pos x="158" y="125"/>
                            </a:cxn>
                            <a:cxn ang="0">
                              <a:pos x="162" y="137"/>
                            </a:cxn>
                            <a:cxn ang="0">
                              <a:pos x="165" y="147"/>
                            </a:cxn>
                            <a:cxn ang="0">
                              <a:pos x="171" y="157"/>
                            </a:cxn>
                            <a:cxn ang="0">
                              <a:pos x="177" y="166"/>
                            </a:cxn>
                            <a:cxn ang="0">
                              <a:pos x="185" y="175"/>
                            </a:cxn>
                            <a:cxn ang="0">
                              <a:pos x="191" y="181"/>
                            </a:cxn>
                            <a:cxn ang="0">
                              <a:pos x="196" y="184"/>
                            </a:cxn>
                            <a:cxn ang="0">
                              <a:pos x="206" y="191"/>
                            </a:cxn>
                            <a:cxn ang="0">
                              <a:pos x="215" y="196"/>
                            </a:cxn>
                            <a:cxn ang="0">
                              <a:pos x="223" y="199"/>
                            </a:cxn>
                            <a:cxn ang="0">
                              <a:pos x="228" y="201"/>
                            </a:cxn>
                            <a:cxn ang="0">
                              <a:pos x="235" y="203"/>
                            </a:cxn>
                            <a:cxn ang="0">
                              <a:pos x="243" y="204"/>
                            </a:cxn>
                            <a:cxn ang="0">
                              <a:pos x="253" y="205"/>
                            </a:cxn>
                            <a:cxn ang="0">
                              <a:pos x="263" y="206"/>
                            </a:cxn>
                            <a:cxn ang="0">
                              <a:pos x="275" y="207"/>
                            </a:cxn>
                            <a:cxn ang="0">
                              <a:pos x="295" y="208"/>
                            </a:cxn>
                            <a:cxn ang="0">
                              <a:pos x="309" y="208"/>
                            </a:cxn>
                            <a:cxn ang="0">
                              <a:pos x="330" y="208"/>
                            </a:cxn>
                            <a:cxn ang="0">
                              <a:pos x="344" y="208"/>
                            </a:cxn>
                            <a:cxn ang="0">
                              <a:pos x="360" y="207"/>
                            </a:cxn>
                            <a:cxn ang="0">
                              <a:pos x="368" y="206"/>
                            </a:cxn>
                          </a:cxnLst>
                          <a:rect l="0" t="0" r="r" b="b"/>
                          <a:pathLst>
                            <a:path w="384" h="210">
                              <a:moveTo>
                                <a:pt x="0" y="210"/>
                              </a:moveTo>
                              <a:lnTo>
                                <a:pt x="1" y="210"/>
                              </a:lnTo>
                              <a:lnTo>
                                <a:pt x="2" y="210"/>
                              </a:lnTo>
                              <a:lnTo>
                                <a:pt x="3" y="210"/>
                              </a:lnTo>
                              <a:lnTo>
                                <a:pt x="5" y="210"/>
                              </a:lnTo>
                              <a:lnTo>
                                <a:pt x="7" y="209"/>
                              </a:lnTo>
                              <a:lnTo>
                                <a:pt x="9" y="209"/>
                              </a:lnTo>
                              <a:lnTo>
                                <a:pt x="10" y="209"/>
                              </a:lnTo>
                              <a:lnTo>
                                <a:pt x="12" y="209"/>
                              </a:lnTo>
                              <a:lnTo>
                                <a:pt x="13" y="209"/>
                              </a:lnTo>
                              <a:lnTo>
                                <a:pt x="14" y="209"/>
                              </a:lnTo>
                              <a:lnTo>
                                <a:pt x="15" y="209"/>
                              </a:lnTo>
                              <a:lnTo>
                                <a:pt x="17" y="209"/>
                              </a:lnTo>
                              <a:lnTo>
                                <a:pt x="17" y="209"/>
                              </a:lnTo>
                              <a:lnTo>
                                <a:pt x="18" y="209"/>
                              </a:lnTo>
                              <a:lnTo>
                                <a:pt x="19" y="209"/>
                              </a:lnTo>
                              <a:lnTo>
                                <a:pt x="20" y="209"/>
                              </a:lnTo>
                              <a:lnTo>
                                <a:pt x="21" y="209"/>
                              </a:lnTo>
                              <a:lnTo>
                                <a:pt x="23" y="209"/>
                              </a:lnTo>
                              <a:lnTo>
                                <a:pt x="25" y="209"/>
                              </a:lnTo>
                              <a:lnTo>
                                <a:pt x="27" y="209"/>
                              </a:lnTo>
                              <a:lnTo>
                                <a:pt x="28" y="209"/>
                              </a:lnTo>
                              <a:lnTo>
                                <a:pt x="29" y="209"/>
                              </a:lnTo>
                              <a:lnTo>
                                <a:pt x="31" y="209"/>
                              </a:lnTo>
                              <a:lnTo>
                                <a:pt x="31" y="209"/>
                              </a:lnTo>
                              <a:lnTo>
                                <a:pt x="32" y="209"/>
                              </a:lnTo>
                              <a:lnTo>
                                <a:pt x="33" y="209"/>
                              </a:lnTo>
                              <a:lnTo>
                                <a:pt x="34" y="209"/>
                              </a:lnTo>
                              <a:lnTo>
                                <a:pt x="35" y="209"/>
                              </a:lnTo>
                              <a:lnTo>
                                <a:pt x="36" y="209"/>
                              </a:lnTo>
                              <a:lnTo>
                                <a:pt x="36" y="209"/>
                              </a:lnTo>
                              <a:lnTo>
                                <a:pt x="37" y="209"/>
                              </a:lnTo>
                              <a:lnTo>
                                <a:pt x="38" y="209"/>
                              </a:lnTo>
                              <a:lnTo>
                                <a:pt x="39" y="209"/>
                              </a:lnTo>
                              <a:lnTo>
                                <a:pt x="39" y="209"/>
                              </a:lnTo>
                              <a:lnTo>
                                <a:pt x="40" y="209"/>
                              </a:lnTo>
                              <a:lnTo>
                                <a:pt x="41" y="209"/>
                              </a:lnTo>
                              <a:lnTo>
                                <a:pt x="42" y="208"/>
                              </a:lnTo>
                              <a:lnTo>
                                <a:pt x="43" y="208"/>
                              </a:lnTo>
                              <a:lnTo>
                                <a:pt x="43" y="208"/>
                              </a:lnTo>
                              <a:lnTo>
                                <a:pt x="44" y="208"/>
                              </a:lnTo>
                              <a:lnTo>
                                <a:pt x="46" y="208"/>
                              </a:lnTo>
                              <a:lnTo>
                                <a:pt x="47" y="208"/>
                              </a:lnTo>
                              <a:lnTo>
                                <a:pt x="49" y="207"/>
                              </a:lnTo>
                              <a:lnTo>
                                <a:pt x="50" y="207"/>
                              </a:lnTo>
                              <a:lnTo>
                                <a:pt x="50" y="207"/>
                              </a:lnTo>
                              <a:lnTo>
                                <a:pt x="51" y="207"/>
                              </a:lnTo>
                              <a:lnTo>
                                <a:pt x="51" y="207"/>
                              </a:lnTo>
                              <a:lnTo>
                                <a:pt x="52" y="207"/>
                              </a:lnTo>
                              <a:lnTo>
                                <a:pt x="52" y="207"/>
                              </a:lnTo>
                              <a:lnTo>
                                <a:pt x="52" y="207"/>
                              </a:lnTo>
                              <a:lnTo>
                                <a:pt x="52" y="207"/>
                              </a:lnTo>
                              <a:lnTo>
                                <a:pt x="53" y="207"/>
                              </a:lnTo>
                              <a:lnTo>
                                <a:pt x="54" y="207"/>
                              </a:lnTo>
                              <a:lnTo>
                                <a:pt x="54" y="207"/>
                              </a:lnTo>
                              <a:lnTo>
                                <a:pt x="55" y="207"/>
                              </a:lnTo>
                              <a:lnTo>
                                <a:pt x="56" y="207"/>
                              </a:lnTo>
                              <a:lnTo>
                                <a:pt x="57" y="206"/>
                              </a:lnTo>
                              <a:lnTo>
                                <a:pt x="58" y="206"/>
                              </a:lnTo>
                              <a:lnTo>
                                <a:pt x="59" y="206"/>
                              </a:lnTo>
                              <a:lnTo>
                                <a:pt x="60" y="206"/>
                              </a:lnTo>
                              <a:lnTo>
                                <a:pt x="61" y="206"/>
                              </a:lnTo>
                              <a:lnTo>
                                <a:pt x="63" y="206"/>
                              </a:lnTo>
                              <a:lnTo>
                                <a:pt x="64" y="206"/>
                              </a:lnTo>
                              <a:lnTo>
                                <a:pt x="65" y="206"/>
                              </a:lnTo>
                              <a:lnTo>
                                <a:pt x="66" y="206"/>
                              </a:lnTo>
                              <a:lnTo>
                                <a:pt x="67" y="206"/>
                              </a:lnTo>
                              <a:lnTo>
                                <a:pt x="68" y="206"/>
                              </a:lnTo>
                              <a:lnTo>
                                <a:pt x="69" y="206"/>
                              </a:lnTo>
                              <a:lnTo>
                                <a:pt x="70" y="206"/>
                              </a:lnTo>
                              <a:lnTo>
                                <a:pt x="71" y="206"/>
                              </a:lnTo>
                              <a:lnTo>
                                <a:pt x="72" y="206"/>
                              </a:lnTo>
                              <a:lnTo>
                                <a:pt x="73" y="205"/>
                              </a:lnTo>
                              <a:lnTo>
                                <a:pt x="75" y="205"/>
                              </a:lnTo>
                              <a:lnTo>
                                <a:pt x="76" y="205"/>
                              </a:lnTo>
                              <a:lnTo>
                                <a:pt x="77" y="205"/>
                              </a:lnTo>
                              <a:lnTo>
                                <a:pt x="78" y="205"/>
                              </a:lnTo>
                              <a:lnTo>
                                <a:pt x="79" y="205"/>
                              </a:lnTo>
                              <a:lnTo>
                                <a:pt x="80" y="205"/>
                              </a:lnTo>
                              <a:lnTo>
                                <a:pt x="81" y="205"/>
                              </a:lnTo>
                              <a:lnTo>
                                <a:pt x="82" y="205"/>
                              </a:lnTo>
                              <a:lnTo>
                                <a:pt x="83" y="204"/>
                              </a:lnTo>
                              <a:lnTo>
                                <a:pt x="84" y="204"/>
                              </a:lnTo>
                              <a:lnTo>
                                <a:pt x="84" y="204"/>
                              </a:lnTo>
                              <a:lnTo>
                                <a:pt x="85" y="204"/>
                              </a:lnTo>
                              <a:lnTo>
                                <a:pt x="85" y="204"/>
                              </a:lnTo>
                              <a:lnTo>
                                <a:pt x="85" y="204"/>
                              </a:lnTo>
                              <a:lnTo>
                                <a:pt x="86" y="204"/>
                              </a:lnTo>
                              <a:lnTo>
                                <a:pt x="86" y="204"/>
                              </a:lnTo>
                              <a:lnTo>
                                <a:pt x="86" y="204"/>
                              </a:lnTo>
                              <a:lnTo>
                                <a:pt x="86" y="204"/>
                              </a:lnTo>
                              <a:lnTo>
                                <a:pt x="87" y="204"/>
                              </a:lnTo>
                              <a:lnTo>
                                <a:pt x="87" y="204"/>
                              </a:lnTo>
                              <a:lnTo>
                                <a:pt x="87" y="204"/>
                              </a:lnTo>
                              <a:lnTo>
                                <a:pt x="88" y="204"/>
                              </a:lnTo>
                              <a:lnTo>
                                <a:pt x="88" y="204"/>
                              </a:lnTo>
                              <a:lnTo>
                                <a:pt x="89" y="204"/>
                              </a:lnTo>
                              <a:lnTo>
                                <a:pt x="90" y="204"/>
                              </a:lnTo>
                              <a:lnTo>
                                <a:pt x="91" y="204"/>
                              </a:lnTo>
                              <a:lnTo>
                                <a:pt x="91" y="204"/>
                              </a:lnTo>
                              <a:lnTo>
                                <a:pt x="92" y="204"/>
                              </a:lnTo>
                              <a:lnTo>
                                <a:pt x="92" y="204"/>
                              </a:lnTo>
                              <a:lnTo>
                                <a:pt x="93" y="204"/>
                              </a:lnTo>
                              <a:lnTo>
                                <a:pt x="93" y="204"/>
                              </a:lnTo>
                              <a:lnTo>
                                <a:pt x="94" y="204"/>
                              </a:lnTo>
                              <a:lnTo>
                                <a:pt x="95" y="203"/>
                              </a:lnTo>
                              <a:lnTo>
                                <a:pt x="95" y="203"/>
                              </a:lnTo>
                              <a:lnTo>
                                <a:pt x="96" y="203"/>
                              </a:lnTo>
                              <a:lnTo>
                                <a:pt x="96" y="203"/>
                              </a:lnTo>
                              <a:lnTo>
                                <a:pt x="97" y="203"/>
                              </a:lnTo>
                              <a:lnTo>
                                <a:pt x="98" y="203"/>
                              </a:lnTo>
                              <a:lnTo>
                                <a:pt x="98" y="203"/>
                              </a:lnTo>
                              <a:lnTo>
                                <a:pt x="99" y="203"/>
                              </a:lnTo>
                              <a:lnTo>
                                <a:pt x="99" y="203"/>
                              </a:lnTo>
                              <a:lnTo>
                                <a:pt x="100" y="202"/>
                              </a:lnTo>
                              <a:lnTo>
                                <a:pt x="100" y="202"/>
                              </a:lnTo>
                              <a:lnTo>
                                <a:pt x="101" y="202"/>
                              </a:lnTo>
                              <a:lnTo>
                                <a:pt x="102" y="202"/>
                              </a:lnTo>
                              <a:lnTo>
                                <a:pt x="102" y="202"/>
                              </a:lnTo>
                              <a:lnTo>
                                <a:pt x="103" y="201"/>
                              </a:lnTo>
                              <a:lnTo>
                                <a:pt x="103" y="201"/>
                              </a:lnTo>
                              <a:lnTo>
                                <a:pt x="104" y="201"/>
                              </a:lnTo>
                              <a:lnTo>
                                <a:pt x="104" y="201"/>
                              </a:lnTo>
                              <a:lnTo>
                                <a:pt x="105" y="201"/>
                              </a:lnTo>
                              <a:lnTo>
                                <a:pt x="105" y="200"/>
                              </a:lnTo>
                              <a:lnTo>
                                <a:pt x="106" y="200"/>
                              </a:lnTo>
                              <a:lnTo>
                                <a:pt x="106" y="200"/>
                              </a:lnTo>
                              <a:lnTo>
                                <a:pt x="107" y="200"/>
                              </a:lnTo>
                              <a:lnTo>
                                <a:pt x="107" y="200"/>
                              </a:lnTo>
                              <a:lnTo>
                                <a:pt x="108" y="199"/>
                              </a:lnTo>
                              <a:lnTo>
                                <a:pt x="108" y="199"/>
                              </a:lnTo>
                              <a:lnTo>
                                <a:pt x="108" y="199"/>
                              </a:lnTo>
                              <a:lnTo>
                                <a:pt x="109" y="199"/>
                              </a:lnTo>
                              <a:lnTo>
                                <a:pt x="109" y="199"/>
                              </a:lnTo>
                              <a:lnTo>
                                <a:pt x="109" y="198"/>
                              </a:lnTo>
                              <a:lnTo>
                                <a:pt x="110" y="198"/>
                              </a:lnTo>
                              <a:lnTo>
                                <a:pt x="110" y="198"/>
                              </a:lnTo>
                              <a:lnTo>
                                <a:pt x="110" y="198"/>
                              </a:lnTo>
                              <a:lnTo>
                                <a:pt x="110" y="197"/>
                              </a:lnTo>
                              <a:lnTo>
                                <a:pt x="111" y="197"/>
                              </a:lnTo>
                              <a:lnTo>
                                <a:pt x="111" y="197"/>
                              </a:lnTo>
                              <a:lnTo>
                                <a:pt x="111" y="197"/>
                              </a:lnTo>
                              <a:lnTo>
                                <a:pt x="111" y="197"/>
                              </a:lnTo>
                              <a:lnTo>
                                <a:pt x="111" y="197"/>
                              </a:lnTo>
                              <a:lnTo>
                                <a:pt x="112" y="196"/>
                              </a:lnTo>
                              <a:lnTo>
                                <a:pt x="112" y="196"/>
                              </a:lnTo>
                              <a:lnTo>
                                <a:pt x="112" y="196"/>
                              </a:lnTo>
                              <a:lnTo>
                                <a:pt x="112" y="195"/>
                              </a:lnTo>
                              <a:lnTo>
                                <a:pt x="112" y="195"/>
                              </a:lnTo>
                              <a:lnTo>
                                <a:pt x="113" y="195"/>
                              </a:lnTo>
                              <a:lnTo>
                                <a:pt x="113" y="195"/>
                              </a:lnTo>
                              <a:lnTo>
                                <a:pt x="113" y="194"/>
                              </a:lnTo>
                              <a:lnTo>
                                <a:pt x="113" y="194"/>
                              </a:lnTo>
                              <a:lnTo>
                                <a:pt x="113" y="194"/>
                              </a:lnTo>
                              <a:lnTo>
                                <a:pt x="113" y="194"/>
                              </a:lnTo>
                              <a:lnTo>
                                <a:pt x="114" y="193"/>
                              </a:lnTo>
                              <a:lnTo>
                                <a:pt x="114" y="193"/>
                              </a:lnTo>
                              <a:lnTo>
                                <a:pt x="114" y="193"/>
                              </a:lnTo>
                              <a:lnTo>
                                <a:pt x="114" y="192"/>
                              </a:lnTo>
                              <a:lnTo>
                                <a:pt x="114" y="192"/>
                              </a:lnTo>
                              <a:lnTo>
                                <a:pt x="114" y="192"/>
                              </a:lnTo>
                              <a:lnTo>
                                <a:pt x="114" y="191"/>
                              </a:lnTo>
                              <a:lnTo>
                                <a:pt x="114" y="191"/>
                              </a:lnTo>
                              <a:lnTo>
                                <a:pt x="115" y="191"/>
                              </a:lnTo>
                              <a:lnTo>
                                <a:pt x="115" y="190"/>
                              </a:lnTo>
                              <a:lnTo>
                                <a:pt x="115" y="190"/>
                              </a:lnTo>
                              <a:lnTo>
                                <a:pt x="115" y="190"/>
                              </a:lnTo>
                              <a:lnTo>
                                <a:pt x="115" y="189"/>
                              </a:lnTo>
                              <a:lnTo>
                                <a:pt x="115" y="189"/>
                              </a:lnTo>
                              <a:lnTo>
                                <a:pt x="115" y="188"/>
                              </a:lnTo>
                              <a:lnTo>
                                <a:pt x="116" y="188"/>
                              </a:lnTo>
                              <a:lnTo>
                                <a:pt x="116" y="187"/>
                              </a:lnTo>
                              <a:lnTo>
                                <a:pt x="116" y="187"/>
                              </a:lnTo>
                              <a:lnTo>
                                <a:pt x="116" y="186"/>
                              </a:lnTo>
                              <a:lnTo>
                                <a:pt x="116" y="185"/>
                              </a:lnTo>
                              <a:lnTo>
                                <a:pt x="116" y="185"/>
                              </a:lnTo>
                              <a:lnTo>
                                <a:pt x="117" y="184"/>
                              </a:lnTo>
                              <a:lnTo>
                                <a:pt x="117" y="183"/>
                              </a:lnTo>
                              <a:lnTo>
                                <a:pt x="117" y="183"/>
                              </a:lnTo>
                              <a:lnTo>
                                <a:pt x="117" y="182"/>
                              </a:lnTo>
                              <a:lnTo>
                                <a:pt x="117" y="181"/>
                              </a:lnTo>
                              <a:lnTo>
                                <a:pt x="117" y="180"/>
                              </a:lnTo>
                              <a:lnTo>
                                <a:pt x="118" y="179"/>
                              </a:lnTo>
                              <a:lnTo>
                                <a:pt x="118" y="179"/>
                              </a:lnTo>
                              <a:lnTo>
                                <a:pt x="118" y="178"/>
                              </a:lnTo>
                              <a:lnTo>
                                <a:pt x="118" y="177"/>
                              </a:lnTo>
                              <a:lnTo>
                                <a:pt x="118" y="176"/>
                              </a:lnTo>
                              <a:lnTo>
                                <a:pt x="118" y="175"/>
                              </a:lnTo>
                              <a:lnTo>
                                <a:pt x="119" y="174"/>
                              </a:lnTo>
                              <a:lnTo>
                                <a:pt x="119" y="173"/>
                              </a:lnTo>
                              <a:lnTo>
                                <a:pt x="119" y="172"/>
                              </a:lnTo>
                              <a:lnTo>
                                <a:pt x="119" y="172"/>
                              </a:lnTo>
                              <a:lnTo>
                                <a:pt x="119" y="171"/>
                              </a:lnTo>
                              <a:lnTo>
                                <a:pt x="119" y="171"/>
                              </a:lnTo>
                              <a:lnTo>
                                <a:pt x="119" y="170"/>
                              </a:lnTo>
                              <a:lnTo>
                                <a:pt x="119" y="170"/>
                              </a:lnTo>
                              <a:lnTo>
                                <a:pt x="119" y="170"/>
                              </a:lnTo>
                              <a:lnTo>
                                <a:pt x="119" y="169"/>
                              </a:lnTo>
                              <a:lnTo>
                                <a:pt x="120" y="169"/>
                              </a:lnTo>
                              <a:lnTo>
                                <a:pt x="120" y="168"/>
                              </a:lnTo>
                              <a:lnTo>
                                <a:pt x="120" y="168"/>
                              </a:lnTo>
                              <a:lnTo>
                                <a:pt x="120" y="167"/>
                              </a:lnTo>
                              <a:lnTo>
                                <a:pt x="120" y="167"/>
                              </a:lnTo>
                              <a:lnTo>
                                <a:pt x="120" y="166"/>
                              </a:lnTo>
                              <a:lnTo>
                                <a:pt x="120" y="166"/>
                              </a:lnTo>
                              <a:lnTo>
                                <a:pt x="120" y="165"/>
                              </a:lnTo>
                              <a:lnTo>
                                <a:pt x="120" y="164"/>
                              </a:lnTo>
                              <a:lnTo>
                                <a:pt x="120" y="163"/>
                              </a:lnTo>
                              <a:lnTo>
                                <a:pt x="120" y="162"/>
                              </a:lnTo>
                              <a:lnTo>
                                <a:pt x="120" y="160"/>
                              </a:lnTo>
                              <a:lnTo>
                                <a:pt x="121" y="159"/>
                              </a:lnTo>
                              <a:lnTo>
                                <a:pt x="121" y="157"/>
                              </a:lnTo>
                              <a:lnTo>
                                <a:pt x="121" y="155"/>
                              </a:lnTo>
                              <a:lnTo>
                                <a:pt x="121" y="153"/>
                              </a:lnTo>
                              <a:lnTo>
                                <a:pt x="122" y="150"/>
                              </a:lnTo>
                              <a:lnTo>
                                <a:pt x="122" y="148"/>
                              </a:lnTo>
                              <a:lnTo>
                                <a:pt x="122" y="146"/>
                              </a:lnTo>
                              <a:lnTo>
                                <a:pt x="122" y="144"/>
                              </a:lnTo>
                              <a:lnTo>
                                <a:pt x="123" y="141"/>
                              </a:lnTo>
                              <a:lnTo>
                                <a:pt x="123" y="139"/>
                              </a:lnTo>
                              <a:lnTo>
                                <a:pt x="123" y="136"/>
                              </a:lnTo>
                              <a:lnTo>
                                <a:pt x="123" y="133"/>
                              </a:lnTo>
                              <a:lnTo>
                                <a:pt x="124" y="130"/>
                              </a:lnTo>
                              <a:lnTo>
                                <a:pt x="124" y="127"/>
                              </a:lnTo>
                              <a:lnTo>
                                <a:pt x="124" y="124"/>
                              </a:lnTo>
                              <a:lnTo>
                                <a:pt x="125" y="121"/>
                              </a:lnTo>
                              <a:lnTo>
                                <a:pt x="125" y="118"/>
                              </a:lnTo>
                              <a:lnTo>
                                <a:pt x="125" y="114"/>
                              </a:lnTo>
                              <a:lnTo>
                                <a:pt x="126" y="111"/>
                              </a:lnTo>
                              <a:lnTo>
                                <a:pt x="126" y="107"/>
                              </a:lnTo>
                              <a:lnTo>
                                <a:pt x="126" y="102"/>
                              </a:lnTo>
                              <a:lnTo>
                                <a:pt x="127" y="96"/>
                              </a:lnTo>
                              <a:lnTo>
                                <a:pt x="127" y="89"/>
                              </a:lnTo>
                              <a:lnTo>
                                <a:pt x="128" y="80"/>
                              </a:lnTo>
                              <a:lnTo>
                                <a:pt x="129" y="70"/>
                              </a:lnTo>
                              <a:lnTo>
                                <a:pt x="129" y="63"/>
                              </a:lnTo>
                              <a:lnTo>
                                <a:pt x="130" y="57"/>
                              </a:lnTo>
                              <a:lnTo>
                                <a:pt x="130" y="52"/>
                              </a:lnTo>
                              <a:lnTo>
                                <a:pt x="131" y="47"/>
                              </a:lnTo>
                              <a:lnTo>
                                <a:pt x="131" y="43"/>
                              </a:lnTo>
                              <a:lnTo>
                                <a:pt x="131" y="39"/>
                              </a:lnTo>
                              <a:lnTo>
                                <a:pt x="132" y="36"/>
                              </a:lnTo>
                              <a:lnTo>
                                <a:pt x="132" y="32"/>
                              </a:lnTo>
                              <a:lnTo>
                                <a:pt x="132" y="29"/>
                              </a:lnTo>
                              <a:lnTo>
                                <a:pt x="132" y="27"/>
                              </a:lnTo>
                              <a:lnTo>
                                <a:pt x="133" y="24"/>
                              </a:lnTo>
                              <a:lnTo>
                                <a:pt x="133" y="22"/>
                              </a:lnTo>
                              <a:lnTo>
                                <a:pt x="133" y="20"/>
                              </a:lnTo>
                              <a:lnTo>
                                <a:pt x="133" y="17"/>
                              </a:lnTo>
                              <a:lnTo>
                                <a:pt x="134" y="16"/>
                              </a:lnTo>
                              <a:lnTo>
                                <a:pt x="134" y="14"/>
                              </a:lnTo>
                              <a:lnTo>
                                <a:pt x="134" y="12"/>
                              </a:lnTo>
                              <a:lnTo>
                                <a:pt x="134" y="10"/>
                              </a:lnTo>
                              <a:lnTo>
                                <a:pt x="135" y="9"/>
                              </a:lnTo>
                              <a:lnTo>
                                <a:pt x="135" y="8"/>
                              </a:lnTo>
                              <a:lnTo>
                                <a:pt x="135" y="6"/>
                              </a:lnTo>
                              <a:lnTo>
                                <a:pt x="135" y="5"/>
                              </a:lnTo>
                              <a:lnTo>
                                <a:pt x="136" y="4"/>
                              </a:lnTo>
                              <a:lnTo>
                                <a:pt x="136" y="3"/>
                              </a:lnTo>
                              <a:lnTo>
                                <a:pt x="136" y="2"/>
                              </a:lnTo>
                              <a:lnTo>
                                <a:pt x="136" y="2"/>
                              </a:lnTo>
                              <a:lnTo>
                                <a:pt x="137" y="1"/>
                              </a:lnTo>
                              <a:lnTo>
                                <a:pt x="137" y="1"/>
                              </a:lnTo>
                              <a:lnTo>
                                <a:pt x="137" y="0"/>
                              </a:lnTo>
                              <a:lnTo>
                                <a:pt x="137" y="0"/>
                              </a:lnTo>
                              <a:lnTo>
                                <a:pt x="138" y="0"/>
                              </a:lnTo>
                              <a:lnTo>
                                <a:pt x="138" y="0"/>
                              </a:lnTo>
                              <a:lnTo>
                                <a:pt x="138" y="0"/>
                              </a:lnTo>
                              <a:lnTo>
                                <a:pt x="138" y="0"/>
                              </a:lnTo>
                              <a:lnTo>
                                <a:pt x="138" y="1"/>
                              </a:lnTo>
                              <a:lnTo>
                                <a:pt x="139" y="1"/>
                              </a:lnTo>
                              <a:lnTo>
                                <a:pt x="139" y="2"/>
                              </a:lnTo>
                              <a:lnTo>
                                <a:pt x="139" y="2"/>
                              </a:lnTo>
                              <a:lnTo>
                                <a:pt x="140" y="3"/>
                              </a:lnTo>
                              <a:lnTo>
                                <a:pt x="140" y="4"/>
                              </a:lnTo>
                              <a:lnTo>
                                <a:pt x="140" y="5"/>
                              </a:lnTo>
                              <a:lnTo>
                                <a:pt x="140" y="6"/>
                              </a:lnTo>
                              <a:lnTo>
                                <a:pt x="141" y="8"/>
                              </a:lnTo>
                              <a:lnTo>
                                <a:pt x="141" y="9"/>
                              </a:lnTo>
                              <a:lnTo>
                                <a:pt x="141" y="11"/>
                              </a:lnTo>
                              <a:lnTo>
                                <a:pt x="141" y="13"/>
                              </a:lnTo>
                              <a:lnTo>
                                <a:pt x="142" y="15"/>
                              </a:lnTo>
                              <a:lnTo>
                                <a:pt x="142" y="17"/>
                              </a:lnTo>
                              <a:lnTo>
                                <a:pt x="143" y="19"/>
                              </a:lnTo>
                              <a:lnTo>
                                <a:pt x="143" y="22"/>
                              </a:lnTo>
                              <a:lnTo>
                                <a:pt x="143" y="25"/>
                              </a:lnTo>
                              <a:lnTo>
                                <a:pt x="144" y="28"/>
                              </a:lnTo>
                              <a:lnTo>
                                <a:pt x="144" y="31"/>
                              </a:lnTo>
                              <a:lnTo>
                                <a:pt x="145" y="35"/>
                              </a:lnTo>
                              <a:lnTo>
                                <a:pt x="145" y="40"/>
                              </a:lnTo>
                              <a:lnTo>
                                <a:pt x="146" y="46"/>
                              </a:lnTo>
                              <a:lnTo>
                                <a:pt x="147" y="54"/>
                              </a:lnTo>
                              <a:lnTo>
                                <a:pt x="148" y="62"/>
                              </a:lnTo>
                              <a:lnTo>
                                <a:pt x="149" y="68"/>
                              </a:lnTo>
                              <a:lnTo>
                                <a:pt x="150" y="74"/>
                              </a:lnTo>
                              <a:lnTo>
                                <a:pt x="150" y="78"/>
                              </a:lnTo>
                              <a:lnTo>
                                <a:pt x="151" y="83"/>
                              </a:lnTo>
                              <a:lnTo>
                                <a:pt x="151" y="87"/>
                              </a:lnTo>
                              <a:lnTo>
                                <a:pt x="152" y="91"/>
                              </a:lnTo>
                              <a:lnTo>
                                <a:pt x="153" y="94"/>
                              </a:lnTo>
                              <a:lnTo>
                                <a:pt x="153" y="98"/>
                              </a:lnTo>
                              <a:lnTo>
                                <a:pt x="154" y="101"/>
                              </a:lnTo>
                              <a:lnTo>
                                <a:pt x="154" y="103"/>
                              </a:lnTo>
                              <a:lnTo>
                                <a:pt x="154" y="104"/>
                              </a:lnTo>
                              <a:lnTo>
                                <a:pt x="154" y="105"/>
                              </a:lnTo>
                              <a:lnTo>
                                <a:pt x="154" y="106"/>
                              </a:lnTo>
                              <a:lnTo>
                                <a:pt x="155" y="106"/>
                              </a:lnTo>
                              <a:lnTo>
                                <a:pt x="155" y="107"/>
                              </a:lnTo>
                              <a:lnTo>
                                <a:pt x="155" y="107"/>
                              </a:lnTo>
                              <a:lnTo>
                                <a:pt x="155" y="108"/>
                              </a:lnTo>
                              <a:lnTo>
                                <a:pt x="155" y="108"/>
                              </a:lnTo>
                              <a:lnTo>
                                <a:pt x="155" y="109"/>
                              </a:lnTo>
                              <a:lnTo>
                                <a:pt x="155" y="109"/>
                              </a:lnTo>
                              <a:lnTo>
                                <a:pt x="155" y="109"/>
                              </a:lnTo>
                              <a:lnTo>
                                <a:pt x="155" y="110"/>
                              </a:lnTo>
                              <a:lnTo>
                                <a:pt x="155" y="110"/>
                              </a:lnTo>
                              <a:lnTo>
                                <a:pt x="155" y="110"/>
                              </a:lnTo>
                              <a:lnTo>
                                <a:pt x="155" y="111"/>
                              </a:lnTo>
                              <a:lnTo>
                                <a:pt x="156" y="111"/>
                              </a:lnTo>
                              <a:lnTo>
                                <a:pt x="156" y="112"/>
                              </a:lnTo>
                              <a:lnTo>
                                <a:pt x="156" y="113"/>
                              </a:lnTo>
                              <a:lnTo>
                                <a:pt x="156" y="115"/>
                              </a:lnTo>
                              <a:lnTo>
                                <a:pt x="156" y="117"/>
                              </a:lnTo>
                              <a:lnTo>
                                <a:pt x="157" y="119"/>
                              </a:lnTo>
                              <a:lnTo>
                                <a:pt x="157" y="120"/>
                              </a:lnTo>
                              <a:lnTo>
                                <a:pt x="158" y="122"/>
                              </a:lnTo>
                              <a:lnTo>
                                <a:pt x="158" y="124"/>
                              </a:lnTo>
                              <a:lnTo>
                                <a:pt x="158" y="125"/>
                              </a:lnTo>
                              <a:lnTo>
                                <a:pt x="159" y="127"/>
                              </a:lnTo>
                              <a:lnTo>
                                <a:pt x="159" y="128"/>
                              </a:lnTo>
                              <a:lnTo>
                                <a:pt x="159" y="130"/>
                              </a:lnTo>
                              <a:lnTo>
                                <a:pt x="160" y="131"/>
                              </a:lnTo>
                              <a:lnTo>
                                <a:pt x="160" y="133"/>
                              </a:lnTo>
                              <a:lnTo>
                                <a:pt x="161" y="134"/>
                              </a:lnTo>
                              <a:lnTo>
                                <a:pt x="161" y="136"/>
                              </a:lnTo>
                              <a:lnTo>
                                <a:pt x="162" y="137"/>
                              </a:lnTo>
                              <a:lnTo>
                                <a:pt x="162" y="139"/>
                              </a:lnTo>
                              <a:lnTo>
                                <a:pt x="162" y="140"/>
                              </a:lnTo>
                              <a:lnTo>
                                <a:pt x="163" y="141"/>
                              </a:lnTo>
                              <a:lnTo>
                                <a:pt x="163" y="143"/>
                              </a:lnTo>
                              <a:lnTo>
                                <a:pt x="164" y="144"/>
                              </a:lnTo>
                              <a:lnTo>
                                <a:pt x="164" y="145"/>
                              </a:lnTo>
                              <a:lnTo>
                                <a:pt x="165" y="146"/>
                              </a:lnTo>
                              <a:lnTo>
                                <a:pt x="165" y="147"/>
                              </a:lnTo>
                              <a:lnTo>
                                <a:pt x="166" y="149"/>
                              </a:lnTo>
                              <a:lnTo>
                                <a:pt x="167" y="150"/>
                              </a:lnTo>
                              <a:lnTo>
                                <a:pt x="167" y="151"/>
                              </a:lnTo>
                              <a:lnTo>
                                <a:pt x="168" y="152"/>
                              </a:lnTo>
                              <a:lnTo>
                                <a:pt x="168" y="153"/>
                              </a:lnTo>
                              <a:lnTo>
                                <a:pt x="169" y="155"/>
                              </a:lnTo>
                              <a:lnTo>
                                <a:pt x="170" y="156"/>
                              </a:lnTo>
                              <a:lnTo>
                                <a:pt x="171" y="157"/>
                              </a:lnTo>
                              <a:lnTo>
                                <a:pt x="171" y="158"/>
                              </a:lnTo>
                              <a:lnTo>
                                <a:pt x="172" y="160"/>
                              </a:lnTo>
                              <a:lnTo>
                                <a:pt x="173" y="161"/>
                              </a:lnTo>
                              <a:lnTo>
                                <a:pt x="174" y="162"/>
                              </a:lnTo>
                              <a:lnTo>
                                <a:pt x="175" y="163"/>
                              </a:lnTo>
                              <a:lnTo>
                                <a:pt x="175" y="164"/>
                              </a:lnTo>
                              <a:lnTo>
                                <a:pt x="176" y="165"/>
                              </a:lnTo>
                              <a:lnTo>
                                <a:pt x="177" y="166"/>
                              </a:lnTo>
                              <a:lnTo>
                                <a:pt x="178" y="167"/>
                              </a:lnTo>
                              <a:lnTo>
                                <a:pt x="179" y="168"/>
                              </a:lnTo>
                              <a:lnTo>
                                <a:pt x="180" y="169"/>
                              </a:lnTo>
                              <a:lnTo>
                                <a:pt x="181" y="170"/>
                              </a:lnTo>
                              <a:lnTo>
                                <a:pt x="182" y="172"/>
                              </a:lnTo>
                              <a:lnTo>
                                <a:pt x="183" y="173"/>
                              </a:lnTo>
                              <a:lnTo>
                                <a:pt x="184" y="174"/>
                              </a:lnTo>
                              <a:lnTo>
                                <a:pt x="185" y="175"/>
                              </a:lnTo>
                              <a:lnTo>
                                <a:pt x="186" y="176"/>
                              </a:lnTo>
                              <a:lnTo>
                                <a:pt x="186" y="177"/>
                              </a:lnTo>
                              <a:lnTo>
                                <a:pt x="187" y="178"/>
                              </a:lnTo>
                              <a:lnTo>
                                <a:pt x="188" y="178"/>
                              </a:lnTo>
                              <a:lnTo>
                                <a:pt x="189" y="179"/>
                              </a:lnTo>
                              <a:lnTo>
                                <a:pt x="190" y="180"/>
                              </a:lnTo>
                              <a:lnTo>
                                <a:pt x="190" y="180"/>
                              </a:lnTo>
                              <a:lnTo>
                                <a:pt x="191" y="181"/>
                              </a:lnTo>
                              <a:lnTo>
                                <a:pt x="191" y="181"/>
                              </a:lnTo>
                              <a:lnTo>
                                <a:pt x="192" y="181"/>
                              </a:lnTo>
                              <a:lnTo>
                                <a:pt x="192" y="182"/>
                              </a:lnTo>
                              <a:lnTo>
                                <a:pt x="192" y="182"/>
                              </a:lnTo>
                              <a:lnTo>
                                <a:pt x="193" y="182"/>
                              </a:lnTo>
                              <a:lnTo>
                                <a:pt x="193" y="182"/>
                              </a:lnTo>
                              <a:lnTo>
                                <a:pt x="194" y="183"/>
                              </a:lnTo>
                              <a:lnTo>
                                <a:pt x="196" y="184"/>
                              </a:lnTo>
                              <a:lnTo>
                                <a:pt x="197" y="185"/>
                              </a:lnTo>
                              <a:lnTo>
                                <a:pt x="198" y="186"/>
                              </a:lnTo>
                              <a:lnTo>
                                <a:pt x="199" y="187"/>
                              </a:lnTo>
                              <a:lnTo>
                                <a:pt x="201" y="188"/>
                              </a:lnTo>
                              <a:lnTo>
                                <a:pt x="202" y="188"/>
                              </a:lnTo>
                              <a:lnTo>
                                <a:pt x="203" y="189"/>
                              </a:lnTo>
                              <a:lnTo>
                                <a:pt x="204" y="190"/>
                              </a:lnTo>
                              <a:lnTo>
                                <a:pt x="206" y="191"/>
                              </a:lnTo>
                              <a:lnTo>
                                <a:pt x="207" y="191"/>
                              </a:lnTo>
                              <a:lnTo>
                                <a:pt x="208" y="192"/>
                              </a:lnTo>
                              <a:lnTo>
                                <a:pt x="209" y="193"/>
                              </a:lnTo>
                              <a:lnTo>
                                <a:pt x="210" y="193"/>
                              </a:lnTo>
                              <a:lnTo>
                                <a:pt x="212" y="194"/>
                              </a:lnTo>
                              <a:lnTo>
                                <a:pt x="213" y="195"/>
                              </a:lnTo>
                              <a:lnTo>
                                <a:pt x="214" y="195"/>
                              </a:lnTo>
                              <a:lnTo>
                                <a:pt x="215" y="196"/>
                              </a:lnTo>
                              <a:lnTo>
                                <a:pt x="216" y="196"/>
                              </a:lnTo>
                              <a:lnTo>
                                <a:pt x="217" y="197"/>
                              </a:lnTo>
                              <a:lnTo>
                                <a:pt x="218" y="197"/>
                              </a:lnTo>
                              <a:lnTo>
                                <a:pt x="219" y="197"/>
                              </a:lnTo>
                              <a:lnTo>
                                <a:pt x="220" y="198"/>
                              </a:lnTo>
                              <a:lnTo>
                                <a:pt x="221" y="198"/>
                              </a:lnTo>
                              <a:lnTo>
                                <a:pt x="222" y="199"/>
                              </a:lnTo>
                              <a:lnTo>
                                <a:pt x="223" y="199"/>
                              </a:lnTo>
                              <a:lnTo>
                                <a:pt x="224" y="200"/>
                              </a:lnTo>
                              <a:lnTo>
                                <a:pt x="225" y="200"/>
                              </a:lnTo>
                              <a:lnTo>
                                <a:pt x="226" y="200"/>
                              </a:lnTo>
                              <a:lnTo>
                                <a:pt x="226" y="200"/>
                              </a:lnTo>
                              <a:lnTo>
                                <a:pt x="227" y="201"/>
                              </a:lnTo>
                              <a:lnTo>
                                <a:pt x="228" y="201"/>
                              </a:lnTo>
                              <a:lnTo>
                                <a:pt x="228" y="201"/>
                              </a:lnTo>
                              <a:lnTo>
                                <a:pt x="228" y="201"/>
                              </a:lnTo>
                              <a:lnTo>
                                <a:pt x="229" y="201"/>
                              </a:lnTo>
                              <a:lnTo>
                                <a:pt x="230" y="201"/>
                              </a:lnTo>
                              <a:lnTo>
                                <a:pt x="231" y="202"/>
                              </a:lnTo>
                              <a:lnTo>
                                <a:pt x="232" y="202"/>
                              </a:lnTo>
                              <a:lnTo>
                                <a:pt x="233" y="202"/>
                              </a:lnTo>
                              <a:lnTo>
                                <a:pt x="233" y="202"/>
                              </a:lnTo>
                              <a:lnTo>
                                <a:pt x="234" y="202"/>
                              </a:lnTo>
                              <a:lnTo>
                                <a:pt x="235" y="203"/>
                              </a:lnTo>
                              <a:lnTo>
                                <a:pt x="236" y="203"/>
                              </a:lnTo>
                              <a:lnTo>
                                <a:pt x="237" y="203"/>
                              </a:lnTo>
                              <a:lnTo>
                                <a:pt x="238" y="203"/>
                              </a:lnTo>
                              <a:lnTo>
                                <a:pt x="239" y="203"/>
                              </a:lnTo>
                              <a:lnTo>
                                <a:pt x="240" y="203"/>
                              </a:lnTo>
                              <a:lnTo>
                                <a:pt x="241" y="204"/>
                              </a:lnTo>
                              <a:lnTo>
                                <a:pt x="242" y="204"/>
                              </a:lnTo>
                              <a:lnTo>
                                <a:pt x="243" y="204"/>
                              </a:lnTo>
                              <a:lnTo>
                                <a:pt x="244" y="204"/>
                              </a:lnTo>
                              <a:lnTo>
                                <a:pt x="245" y="204"/>
                              </a:lnTo>
                              <a:lnTo>
                                <a:pt x="247" y="205"/>
                              </a:lnTo>
                              <a:lnTo>
                                <a:pt x="248" y="205"/>
                              </a:lnTo>
                              <a:lnTo>
                                <a:pt x="249" y="205"/>
                              </a:lnTo>
                              <a:lnTo>
                                <a:pt x="250" y="205"/>
                              </a:lnTo>
                              <a:lnTo>
                                <a:pt x="252" y="205"/>
                              </a:lnTo>
                              <a:lnTo>
                                <a:pt x="253" y="205"/>
                              </a:lnTo>
                              <a:lnTo>
                                <a:pt x="254" y="205"/>
                              </a:lnTo>
                              <a:lnTo>
                                <a:pt x="256" y="206"/>
                              </a:lnTo>
                              <a:lnTo>
                                <a:pt x="258" y="206"/>
                              </a:lnTo>
                              <a:lnTo>
                                <a:pt x="259" y="206"/>
                              </a:lnTo>
                              <a:lnTo>
                                <a:pt x="260" y="206"/>
                              </a:lnTo>
                              <a:lnTo>
                                <a:pt x="262" y="206"/>
                              </a:lnTo>
                              <a:lnTo>
                                <a:pt x="262" y="206"/>
                              </a:lnTo>
                              <a:lnTo>
                                <a:pt x="263" y="206"/>
                              </a:lnTo>
                              <a:lnTo>
                                <a:pt x="263" y="206"/>
                              </a:lnTo>
                              <a:lnTo>
                                <a:pt x="264" y="206"/>
                              </a:lnTo>
                              <a:lnTo>
                                <a:pt x="266" y="206"/>
                              </a:lnTo>
                              <a:lnTo>
                                <a:pt x="267" y="206"/>
                              </a:lnTo>
                              <a:lnTo>
                                <a:pt x="269" y="207"/>
                              </a:lnTo>
                              <a:lnTo>
                                <a:pt x="271" y="207"/>
                              </a:lnTo>
                              <a:lnTo>
                                <a:pt x="272" y="207"/>
                              </a:lnTo>
                              <a:lnTo>
                                <a:pt x="275" y="207"/>
                              </a:lnTo>
                              <a:lnTo>
                                <a:pt x="276" y="207"/>
                              </a:lnTo>
                              <a:lnTo>
                                <a:pt x="278" y="207"/>
                              </a:lnTo>
                              <a:lnTo>
                                <a:pt x="280" y="207"/>
                              </a:lnTo>
                              <a:lnTo>
                                <a:pt x="282" y="207"/>
                              </a:lnTo>
                              <a:lnTo>
                                <a:pt x="285" y="207"/>
                              </a:lnTo>
                              <a:lnTo>
                                <a:pt x="288" y="207"/>
                              </a:lnTo>
                              <a:lnTo>
                                <a:pt x="291" y="208"/>
                              </a:lnTo>
                              <a:lnTo>
                                <a:pt x="295" y="208"/>
                              </a:lnTo>
                              <a:lnTo>
                                <a:pt x="296" y="208"/>
                              </a:lnTo>
                              <a:lnTo>
                                <a:pt x="298" y="208"/>
                              </a:lnTo>
                              <a:lnTo>
                                <a:pt x="300" y="208"/>
                              </a:lnTo>
                              <a:lnTo>
                                <a:pt x="302" y="208"/>
                              </a:lnTo>
                              <a:lnTo>
                                <a:pt x="304" y="208"/>
                              </a:lnTo>
                              <a:lnTo>
                                <a:pt x="306" y="208"/>
                              </a:lnTo>
                              <a:lnTo>
                                <a:pt x="307" y="208"/>
                              </a:lnTo>
                              <a:lnTo>
                                <a:pt x="309" y="208"/>
                              </a:lnTo>
                              <a:lnTo>
                                <a:pt x="311" y="208"/>
                              </a:lnTo>
                              <a:lnTo>
                                <a:pt x="313" y="208"/>
                              </a:lnTo>
                              <a:lnTo>
                                <a:pt x="314" y="208"/>
                              </a:lnTo>
                              <a:lnTo>
                                <a:pt x="316" y="208"/>
                              </a:lnTo>
                              <a:lnTo>
                                <a:pt x="319" y="208"/>
                              </a:lnTo>
                              <a:lnTo>
                                <a:pt x="321" y="208"/>
                              </a:lnTo>
                              <a:lnTo>
                                <a:pt x="325" y="208"/>
                              </a:lnTo>
                              <a:lnTo>
                                <a:pt x="330" y="208"/>
                              </a:lnTo>
                              <a:lnTo>
                                <a:pt x="332" y="208"/>
                              </a:lnTo>
                              <a:lnTo>
                                <a:pt x="333" y="208"/>
                              </a:lnTo>
                              <a:lnTo>
                                <a:pt x="335" y="208"/>
                              </a:lnTo>
                              <a:lnTo>
                                <a:pt x="336" y="208"/>
                              </a:lnTo>
                              <a:lnTo>
                                <a:pt x="338" y="208"/>
                              </a:lnTo>
                              <a:lnTo>
                                <a:pt x="340" y="208"/>
                              </a:lnTo>
                              <a:lnTo>
                                <a:pt x="342" y="208"/>
                              </a:lnTo>
                              <a:lnTo>
                                <a:pt x="344" y="208"/>
                              </a:lnTo>
                              <a:lnTo>
                                <a:pt x="346" y="208"/>
                              </a:lnTo>
                              <a:lnTo>
                                <a:pt x="348" y="208"/>
                              </a:lnTo>
                              <a:lnTo>
                                <a:pt x="350" y="208"/>
                              </a:lnTo>
                              <a:lnTo>
                                <a:pt x="352" y="207"/>
                              </a:lnTo>
                              <a:lnTo>
                                <a:pt x="354" y="207"/>
                              </a:lnTo>
                              <a:lnTo>
                                <a:pt x="356" y="207"/>
                              </a:lnTo>
                              <a:lnTo>
                                <a:pt x="358" y="207"/>
                              </a:lnTo>
                              <a:lnTo>
                                <a:pt x="360" y="207"/>
                              </a:lnTo>
                              <a:lnTo>
                                <a:pt x="362" y="207"/>
                              </a:lnTo>
                              <a:lnTo>
                                <a:pt x="363" y="207"/>
                              </a:lnTo>
                              <a:lnTo>
                                <a:pt x="364" y="207"/>
                              </a:lnTo>
                              <a:lnTo>
                                <a:pt x="366" y="207"/>
                              </a:lnTo>
                              <a:lnTo>
                                <a:pt x="366" y="207"/>
                              </a:lnTo>
                              <a:lnTo>
                                <a:pt x="367" y="206"/>
                              </a:lnTo>
                              <a:lnTo>
                                <a:pt x="368" y="206"/>
                              </a:lnTo>
                              <a:lnTo>
                                <a:pt x="368" y="206"/>
                              </a:lnTo>
                              <a:lnTo>
                                <a:pt x="370" y="206"/>
                              </a:lnTo>
                              <a:lnTo>
                                <a:pt x="373" y="206"/>
                              </a:lnTo>
                              <a:lnTo>
                                <a:pt x="376" y="206"/>
                              </a:lnTo>
                              <a:lnTo>
                                <a:pt x="378" y="206"/>
                              </a:lnTo>
                              <a:lnTo>
                                <a:pt x="380" y="206"/>
                              </a:lnTo>
                              <a:lnTo>
                                <a:pt x="382" y="205"/>
                              </a:lnTo>
                              <a:lnTo>
                                <a:pt x="384" y="205"/>
                              </a:lnTo>
                            </a:path>
                          </a:pathLst>
                        </a:custGeom>
                        <a:noFill/>
                        <a:ln w="3175">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13" name="Freeform 154"/>
                        <a:cNvSpPr>
                          <a:spLocks/>
                        </a:cNvSpPr>
                      </a:nvSpPr>
                      <a:spPr bwMode="auto">
                        <a:xfrm>
                          <a:off x="4598986" y="7122518"/>
                          <a:ext cx="1656110" cy="116668"/>
                        </a:xfrm>
                        <a:custGeom>
                          <a:avLst/>
                          <a:gdLst/>
                          <a:ahLst/>
                          <a:cxnLst>
                            <a:cxn ang="0">
                              <a:pos x="7" y="54"/>
                            </a:cxn>
                            <a:cxn ang="0">
                              <a:pos x="16" y="54"/>
                            </a:cxn>
                            <a:cxn ang="0">
                              <a:pos x="29" y="55"/>
                            </a:cxn>
                            <a:cxn ang="0">
                              <a:pos x="43" y="55"/>
                            </a:cxn>
                            <a:cxn ang="0">
                              <a:pos x="49" y="55"/>
                            </a:cxn>
                            <a:cxn ang="0">
                              <a:pos x="51" y="55"/>
                            </a:cxn>
                            <a:cxn ang="0">
                              <a:pos x="53" y="55"/>
                            </a:cxn>
                            <a:cxn ang="0">
                              <a:pos x="57" y="54"/>
                            </a:cxn>
                            <a:cxn ang="0">
                              <a:pos x="60" y="53"/>
                            </a:cxn>
                            <a:cxn ang="0">
                              <a:pos x="62" y="53"/>
                            </a:cxn>
                            <a:cxn ang="0">
                              <a:pos x="64" y="52"/>
                            </a:cxn>
                            <a:cxn ang="0">
                              <a:pos x="66" y="50"/>
                            </a:cxn>
                            <a:cxn ang="0">
                              <a:pos x="68" y="48"/>
                            </a:cxn>
                            <a:cxn ang="0">
                              <a:pos x="70" y="44"/>
                            </a:cxn>
                            <a:cxn ang="0">
                              <a:pos x="73" y="40"/>
                            </a:cxn>
                            <a:cxn ang="0">
                              <a:pos x="76" y="33"/>
                            </a:cxn>
                            <a:cxn ang="0">
                              <a:pos x="81" y="17"/>
                            </a:cxn>
                            <a:cxn ang="0">
                              <a:pos x="85" y="9"/>
                            </a:cxn>
                            <a:cxn ang="0">
                              <a:pos x="87" y="5"/>
                            </a:cxn>
                            <a:cxn ang="0">
                              <a:pos x="91" y="1"/>
                            </a:cxn>
                            <a:cxn ang="0">
                              <a:pos x="95" y="0"/>
                            </a:cxn>
                            <a:cxn ang="0">
                              <a:pos x="101" y="3"/>
                            </a:cxn>
                            <a:cxn ang="0">
                              <a:pos x="109" y="12"/>
                            </a:cxn>
                            <a:cxn ang="0">
                              <a:pos x="118" y="22"/>
                            </a:cxn>
                            <a:cxn ang="0">
                              <a:pos x="121" y="25"/>
                            </a:cxn>
                            <a:cxn ang="0">
                              <a:pos x="128" y="30"/>
                            </a:cxn>
                            <a:cxn ang="0">
                              <a:pos x="139" y="36"/>
                            </a:cxn>
                            <a:cxn ang="0">
                              <a:pos x="149" y="41"/>
                            </a:cxn>
                            <a:cxn ang="0">
                              <a:pos x="157" y="44"/>
                            </a:cxn>
                            <a:cxn ang="0">
                              <a:pos x="165" y="46"/>
                            </a:cxn>
                            <a:cxn ang="0">
                              <a:pos x="178" y="50"/>
                            </a:cxn>
                            <a:cxn ang="0">
                              <a:pos x="186" y="52"/>
                            </a:cxn>
                            <a:cxn ang="0">
                              <a:pos x="193" y="53"/>
                            </a:cxn>
                            <a:cxn ang="0">
                              <a:pos x="202" y="54"/>
                            </a:cxn>
                            <a:cxn ang="0">
                              <a:pos x="214" y="55"/>
                            </a:cxn>
                            <a:cxn ang="0">
                              <a:pos x="228" y="56"/>
                            </a:cxn>
                            <a:cxn ang="0">
                              <a:pos x="244" y="57"/>
                            </a:cxn>
                            <a:cxn ang="0">
                              <a:pos x="261" y="57"/>
                            </a:cxn>
                            <a:cxn ang="0">
                              <a:pos x="276" y="57"/>
                            </a:cxn>
                            <a:cxn ang="0">
                              <a:pos x="298" y="56"/>
                            </a:cxn>
                            <a:cxn ang="0">
                              <a:pos x="317" y="56"/>
                            </a:cxn>
                            <a:cxn ang="0">
                              <a:pos x="342" y="56"/>
                            </a:cxn>
                            <a:cxn ang="0">
                              <a:pos x="359" y="56"/>
                            </a:cxn>
                            <a:cxn ang="0">
                              <a:pos x="367" y="56"/>
                            </a:cxn>
                            <a:cxn ang="0">
                              <a:pos x="391" y="57"/>
                            </a:cxn>
                            <a:cxn ang="0">
                              <a:pos x="402" y="58"/>
                            </a:cxn>
                            <a:cxn ang="0">
                              <a:pos x="421" y="58"/>
                            </a:cxn>
                            <a:cxn ang="0">
                              <a:pos x="439" y="59"/>
                            </a:cxn>
                            <a:cxn ang="0">
                              <a:pos x="459" y="59"/>
                            </a:cxn>
                            <a:cxn ang="0">
                              <a:pos x="479" y="60"/>
                            </a:cxn>
                            <a:cxn ang="0">
                              <a:pos x="507" y="60"/>
                            </a:cxn>
                            <a:cxn ang="0">
                              <a:pos x="534" y="60"/>
                            </a:cxn>
                            <a:cxn ang="0">
                              <a:pos x="553" y="60"/>
                            </a:cxn>
                            <a:cxn ang="0">
                              <a:pos x="588" y="61"/>
                            </a:cxn>
                            <a:cxn ang="0">
                              <a:pos x="619" y="61"/>
                            </a:cxn>
                            <a:cxn ang="0">
                              <a:pos x="657" y="61"/>
                            </a:cxn>
                            <a:cxn ang="0">
                              <a:pos x="690" y="61"/>
                            </a:cxn>
                            <a:cxn ang="0">
                              <a:pos x="719" y="61"/>
                            </a:cxn>
                            <a:cxn ang="0">
                              <a:pos x="761" y="61"/>
                            </a:cxn>
                            <a:cxn ang="0">
                              <a:pos x="807" y="61"/>
                            </a:cxn>
                            <a:cxn ang="0">
                              <a:pos x="848" y="62"/>
                            </a:cxn>
                            <a:cxn ang="0">
                              <a:pos x="893" y="62"/>
                            </a:cxn>
                            <a:cxn ang="0">
                              <a:pos x="939" y="62"/>
                            </a:cxn>
                          </a:cxnLst>
                          <a:rect l="0" t="0" r="r" b="b"/>
                          <a:pathLst>
                            <a:path w="977" h="62">
                              <a:moveTo>
                                <a:pt x="0" y="54"/>
                              </a:moveTo>
                              <a:lnTo>
                                <a:pt x="1" y="54"/>
                              </a:lnTo>
                              <a:lnTo>
                                <a:pt x="2" y="54"/>
                              </a:lnTo>
                              <a:lnTo>
                                <a:pt x="3" y="54"/>
                              </a:lnTo>
                              <a:lnTo>
                                <a:pt x="4" y="54"/>
                              </a:lnTo>
                              <a:lnTo>
                                <a:pt x="5" y="54"/>
                              </a:lnTo>
                              <a:lnTo>
                                <a:pt x="6" y="54"/>
                              </a:lnTo>
                              <a:lnTo>
                                <a:pt x="7" y="54"/>
                              </a:lnTo>
                              <a:lnTo>
                                <a:pt x="8" y="54"/>
                              </a:lnTo>
                              <a:lnTo>
                                <a:pt x="10" y="54"/>
                              </a:lnTo>
                              <a:lnTo>
                                <a:pt x="11" y="54"/>
                              </a:lnTo>
                              <a:lnTo>
                                <a:pt x="12" y="54"/>
                              </a:lnTo>
                              <a:lnTo>
                                <a:pt x="13" y="54"/>
                              </a:lnTo>
                              <a:lnTo>
                                <a:pt x="14" y="54"/>
                              </a:lnTo>
                              <a:lnTo>
                                <a:pt x="15" y="54"/>
                              </a:lnTo>
                              <a:lnTo>
                                <a:pt x="16" y="54"/>
                              </a:lnTo>
                              <a:lnTo>
                                <a:pt x="17" y="54"/>
                              </a:lnTo>
                              <a:lnTo>
                                <a:pt x="18" y="54"/>
                              </a:lnTo>
                              <a:lnTo>
                                <a:pt x="18" y="54"/>
                              </a:lnTo>
                              <a:lnTo>
                                <a:pt x="20" y="54"/>
                              </a:lnTo>
                              <a:lnTo>
                                <a:pt x="22" y="54"/>
                              </a:lnTo>
                              <a:lnTo>
                                <a:pt x="24" y="54"/>
                              </a:lnTo>
                              <a:lnTo>
                                <a:pt x="27" y="54"/>
                              </a:lnTo>
                              <a:lnTo>
                                <a:pt x="29" y="55"/>
                              </a:lnTo>
                              <a:lnTo>
                                <a:pt x="32" y="55"/>
                              </a:lnTo>
                              <a:lnTo>
                                <a:pt x="34" y="55"/>
                              </a:lnTo>
                              <a:lnTo>
                                <a:pt x="36" y="55"/>
                              </a:lnTo>
                              <a:lnTo>
                                <a:pt x="37" y="55"/>
                              </a:lnTo>
                              <a:lnTo>
                                <a:pt x="39" y="55"/>
                              </a:lnTo>
                              <a:lnTo>
                                <a:pt x="40" y="55"/>
                              </a:lnTo>
                              <a:lnTo>
                                <a:pt x="42" y="55"/>
                              </a:lnTo>
                              <a:lnTo>
                                <a:pt x="43" y="55"/>
                              </a:lnTo>
                              <a:lnTo>
                                <a:pt x="44" y="55"/>
                              </a:lnTo>
                              <a:lnTo>
                                <a:pt x="45" y="55"/>
                              </a:lnTo>
                              <a:lnTo>
                                <a:pt x="46" y="55"/>
                              </a:lnTo>
                              <a:lnTo>
                                <a:pt x="47" y="55"/>
                              </a:lnTo>
                              <a:lnTo>
                                <a:pt x="48" y="55"/>
                              </a:lnTo>
                              <a:lnTo>
                                <a:pt x="48" y="55"/>
                              </a:lnTo>
                              <a:lnTo>
                                <a:pt x="49" y="55"/>
                              </a:lnTo>
                              <a:lnTo>
                                <a:pt x="49" y="55"/>
                              </a:lnTo>
                              <a:lnTo>
                                <a:pt x="50" y="55"/>
                              </a:lnTo>
                              <a:lnTo>
                                <a:pt x="50" y="55"/>
                              </a:lnTo>
                              <a:lnTo>
                                <a:pt x="50" y="55"/>
                              </a:lnTo>
                              <a:lnTo>
                                <a:pt x="50" y="55"/>
                              </a:lnTo>
                              <a:lnTo>
                                <a:pt x="51" y="55"/>
                              </a:lnTo>
                              <a:lnTo>
                                <a:pt x="51" y="55"/>
                              </a:lnTo>
                              <a:lnTo>
                                <a:pt x="51" y="55"/>
                              </a:lnTo>
                              <a:lnTo>
                                <a:pt x="51" y="55"/>
                              </a:lnTo>
                              <a:lnTo>
                                <a:pt x="52" y="55"/>
                              </a:lnTo>
                              <a:lnTo>
                                <a:pt x="52" y="55"/>
                              </a:lnTo>
                              <a:lnTo>
                                <a:pt x="52" y="55"/>
                              </a:lnTo>
                              <a:lnTo>
                                <a:pt x="52" y="55"/>
                              </a:lnTo>
                              <a:lnTo>
                                <a:pt x="52" y="55"/>
                              </a:lnTo>
                              <a:lnTo>
                                <a:pt x="52" y="55"/>
                              </a:lnTo>
                              <a:lnTo>
                                <a:pt x="52" y="55"/>
                              </a:lnTo>
                              <a:lnTo>
                                <a:pt x="53" y="55"/>
                              </a:lnTo>
                              <a:lnTo>
                                <a:pt x="54" y="55"/>
                              </a:lnTo>
                              <a:lnTo>
                                <a:pt x="54" y="55"/>
                              </a:lnTo>
                              <a:lnTo>
                                <a:pt x="55" y="55"/>
                              </a:lnTo>
                              <a:lnTo>
                                <a:pt x="55" y="54"/>
                              </a:lnTo>
                              <a:lnTo>
                                <a:pt x="56" y="54"/>
                              </a:lnTo>
                              <a:lnTo>
                                <a:pt x="56" y="54"/>
                              </a:lnTo>
                              <a:lnTo>
                                <a:pt x="57" y="54"/>
                              </a:lnTo>
                              <a:lnTo>
                                <a:pt x="57" y="54"/>
                              </a:lnTo>
                              <a:lnTo>
                                <a:pt x="57" y="54"/>
                              </a:lnTo>
                              <a:lnTo>
                                <a:pt x="58" y="54"/>
                              </a:lnTo>
                              <a:lnTo>
                                <a:pt x="58" y="54"/>
                              </a:lnTo>
                              <a:lnTo>
                                <a:pt x="59" y="54"/>
                              </a:lnTo>
                              <a:lnTo>
                                <a:pt x="59" y="54"/>
                              </a:lnTo>
                              <a:lnTo>
                                <a:pt x="59" y="54"/>
                              </a:lnTo>
                              <a:lnTo>
                                <a:pt x="60" y="54"/>
                              </a:lnTo>
                              <a:lnTo>
                                <a:pt x="60" y="53"/>
                              </a:lnTo>
                              <a:lnTo>
                                <a:pt x="60" y="53"/>
                              </a:lnTo>
                              <a:lnTo>
                                <a:pt x="61" y="53"/>
                              </a:lnTo>
                              <a:lnTo>
                                <a:pt x="61" y="53"/>
                              </a:lnTo>
                              <a:lnTo>
                                <a:pt x="61" y="53"/>
                              </a:lnTo>
                              <a:lnTo>
                                <a:pt x="61" y="53"/>
                              </a:lnTo>
                              <a:lnTo>
                                <a:pt x="62" y="53"/>
                              </a:lnTo>
                              <a:lnTo>
                                <a:pt x="62" y="53"/>
                              </a:lnTo>
                              <a:lnTo>
                                <a:pt x="62" y="53"/>
                              </a:lnTo>
                              <a:lnTo>
                                <a:pt x="62" y="52"/>
                              </a:lnTo>
                              <a:lnTo>
                                <a:pt x="63" y="52"/>
                              </a:lnTo>
                              <a:lnTo>
                                <a:pt x="63" y="52"/>
                              </a:lnTo>
                              <a:lnTo>
                                <a:pt x="63" y="52"/>
                              </a:lnTo>
                              <a:lnTo>
                                <a:pt x="63" y="52"/>
                              </a:lnTo>
                              <a:lnTo>
                                <a:pt x="64" y="52"/>
                              </a:lnTo>
                              <a:lnTo>
                                <a:pt x="64" y="52"/>
                              </a:lnTo>
                              <a:lnTo>
                                <a:pt x="64" y="52"/>
                              </a:lnTo>
                              <a:lnTo>
                                <a:pt x="64" y="51"/>
                              </a:lnTo>
                              <a:lnTo>
                                <a:pt x="65" y="51"/>
                              </a:lnTo>
                              <a:lnTo>
                                <a:pt x="65" y="51"/>
                              </a:lnTo>
                              <a:lnTo>
                                <a:pt x="65" y="51"/>
                              </a:lnTo>
                              <a:lnTo>
                                <a:pt x="65" y="51"/>
                              </a:lnTo>
                              <a:lnTo>
                                <a:pt x="65" y="50"/>
                              </a:lnTo>
                              <a:lnTo>
                                <a:pt x="66" y="50"/>
                              </a:lnTo>
                              <a:lnTo>
                                <a:pt x="66" y="50"/>
                              </a:lnTo>
                              <a:lnTo>
                                <a:pt x="66" y="50"/>
                              </a:lnTo>
                              <a:lnTo>
                                <a:pt x="67" y="49"/>
                              </a:lnTo>
                              <a:lnTo>
                                <a:pt x="67" y="49"/>
                              </a:lnTo>
                              <a:lnTo>
                                <a:pt x="67" y="49"/>
                              </a:lnTo>
                              <a:lnTo>
                                <a:pt x="67" y="49"/>
                              </a:lnTo>
                              <a:lnTo>
                                <a:pt x="68" y="48"/>
                              </a:lnTo>
                              <a:lnTo>
                                <a:pt x="68" y="48"/>
                              </a:lnTo>
                              <a:lnTo>
                                <a:pt x="68" y="48"/>
                              </a:lnTo>
                              <a:lnTo>
                                <a:pt x="68" y="47"/>
                              </a:lnTo>
                              <a:lnTo>
                                <a:pt x="69" y="47"/>
                              </a:lnTo>
                              <a:lnTo>
                                <a:pt x="69" y="46"/>
                              </a:lnTo>
                              <a:lnTo>
                                <a:pt x="69" y="46"/>
                              </a:lnTo>
                              <a:lnTo>
                                <a:pt x="70" y="46"/>
                              </a:lnTo>
                              <a:lnTo>
                                <a:pt x="70" y="45"/>
                              </a:lnTo>
                              <a:lnTo>
                                <a:pt x="70" y="45"/>
                              </a:lnTo>
                              <a:lnTo>
                                <a:pt x="70" y="44"/>
                              </a:lnTo>
                              <a:lnTo>
                                <a:pt x="71" y="44"/>
                              </a:lnTo>
                              <a:lnTo>
                                <a:pt x="71" y="43"/>
                              </a:lnTo>
                              <a:lnTo>
                                <a:pt x="71" y="43"/>
                              </a:lnTo>
                              <a:lnTo>
                                <a:pt x="71" y="42"/>
                              </a:lnTo>
                              <a:lnTo>
                                <a:pt x="72" y="42"/>
                              </a:lnTo>
                              <a:lnTo>
                                <a:pt x="72" y="41"/>
                              </a:lnTo>
                              <a:lnTo>
                                <a:pt x="72" y="40"/>
                              </a:lnTo>
                              <a:lnTo>
                                <a:pt x="73" y="40"/>
                              </a:lnTo>
                              <a:lnTo>
                                <a:pt x="73" y="39"/>
                              </a:lnTo>
                              <a:lnTo>
                                <a:pt x="73" y="38"/>
                              </a:lnTo>
                              <a:lnTo>
                                <a:pt x="73" y="38"/>
                              </a:lnTo>
                              <a:lnTo>
                                <a:pt x="74" y="37"/>
                              </a:lnTo>
                              <a:lnTo>
                                <a:pt x="74" y="36"/>
                              </a:lnTo>
                              <a:lnTo>
                                <a:pt x="74" y="35"/>
                              </a:lnTo>
                              <a:lnTo>
                                <a:pt x="75" y="34"/>
                              </a:lnTo>
                              <a:lnTo>
                                <a:pt x="76" y="33"/>
                              </a:lnTo>
                              <a:lnTo>
                                <a:pt x="76" y="31"/>
                              </a:lnTo>
                              <a:lnTo>
                                <a:pt x="77" y="30"/>
                              </a:lnTo>
                              <a:lnTo>
                                <a:pt x="77" y="28"/>
                              </a:lnTo>
                              <a:lnTo>
                                <a:pt x="78" y="26"/>
                              </a:lnTo>
                              <a:lnTo>
                                <a:pt x="79" y="23"/>
                              </a:lnTo>
                              <a:lnTo>
                                <a:pt x="80" y="21"/>
                              </a:lnTo>
                              <a:lnTo>
                                <a:pt x="81" y="19"/>
                              </a:lnTo>
                              <a:lnTo>
                                <a:pt x="81" y="17"/>
                              </a:lnTo>
                              <a:lnTo>
                                <a:pt x="82" y="16"/>
                              </a:lnTo>
                              <a:lnTo>
                                <a:pt x="82" y="15"/>
                              </a:lnTo>
                              <a:lnTo>
                                <a:pt x="83" y="14"/>
                              </a:lnTo>
                              <a:lnTo>
                                <a:pt x="83" y="13"/>
                              </a:lnTo>
                              <a:lnTo>
                                <a:pt x="84" y="12"/>
                              </a:lnTo>
                              <a:lnTo>
                                <a:pt x="84" y="11"/>
                              </a:lnTo>
                              <a:lnTo>
                                <a:pt x="84" y="10"/>
                              </a:lnTo>
                              <a:lnTo>
                                <a:pt x="85" y="9"/>
                              </a:lnTo>
                              <a:lnTo>
                                <a:pt x="85" y="9"/>
                              </a:lnTo>
                              <a:lnTo>
                                <a:pt x="85" y="8"/>
                              </a:lnTo>
                              <a:lnTo>
                                <a:pt x="85" y="8"/>
                              </a:lnTo>
                              <a:lnTo>
                                <a:pt x="85" y="8"/>
                              </a:lnTo>
                              <a:lnTo>
                                <a:pt x="86" y="7"/>
                              </a:lnTo>
                              <a:lnTo>
                                <a:pt x="86" y="7"/>
                              </a:lnTo>
                              <a:lnTo>
                                <a:pt x="86" y="6"/>
                              </a:lnTo>
                              <a:lnTo>
                                <a:pt x="87" y="5"/>
                              </a:lnTo>
                              <a:lnTo>
                                <a:pt x="87" y="4"/>
                              </a:lnTo>
                              <a:lnTo>
                                <a:pt x="88" y="4"/>
                              </a:lnTo>
                              <a:lnTo>
                                <a:pt x="88" y="3"/>
                              </a:lnTo>
                              <a:lnTo>
                                <a:pt x="89" y="2"/>
                              </a:lnTo>
                              <a:lnTo>
                                <a:pt x="89" y="2"/>
                              </a:lnTo>
                              <a:lnTo>
                                <a:pt x="90" y="1"/>
                              </a:lnTo>
                              <a:lnTo>
                                <a:pt x="90" y="1"/>
                              </a:lnTo>
                              <a:lnTo>
                                <a:pt x="91" y="1"/>
                              </a:lnTo>
                              <a:lnTo>
                                <a:pt x="91" y="0"/>
                              </a:lnTo>
                              <a:lnTo>
                                <a:pt x="92" y="0"/>
                              </a:lnTo>
                              <a:lnTo>
                                <a:pt x="92" y="0"/>
                              </a:lnTo>
                              <a:lnTo>
                                <a:pt x="93" y="0"/>
                              </a:lnTo>
                              <a:lnTo>
                                <a:pt x="93" y="0"/>
                              </a:lnTo>
                              <a:lnTo>
                                <a:pt x="94" y="0"/>
                              </a:lnTo>
                              <a:lnTo>
                                <a:pt x="94" y="0"/>
                              </a:lnTo>
                              <a:lnTo>
                                <a:pt x="95" y="0"/>
                              </a:lnTo>
                              <a:lnTo>
                                <a:pt x="96" y="0"/>
                              </a:lnTo>
                              <a:lnTo>
                                <a:pt x="96" y="0"/>
                              </a:lnTo>
                              <a:lnTo>
                                <a:pt x="97" y="0"/>
                              </a:lnTo>
                              <a:lnTo>
                                <a:pt x="98" y="1"/>
                              </a:lnTo>
                              <a:lnTo>
                                <a:pt x="98" y="1"/>
                              </a:lnTo>
                              <a:lnTo>
                                <a:pt x="99" y="1"/>
                              </a:lnTo>
                              <a:lnTo>
                                <a:pt x="100" y="2"/>
                              </a:lnTo>
                              <a:lnTo>
                                <a:pt x="101" y="3"/>
                              </a:lnTo>
                              <a:lnTo>
                                <a:pt x="101" y="3"/>
                              </a:lnTo>
                              <a:lnTo>
                                <a:pt x="102" y="4"/>
                              </a:lnTo>
                              <a:lnTo>
                                <a:pt x="103" y="5"/>
                              </a:lnTo>
                              <a:lnTo>
                                <a:pt x="104" y="6"/>
                              </a:lnTo>
                              <a:lnTo>
                                <a:pt x="105" y="7"/>
                              </a:lnTo>
                              <a:lnTo>
                                <a:pt x="107" y="9"/>
                              </a:lnTo>
                              <a:lnTo>
                                <a:pt x="108" y="10"/>
                              </a:lnTo>
                              <a:lnTo>
                                <a:pt x="109" y="12"/>
                              </a:lnTo>
                              <a:lnTo>
                                <a:pt x="111" y="14"/>
                              </a:lnTo>
                              <a:lnTo>
                                <a:pt x="112" y="16"/>
                              </a:lnTo>
                              <a:lnTo>
                                <a:pt x="114" y="17"/>
                              </a:lnTo>
                              <a:lnTo>
                                <a:pt x="115" y="18"/>
                              </a:lnTo>
                              <a:lnTo>
                                <a:pt x="116" y="19"/>
                              </a:lnTo>
                              <a:lnTo>
                                <a:pt x="117" y="20"/>
                              </a:lnTo>
                              <a:lnTo>
                                <a:pt x="118" y="21"/>
                              </a:lnTo>
                              <a:lnTo>
                                <a:pt x="118" y="22"/>
                              </a:lnTo>
                              <a:lnTo>
                                <a:pt x="119" y="23"/>
                              </a:lnTo>
                              <a:lnTo>
                                <a:pt x="120" y="23"/>
                              </a:lnTo>
                              <a:lnTo>
                                <a:pt x="120" y="24"/>
                              </a:lnTo>
                              <a:lnTo>
                                <a:pt x="120" y="24"/>
                              </a:lnTo>
                              <a:lnTo>
                                <a:pt x="121" y="24"/>
                              </a:lnTo>
                              <a:lnTo>
                                <a:pt x="121" y="24"/>
                              </a:lnTo>
                              <a:lnTo>
                                <a:pt x="121" y="25"/>
                              </a:lnTo>
                              <a:lnTo>
                                <a:pt x="121" y="25"/>
                              </a:lnTo>
                              <a:lnTo>
                                <a:pt x="122" y="25"/>
                              </a:lnTo>
                              <a:lnTo>
                                <a:pt x="122" y="25"/>
                              </a:lnTo>
                              <a:lnTo>
                                <a:pt x="122" y="26"/>
                              </a:lnTo>
                              <a:lnTo>
                                <a:pt x="123" y="26"/>
                              </a:lnTo>
                              <a:lnTo>
                                <a:pt x="124" y="27"/>
                              </a:lnTo>
                              <a:lnTo>
                                <a:pt x="126" y="28"/>
                              </a:lnTo>
                              <a:lnTo>
                                <a:pt x="127" y="29"/>
                              </a:lnTo>
                              <a:lnTo>
                                <a:pt x="128" y="30"/>
                              </a:lnTo>
                              <a:lnTo>
                                <a:pt x="129" y="30"/>
                              </a:lnTo>
                              <a:lnTo>
                                <a:pt x="130" y="31"/>
                              </a:lnTo>
                              <a:lnTo>
                                <a:pt x="132" y="32"/>
                              </a:lnTo>
                              <a:lnTo>
                                <a:pt x="133" y="33"/>
                              </a:lnTo>
                              <a:lnTo>
                                <a:pt x="135" y="34"/>
                              </a:lnTo>
                              <a:lnTo>
                                <a:pt x="136" y="34"/>
                              </a:lnTo>
                              <a:lnTo>
                                <a:pt x="138" y="35"/>
                              </a:lnTo>
                              <a:lnTo>
                                <a:pt x="139" y="36"/>
                              </a:lnTo>
                              <a:lnTo>
                                <a:pt x="141" y="37"/>
                              </a:lnTo>
                              <a:lnTo>
                                <a:pt x="142" y="37"/>
                              </a:lnTo>
                              <a:lnTo>
                                <a:pt x="143" y="38"/>
                              </a:lnTo>
                              <a:lnTo>
                                <a:pt x="144" y="39"/>
                              </a:lnTo>
                              <a:lnTo>
                                <a:pt x="145" y="39"/>
                              </a:lnTo>
                              <a:lnTo>
                                <a:pt x="147" y="40"/>
                              </a:lnTo>
                              <a:lnTo>
                                <a:pt x="148" y="40"/>
                              </a:lnTo>
                              <a:lnTo>
                                <a:pt x="149" y="41"/>
                              </a:lnTo>
                              <a:lnTo>
                                <a:pt x="151" y="41"/>
                              </a:lnTo>
                              <a:lnTo>
                                <a:pt x="152" y="42"/>
                              </a:lnTo>
                              <a:lnTo>
                                <a:pt x="154" y="43"/>
                              </a:lnTo>
                              <a:lnTo>
                                <a:pt x="154" y="43"/>
                              </a:lnTo>
                              <a:lnTo>
                                <a:pt x="155" y="43"/>
                              </a:lnTo>
                              <a:lnTo>
                                <a:pt x="156" y="43"/>
                              </a:lnTo>
                              <a:lnTo>
                                <a:pt x="156" y="43"/>
                              </a:lnTo>
                              <a:lnTo>
                                <a:pt x="157" y="44"/>
                              </a:lnTo>
                              <a:lnTo>
                                <a:pt x="157" y="44"/>
                              </a:lnTo>
                              <a:lnTo>
                                <a:pt x="157" y="44"/>
                              </a:lnTo>
                              <a:lnTo>
                                <a:pt x="158" y="44"/>
                              </a:lnTo>
                              <a:lnTo>
                                <a:pt x="158" y="44"/>
                              </a:lnTo>
                              <a:lnTo>
                                <a:pt x="159" y="44"/>
                              </a:lnTo>
                              <a:lnTo>
                                <a:pt x="161" y="45"/>
                              </a:lnTo>
                              <a:lnTo>
                                <a:pt x="163" y="46"/>
                              </a:lnTo>
                              <a:lnTo>
                                <a:pt x="165" y="46"/>
                              </a:lnTo>
                              <a:lnTo>
                                <a:pt x="167" y="47"/>
                              </a:lnTo>
                              <a:lnTo>
                                <a:pt x="168" y="47"/>
                              </a:lnTo>
                              <a:lnTo>
                                <a:pt x="170" y="48"/>
                              </a:lnTo>
                              <a:lnTo>
                                <a:pt x="171" y="48"/>
                              </a:lnTo>
                              <a:lnTo>
                                <a:pt x="173" y="49"/>
                              </a:lnTo>
                              <a:lnTo>
                                <a:pt x="175" y="49"/>
                              </a:lnTo>
                              <a:lnTo>
                                <a:pt x="176" y="50"/>
                              </a:lnTo>
                              <a:lnTo>
                                <a:pt x="178" y="50"/>
                              </a:lnTo>
                              <a:lnTo>
                                <a:pt x="179" y="50"/>
                              </a:lnTo>
                              <a:lnTo>
                                <a:pt x="180" y="51"/>
                              </a:lnTo>
                              <a:lnTo>
                                <a:pt x="181" y="51"/>
                              </a:lnTo>
                              <a:lnTo>
                                <a:pt x="182" y="51"/>
                              </a:lnTo>
                              <a:lnTo>
                                <a:pt x="183" y="51"/>
                              </a:lnTo>
                              <a:lnTo>
                                <a:pt x="184" y="52"/>
                              </a:lnTo>
                              <a:lnTo>
                                <a:pt x="185" y="52"/>
                              </a:lnTo>
                              <a:lnTo>
                                <a:pt x="186" y="52"/>
                              </a:lnTo>
                              <a:lnTo>
                                <a:pt x="188" y="52"/>
                              </a:lnTo>
                              <a:lnTo>
                                <a:pt x="189" y="52"/>
                              </a:lnTo>
                              <a:lnTo>
                                <a:pt x="190" y="52"/>
                              </a:lnTo>
                              <a:lnTo>
                                <a:pt x="191" y="53"/>
                              </a:lnTo>
                              <a:lnTo>
                                <a:pt x="191" y="53"/>
                              </a:lnTo>
                              <a:lnTo>
                                <a:pt x="192" y="53"/>
                              </a:lnTo>
                              <a:lnTo>
                                <a:pt x="192" y="53"/>
                              </a:lnTo>
                              <a:lnTo>
                                <a:pt x="193" y="53"/>
                              </a:lnTo>
                              <a:lnTo>
                                <a:pt x="193" y="53"/>
                              </a:lnTo>
                              <a:lnTo>
                                <a:pt x="194" y="53"/>
                              </a:lnTo>
                              <a:lnTo>
                                <a:pt x="195" y="53"/>
                              </a:lnTo>
                              <a:lnTo>
                                <a:pt x="197" y="54"/>
                              </a:lnTo>
                              <a:lnTo>
                                <a:pt x="198" y="54"/>
                              </a:lnTo>
                              <a:lnTo>
                                <a:pt x="199" y="54"/>
                              </a:lnTo>
                              <a:lnTo>
                                <a:pt x="201" y="54"/>
                              </a:lnTo>
                              <a:lnTo>
                                <a:pt x="202" y="54"/>
                              </a:lnTo>
                              <a:lnTo>
                                <a:pt x="204" y="54"/>
                              </a:lnTo>
                              <a:lnTo>
                                <a:pt x="205" y="55"/>
                              </a:lnTo>
                              <a:lnTo>
                                <a:pt x="206" y="55"/>
                              </a:lnTo>
                              <a:lnTo>
                                <a:pt x="208" y="55"/>
                              </a:lnTo>
                              <a:lnTo>
                                <a:pt x="209" y="55"/>
                              </a:lnTo>
                              <a:lnTo>
                                <a:pt x="211" y="55"/>
                              </a:lnTo>
                              <a:lnTo>
                                <a:pt x="212" y="55"/>
                              </a:lnTo>
                              <a:lnTo>
                                <a:pt x="214" y="55"/>
                              </a:lnTo>
                              <a:lnTo>
                                <a:pt x="216" y="55"/>
                              </a:lnTo>
                              <a:lnTo>
                                <a:pt x="218" y="55"/>
                              </a:lnTo>
                              <a:lnTo>
                                <a:pt x="219" y="56"/>
                              </a:lnTo>
                              <a:lnTo>
                                <a:pt x="221" y="56"/>
                              </a:lnTo>
                              <a:lnTo>
                                <a:pt x="223" y="56"/>
                              </a:lnTo>
                              <a:lnTo>
                                <a:pt x="225" y="56"/>
                              </a:lnTo>
                              <a:lnTo>
                                <a:pt x="227" y="56"/>
                              </a:lnTo>
                              <a:lnTo>
                                <a:pt x="228" y="56"/>
                              </a:lnTo>
                              <a:lnTo>
                                <a:pt x="228" y="56"/>
                              </a:lnTo>
                              <a:lnTo>
                                <a:pt x="230" y="56"/>
                              </a:lnTo>
                              <a:lnTo>
                                <a:pt x="233" y="56"/>
                              </a:lnTo>
                              <a:lnTo>
                                <a:pt x="235" y="56"/>
                              </a:lnTo>
                              <a:lnTo>
                                <a:pt x="237" y="56"/>
                              </a:lnTo>
                              <a:lnTo>
                                <a:pt x="240" y="56"/>
                              </a:lnTo>
                              <a:lnTo>
                                <a:pt x="242" y="56"/>
                              </a:lnTo>
                              <a:lnTo>
                                <a:pt x="244" y="57"/>
                              </a:lnTo>
                              <a:lnTo>
                                <a:pt x="247" y="57"/>
                              </a:lnTo>
                              <a:lnTo>
                                <a:pt x="250" y="57"/>
                              </a:lnTo>
                              <a:lnTo>
                                <a:pt x="252" y="57"/>
                              </a:lnTo>
                              <a:lnTo>
                                <a:pt x="254" y="57"/>
                              </a:lnTo>
                              <a:lnTo>
                                <a:pt x="257" y="57"/>
                              </a:lnTo>
                              <a:lnTo>
                                <a:pt x="259" y="57"/>
                              </a:lnTo>
                              <a:lnTo>
                                <a:pt x="260" y="57"/>
                              </a:lnTo>
                              <a:lnTo>
                                <a:pt x="261" y="57"/>
                              </a:lnTo>
                              <a:lnTo>
                                <a:pt x="263" y="57"/>
                              </a:lnTo>
                              <a:lnTo>
                                <a:pt x="264" y="57"/>
                              </a:lnTo>
                              <a:lnTo>
                                <a:pt x="266" y="57"/>
                              </a:lnTo>
                              <a:lnTo>
                                <a:pt x="268" y="57"/>
                              </a:lnTo>
                              <a:lnTo>
                                <a:pt x="269" y="57"/>
                              </a:lnTo>
                              <a:lnTo>
                                <a:pt x="271" y="57"/>
                              </a:lnTo>
                              <a:lnTo>
                                <a:pt x="273" y="57"/>
                              </a:lnTo>
                              <a:lnTo>
                                <a:pt x="276" y="57"/>
                              </a:lnTo>
                              <a:lnTo>
                                <a:pt x="279" y="57"/>
                              </a:lnTo>
                              <a:lnTo>
                                <a:pt x="282" y="56"/>
                              </a:lnTo>
                              <a:lnTo>
                                <a:pt x="285" y="56"/>
                              </a:lnTo>
                              <a:lnTo>
                                <a:pt x="289" y="56"/>
                              </a:lnTo>
                              <a:lnTo>
                                <a:pt x="292" y="56"/>
                              </a:lnTo>
                              <a:lnTo>
                                <a:pt x="295" y="56"/>
                              </a:lnTo>
                              <a:lnTo>
                                <a:pt x="297" y="56"/>
                              </a:lnTo>
                              <a:lnTo>
                                <a:pt x="298" y="56"/>
                              </a:lnTo>
                              <a:lnTo>
                                <a:pt x="299" y="56"/>
                              </a:lnTo>
                              <a:lnTo>
                                <a:pt x="301" y="56"/>
                              </a:lnTo>
                              <a:lnTo>
                                <a:pt x="303" y="56"/>
                              </a:lnTo>
                              <a:lnTo>
                                <a:pt x="305" y="56"/>
                              </a:lnTo>
                              <a:lnTo>
                                <a:pt x="308" y="56"/>
                              </a:lnTo>
                              <a:lnTo>
                                <a:pt x="311" y="56"/>
                              </a:lnTo>
                              <a:lnTo>
                                <a:pt x="313" y="56"/>
                              </a:lnTo>
                              <a:lnTo>
                                <a:pt x="317" y="56"/>
                              </a:lnTo>
                              <a:lnTo>
                                <a:pt x="320" y="56"/>
                              </a:lnTo>
                              <a:lnTo>
                                <a:pt x="324" y="56"/>
                              </a:lnTo>
                              <a:lnTo>
                                <a:pt x="327" y="56"/>
                              </a:lnTo>
                              <a:lnTo>
                                <a:pt x="329" y="56"/>
                              </a:lnTo>
                              <a:lnTo>
                                <a:pt x="332" y="56"/>
                              </a:lnTo>
                              <a:lnTo>
                                <a:pt x="335" y="56"/>
                              </a:lnTo>
                              <a:lnTo>
                                <a:pt x="338" y="56"/>
                              </a:lnTo>
                              <a:lnTo>
                                <a:pt x="342" y="56"/>
                              </a:lnTo>
                              <a:lnTo>
                                <a:pt x="345" y="56"/>
                              </a:lnTo>
                              <a:lnTo>
                                <a:pt x="349" y="56"/>
                              </a:lnTo>
                              <a:lnTo>
                                <a:pt x="351" y="56"/>
                              </a:lnTo>
                              <a:lnTo>
                                <a:pt x="353" y="56"/>
                              </a:lnTo>
                              <a:lnTo>
                                <a:pt x="355" y="56"/>
                              </a:lnTo>
                              <a:lnTo>
                                <a:pt x="356" y="56"/>
                              </a:lnTo>
                              <a:lnTo>
                                <a:pt x="358" y="56"/>
                              </a:lnTo>
                              <a:lnTo>
                                <a:pt x="359" y="56"/>
                              </a:lnTo>
                              <a:lnTo>
                                <a:pt x="361" y="56"/>
                              </a:lnTo>
                              <a:lnTo>
                                <a:pt x="362" y="56"/>
                              </a:lnTo>
                              <a:lnTo>
                                <a:pt x="364" y="56"/>
                              </a:lnTo>
                              <a:lnTo>
                                <a:pt x="365" y="56"/>
                              </a:lnTo>
                              <a:lnTo>
                                <a:pt x="365" y="56"/>
                              </a:lnTo>
                              <a:lnTo>
                                <a:pt x="366" y="56"/>
                              </a:lnTo>
                              <a:lnTo>
                                <a:pt x="367" y="56"/>
                              </a:lnTo>
                              <a:lnTo>
                                <a:pt x="367" y="56"/>
                              </a:lnTo>
                              <a:lnTo>
                                <a:pt x="368" y="56"/>
                              </a:lnTo>
                              <a:lnTo>
                                <a:pt x="371" y="56"/>
                              </a:lnTo>
                              <a:lnTo>
                                <a:pt x="374" y="56"/>
                              </a:lnTo>
                              <a:lnTo>
                                <a:pt x="377" y="57"/>
                              </a:lnTo>
                              <a:lnTo>
                                <a:pt x="382" y="57"/>
                              </a:lnTo>
                              <a:lnTo>
                                <a:pt x="386" y="57"/>
                              </a:lnTo>
                              <a:lnTo>
                                <a:pt x="389" y="57"/>
                              </a:lnTo>
                              <a:lnTo>
                                <a:pt x="391" y="57"/>
                              </a:lnTo>
                              <a:lnTo>
                                <a:pt x="393" y="57"/>
                              </a:lnTo>
                              <a:lnTo>
                                <a:pt x="395" y="58"/>
                              </a:lnTo>
                              <a:lnTo>
                                <a:pt x="397" y="58"/>
                              </a:lnTo>
                              <a:lnTo>
                                <a:pt x="398" y="58"/>
                              </a:lnTo>
                              <a:lnTo>
                                <a:pt x="400" y="58"/>
                              </a:lnTo>
                              <a:lnTo>
                                <a:pt x="401" y="58"/>
                              </a:lnTo>
                              <a:lnTo>
                                <a:pt x="402" y="58"/>
                              </a:lnTo>
                              <a:lnTo>
                                <a:pt x="402" y="58"/>
                              </a:lnTo>
                              <a:lnTo>
                                <a:pt x="404" y="58"/>
                              </a:lnTo>
                              <a:lnTo>
                                <a:pt x="407" y="58"/>
                              </a:lnTo>
                              <a:lnTo>
                                <a:pt x="409" y="58"/>
                              </a:lnTo>
                              <a:lnTo>
                                <a:pt x="412" y="58"/>
                              </a:lnTo>
                              <a:lnTo>
                                <a:pt x="414" y="58"/>
                              </a:lnTo>
                              <a:lnTo>
                                <a:pt x="416" y="58"/>
                              </a:lnTo>
                              <a:lnTo>
                                <a:pt x="419" y="58"/>
                              </a:lnTo>
                              <a:lnTo>
                                <a:pt x="421" y="58"/>
                              </a:lnTo>
                              <a:lnTo>
                                <a:pt x="423" y="58"/>
                              </a:lnTo>
                              <a:lnTo>
                                <a:pt x="426" y="59"/>
                              </a:lnTo>
                              <a:lnTo>
                                <a:pt x="429" y="59"/>
                              </a:lnTo>
                              <a:lnTo>
                                <a:pt x="432" y="59"/>
                              </a:lnTo>
                              <a:lnTo>
                                <a:pt x="435" y="59"/>
                              </a:lnTo>
                              <a:lnTo>
                                <a:pt x="436" y="59"/>
                              </a:lnTo>
                              <a:lnTo>
                                <a:pt x="437" y="59"/>
                              </a:lnTo>
                              <a:lnTo>
                                <a:pt x="439" y="59"/>
                              </a:lnTo>
                              <a:lnTo>
                                <a:pt x="440" y="59"/>
                              </a:lnTo>
                              <a:lnTo>
                                <a:pt x="442" y="59"/>
                              </a:lnTo>
                              <a:lnTo>
                                <a:pt x="444" y="59"/>
                              </a:lnTo>
                              <a:lnTo>
                                <a:pt x="446" y="59"/>
                              </a:lnTo>
                              <a:lnTo>
                                <a:pt x="449" y="59"/>
                              </a:lnTo>
                              <a:lnTo>
                                <a:pt x="451" y="59"/>
                              </a:lnTo>
                              <a:lnTo>
                                <a:pt x="455" y="59"/>
                              </a:lnTo>
                              <a:lnTo>
                                <a:pt x="459" y="59"/>
                              </a:lnTo>
                              <a:lnTo>
                                <a:pt x="463" y="59"/>
                              </a:lnTo>
                              <a:lnTo>
                                <a:pt x="467" y="59"/>
                              </a:lnTo>
                              <a:lnTo>
                                <a:pt x="469" y="59"/>
                              </a:lnTo>
                              <a:lnTo>
                                <a:pt x="471" y="59"/>
                              </a:lnTo>
                              <a:lnTo>
                                <a:pt x="472" y="59"/>
                              </a:lnTo>
                              <a:lnTo>
                                <a:pt x="474" y="59"/>
                              </a:lnTo>
                              <a:lnTo>
                                <a:pt x="477" y="60"/>
                              </a:lnTo>
                              <a:lnTo>
                                <a:pt x="479" y="60"/>
                              </a:lnTo>
                              <a:lnTo>
                                <a:pt x="482" y="60"/>
                              </a:lnTo>
                              <a:lnTo>
                                <a:pt x="486" y="60"/>
                              </a:lnTo>
                              <a:lnTo>
                                <a:pt x="490" y="60"/>
                              </a:lnTo>
                              <a:lnTo>
                                <a:pt x="494" y="60"/>
                              </a:lnTo>
                              <a:lnTo>
                                <a:pt x="499" y="60"/>
                              </a:lnTo>
                              <a:lnTo>
                                <a:pt x="503" y="60"/>
                              </a:lnTo>
                              <a:lnTo>
                                <a:pt x="506" y="60"/>
                              </a:lnTo>
                              <a:lnTo>
                                <a:pt x="507" y="60"/>
                              </a:lnTo>
                              <a:lnTo>
                                <a:pt x="509" y="60"/>
                              </a:lnTo>
                              <a:lnTo>
                                <a:pt x="512" y="60"/>
                              </a:lnTo>
                              <a:lnTo>
                                <a:pt x="516" y="60"/>
                              </a:lnTo>
                              <a:lnTo>
                                <a:pt x="519" y="60"/>
                              </a:lnTo>
                              <a:lnTo>
                                <a:pt x="523" y="60"/>
                              </a:lnTo>
                              <a:lnTo>
                                <a:pt x="526" y="60"/>
                              </a:lnTo>
                              <a:lnTo>
                                <a:pt x="530" y="60"/>
                              </a:lnTo>
                              <a:lnTo>
                                <a:pt x="534" y="60"/>
                              </a:lnTo>
                              <a:lnTo>
                                <a:pt x="538" y="60"/>
                              </a:lnTo>
                              <a:lnTo>
                                <a:pt x="541" y="60"/>
                              </a:lnTo>
                              <a:lnTo>
                                <a:pt x="543" y="60"/>
                              </a:lnTo>
                              <a:lnTo>
                                <a:pt x="544" y="60"/>
                              </a:lnTo>
                              <a:lnTo>
                                <a:pt x="546" y="60"/>
                              </a:lnTo>
                              <a:lnTo>
                                <a:pt x="549" y="60"/>
                              </a:lnTo>
                              <a:lnTo>
                                <a:pt x="551" y="60"/>
                              </a:lnTo>
                              <a:lnTo>
                                <a:pt x="553" y="60"/>
                              </a:lnTo>
                              <a:lnTo>
                                <a:pt x="557" y="60"/>
                              </a:lnTo>
                              <a:lnTo>
                                <a:pt x="562" y="60"/>
                              </a:lnTo>
                              <a:lnTo>
                                <a:pt x="567" y="61"/>
                              </a:lnTo>
                              <a:lnTo>
                                <a:pt x="572" y="61"/>
                              </a:lnTo>
                              <a:lnTo>
                                <a:pt x="576" y="61"/>
                              </a:lnTo>
                              <a:lnTo>
                                <a:pt x="580" y="61"/>
                              </a:lnTo>
                              <a:lnTo>
                                <a:pt x="584" y="61"/>
                              </a:lnTo>
                              <a:lnTo>
                                <a:pt x="588" y="61"/>
                              </a:lnTo>
                              <a:lnTo>
                                <a:pt x="592" y="61"/>
                              </a:lnTo>
                              <a:lnTo>
                                <a:pt x="597" y="61"/>
                              </a:lnTo>
                              <a:lnTo>
                                <a:pt x="601" y="61"/>
                              </a:lnTo>
                              <a:lnTo>
                                <a:pt x="605" y="61"/>
                              </a:lnTo>
                              <a:lnTo>
                                <a:pt x="609" y="61"/>
                              </a:lnTo>
                              <a:lnTo>
                                <a:pt x="612" y="61"/>
                              </a:lnTo>
                              <a:lnTo>
                                <a:pt x="615" y="61"/>
                              </a:lnTo>
                              <a:lnTo>
                                <a:pt x="619" y="61"/>
                              </a:lnTo>
                              <a:lnTo>
                                <a:pt x="624" y="61"/>
                              </a:lnTo>
                              <a:lnTo>
                                <a:pt x="628" y="61"/>
                              </a:lnTo>
                              <a:lnTo>
                                <a:pt x="632" y="61"/>
                              </a:lnTo>
                              <a:lnTo>
                                <a:pt x="636" y="61"/>
                              </a:lnTo>
                              <a:lnTo>
                                <a:pt x="641" y="61"/>
                              </a:lnTo>
                              <a:lnTo>
                                <a:pt x="645" y="61"/>
                              </a:lnTo>
                              <a:lnTo>
                                <a:pt x="651" y="61"/>
                              </a:lnTo>
                              <a:lnTo>
                                <a:pt x="657" y="61"/>
                              </a:lnTo>
                              <a:lnTo>
                                <a:pt x="663" y="61"/>
                              </a:lnTo>
                              <a:lnTo>
                                <a:pt x="668" y="61"/>
                              </a:lnTo>
                              <a:lnTo>
                                <a:pt x="672" y="61"/>
                              </a:lnTo>
                              <a:lnTo>
                                <a:pt x="676" y="61"/>
                              </a:lnTo>
                              <a:lnTo>
                                <a:pt x="679" y="61"/>
                              </a:lnTo>
                              <a:lnTo>
                                <a:pt x="682" y="61"/>
                              </a:lnTo>
                              <a:lnTo>
                                <a:pt x="686" y="61"/>
                              </a:lnTo>
                              <a:lnTo>
                                <a:pt x="690" y="61"/>
                              </a:lnTo>
                              <a:lnTo>
                                <a:pt x="693" y="61"/>
                              </a:lnTo>
                              <a:lnTo>
                                <a:pt x="697" y="61"/>
                              </a:lnTo>
                              <a:lnTo>
                                <a:pt x="701" y="61"/>
                              </a:lnTo>
                              <a:lnTo>
                                <a:pt x="705" y="61"/>
                              </a:lnTo>
                              <a:lnTo>
                                <a:pt x="709" y="61"/>
                              </a:lnTo>
                              <a:lnTo>
                                <a:pt x="713" y="61"/>
                              </a:lnTo>
                              <a:lnTo>
                                <a:pt x="716" y="61"/>
                              </a:lnTo>
                              <a:lnTo>
                                <a:pt x="719" y="61"/>
                              </a:lnTo>
                              <a:lnTo>
                                <a:pt x="723" y="61"/>
                              </a:lnTo>
                              <a:lnTo>
                                <a:pt x="728" y="61"/>
                              </a:lnTo>
                              <a:lnTo>
                                <a:pt x="733" y="61"/>
                              </a:lnTo>
                              <a:lnTo>
                                <a:pt x="738" y="61"/>
                              </a:lnTo>
                              <a:lnTo>
                                <a:pt x="743" y="61"/>
                              </a:lnTo>
                              <a:lnTo>
                                <a:pt x="749" y="61"/>
                              </a:lnTo>
                              <a:lnTo>
                                <a:pt x="755" y="61"/>
                              </a:lnTo>
                              <a:lnTo>
                                <a:pt x="761" y="61"/>
                              </a:lnTo>
                              <a:lnTo>
                                <a:pt x="766" y="61"/>
                              </a:lnTo>
                              <a:lnTo>
                                <a:pt x="773" y="61"/>
                              </a:lnTo>
                              <a:lnTo>
                                <a:pt x="780" y="61"/>
                              </a:lnTo>
                              <a:lnTo>
                                <a:pt x="786" y="61"/>
                              </a:lnTo>
                              <a:lnTo>
                                <a:pt x="791" y="61"/>
                              </a:lnTo>
                              <a:lnTo>
                                <a:pt x="796" y="61"/>
                              </a:lnTo>
                              <a:lnTo>
                                <a:pt x="801" y="61"/>
                              </a:lnTo>
                              <a:lnTo>
                                <a:pt x="807" y="61"/>
                              </a:lnTo>
                              <a:lnTo>
                                <a:pt x="813" y="61"/>
                              </a:lnTo>
                              <a:lnTo>
                                <a:pt x="819" y="61"/>
                              </a:lnTo>
                              <a:lnTo>
                                <a:pt x="825" y="61"/>
                              </a:lnTo>
                              <a:lnTo>
                                <a:pt x="831" y="61"/>
                              </a:lnTo>
                              <a:lnTo>
                                <a:pt x="835" y="62"/>
                              </a:lnTo>
                              <a:lnTo>
                                <a:pt x="839" y="62"/>
                              </a:lnTo>
                              <a:lnTo>
                                <a:pt x="844" y="62"/>
                              </a:lnTo>
                              <a:lnTo>
                                <a:pt x="848" y="62"/>
                              </a:lnTo>
                              <a:lnTo>
                                <a:pt x="853" y="62"/>
                              </a:lnTo>
                              <a:lnTo>
                                <a:pt x="857" y="62"/>
                              </a:lnTo>
                              <a:lnTo>
                                <a:pt x="863" y="62"/>
                              </a:lnTo>
                              <a:lnTo>
                                <a:pt x="869" y="62"/>
                              </a:lnTo>
                              <a:lnTo>
                                <a:pt x="875" y="62"/>
                              </a:lnTo>
                              <a:lnTo>
                                <a:pt x="880" y="62"/>
                              </a:lnTo>
                              <a:lnTo>
                                <a:pt x="886" y="62"/>
                              </a:lnTo>
                              <a:lnTo>
                                <a:pt x="893" y="62"/>
                              </a:lnTo>
                              <a:lnTo>
                                <a:pt x="899" y="62"/>
                              </a:lnTo>
                              <a:lnTo>
                                <a:pt x="905" y="62"/>
                              </a:lnTo>
                              <a:lnTo>
                                <a:pt x="911" y="62"/>
                              </a:lnTo>
                              <a:lnTo>
                                <a:pt x="917" y="62"/>
                              </a:lnTo>
                              <a:lnTo>
                                <a:pt x="922" y="62"/>
                              </a:lnTo>
                              <a:lnTo>
                                <a:pt x="927" y="62"/>
                              </a:lnTo>
                              <a:lnTo>
                                <a:pt x="933" y="62"/>
                              </a:lnTo>
                              <a:lnTo>
                                <a:pt x="939" y="62"/>
                              </a:lnTo>
                              <a:lnTo>
                                <a:pt x="944" y="62"/>
                              </a:lnTo>
                              <a:lnTo>
                                <a:pt x="949" y="62"/>
                              </a:lnTo>
                              <a:lnTo>
                                <a:pt x="954" y="62"/>
                              </a:lnTo>
                              <a:lnTo>
                                <a:pt x="960" y="62"/>
                              </a:lnTo>
                              <a:lnTo>
                                <a:pt x="966" y="62"/>
                              </a:lnTo>
                              <a:lnTo>
                                <a:pt x="971" y="62"/>
                              </a:lnTo>
                              <a:lnTo>
                                <a:pt x="977" y="62"/>
                              </a:lnTo>
                            </a:path>
                          </a:pathLst>
                        </a:custGeom>
                        <a:noFill/>
                        <a:ln w="3175">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6" name="Freeform 155"/>
                        <a:cNvSpPr>
                          <a:spLocks/>
                        </a:cNvSpPr>
                      </a:nvSpPr>
                      <a:spPr bwMode="auto">
                        <a:xfrm>
                          <a:off x="6255097" y="7171443"/>
                          <a:ext cx="2096835" cy="71506"/>
                        </a:xfrm>
                        <a:custGeom>
                          <a:avLst/>
                          <a:gdLst/>
                          <a:ahLst/>
                          <a:cxnLst>
                            <a:cxn ang="0">
                              <a:pos x="39" y="36"/>
                            </a:cxn>
                            <a:cxn ang="0">
                              <a:pos x="81" y="36"/>
                            </a:cxn>
                            <a:cxn ang="0">
                              <a:pos x="126" y="36"/>
                            </a:cxn>
                            <a:cxn ang="0">
                              <a:pos x="171" y="36"/>
                            </a:cxn>
                            <a:cxn ang="0">
                              <a:pos x="213" y="36"/>
                            </a:cxn>
                            <a:cxn ang="0">
                              <a:pos x="248" y="36"/>
                            </a:cxn>
                            <a:cxn ang="0">
                              <a:pos x="278" y="36"/>
                            </a:cxn>
                            <a:cxn ang="0">
                              <a:pos x="306" y="36"/>
                            </a:cxn>
                            <a:cxn ang="0">
                              <a:pos x="334" y="36"/>
                            </a:cxn>
                            <a:cxn ang="0">
                              <a:pos x="354" y="37"/>
                            </a:cxn>
                            <a:cxn ang="0">
                              <a:pos x="372" y="36"/>
                            </a:cxn>
                            <a:cxn ang="0">
                              <a:pos x="399" y="36"/>
                            </a:cxn>
                            <a:cxn ang="0">
                              <a:pos x="414" y="35"/>
                            </a:cxn>
                            <a:cxn ang="0">
                              <a:pos x="438" y="35"/>
                            </a:cxn>
                            <a:cxn ang="0">
                              <a:pos x="468" y="34"/>
                            </a:cxn>
                            <a:cxn ang="0">
                              <a:pos x="484" y="34"/>
                            </a:cxn>
                            <a:cxn ang="0">
                              <a:pos x="506" y="33"/>
                            </a:cxn>
                            <a:cxn ang="0">
                              <a:pos x="525" y="33"/>
                            </a:cxn>
                            <a:cxn ang="0">
                              <a:pos x="555" y="33"/>
                            </a:cxn>
                            <a:cxn ang="0">
                              <a:pos x="588" y="32"/>
                            </a:cxn>
                            <a:cxn ang="0">
                              <a:pos x="615" y="32"/>
                            </a:cxn>
                            <a:cxn ang="0">
                              <a:pos x="651" y="33"/>
                            </a:cxn>
                            <a:cxn ang="0">
                              <a:pos x="684" y="33"/>
                            </a:cxn>
                            <a:cxn ang="0">
                              <a:pos x="718" y="33"/>
                            </a:cxn>
                            <a:cxn ang="0">
                              <a:pos x="744" y="33"/>
                            </a:cxn>
                            <a:cxn ang="0">
                              <a:pos x="780" y="33"/>
                            </a:cxn>
                            <a:cxn ang="0">
                              <a:pos x="825" y="33"/>
                            </a:cxn>
                            <a:cxn ang="0">
                              <a:pos x="862" y="33"/>
                            </a:cxn>
                            <a:cxn ang="0">
                              <a:pos x="880" y="33"/>
                            </a:cxn>
                            <a:cxn ang="0">
                              <a:pos x="888" y="33"/>
                            </a:cxn>
                            <a:cxn ang="0">
                              <a:pos x="891" y="32"/>
                            </a:cxn>
                            <a:cxn ang="0">
                              <a:pos x="898" y="32"/>
                            </a:cxn>
                            <a:cxn ang="0">
                              <a:pos x="905" y="31"/>
                            </a:cxn>
                            <a:cxn ang="0">
                              <a:pos x="911" y="29"/>
                            </a:cxn>
                            <a:cxn ang="0">
                              <a:pos x="917" y="28"/>
                            </a:cxn>
                            <a:cxn ang="0">
                              <a:pos x="922" y="26"/>
                            </a:cxn>
                            <a:cxn ang="0">
                              <a:pos x="924" y="25"/>
                            </a:cxn>
                            <a:cxn ang="0">
                              <a:pos x="926" y="24"/>
                            </a:cxn>
                            <a:cxn ang="0">
                              <a:pos x="935" y="20"/>
                            </a:cxn>
                            <a:cxn ang="0">
                              <a:pos x="950" y="11"/>
                            </a:cxn>
                            <a:cxn ang="0">
                              <a:pos x="960" y="6"/>
                            </a:cxn>
                            <a:cxn ang="0">
                              <a:pos x="969" y="2"/>
                            </a:cxn>
                            <a:cxn ang="0">
                              <a:pos x="978" y="1"/>
                            </a:cxn>
                            <a:cxn ang="0">
                              <a:pos x="988" y="1"/>
                            </a:cxn>
                            <a:cxn ang="0">
                              <a:pos x="995" y="2"/>
                            </a:cxn>
                            <a:cxn ang="0">
                              <a:pos x="1005" y="5"/>
                            </a:cxn>
                            <a:cxn ang="0">
                              <a:pos x="1026" y="14"/>
                            </a:cxn>
                            <a:cxn ang="0">
                              <a:pos x="1030" y="16"/>
                            </a:cxn>
                            <a:cxn ang="0">
                              <a:pos x="1042" y="20"/>
                            </a:cxn>
                            <a:cxn ang="0">
                              <a:pos x="1055" y="25"/>
                            </a:cxn>
                            <a:cxn ang="0">
                              <a:pos x="1063" y="27"/>
                            </a:cxn>
                            <a:cxn ang="0">
                              <a:pos x="1066" y="28"/>
                            </a:cxn>
                            <a:cxn ang="0">
                              <a:pos x="1077" y="30"/>
                            </a:cxn>
                            <a:cxn ang="0">
                              <a:pos x="1088" y="32"/>
                            </a:cxn>
                            <a:cxn ang="0">
                              <a:pos x="1097" y="33"/>
                            </a:cxn>
                            <a:cxn ang="0">
                              <a:pos x="1101" y="33"/>
                            </a:cxn>
                            <a:cxn ang="0">
                              <a:pos x="1115" y="35"/>
                            </a:cxn>
                            <a:cxn ang="0">
                              <a:pos x="1128" y="35"/>
                            </a:cxn>
                            <a:cxn ang="0">
                              <a:pos x="1137" y="36"/>
                            </a:cxn>
                            <a:cxn ang="0">
                              <a:pos x="1155" y="36"/>
                            </a:cxn>
                            <a:cxn ang="0">
                              <a:pos x="1169" y="37"/>
                            </a:cxn>
                            <a:cxn ang="0">
                              <a:pos x="1191" y="37"/>
                            </a:cxn>
                            <a:cxn ang="0">
                              <a:pos x="1208" y="38"/>
                            </a:cxn>
                          </a:cxnLst>
                          <a:rect l="0" t="0" r="r" b="b"/>
                          <a:pathLst>
                            <a:path w="1237" h="38">
                              <a:moveTo>
                                <a:pt x="0" y="36"/>
                              </a:moveTo>
                              <a:lnTo>
                                <a:pt x="5" y="36"/>
                              </a:lnTo>
                              <a:lnTo>
                                <a:pt x="11" y="36"/>
                              </a:lnTo>
                              <a:lnTo>
                                <a:pt x="17" y="36"/>
                              </a:lnTo>
                              <a:lnTo>
                                <a:pt x="22" y="36"/>
                              </a:lnTo>
                              <a:lnTo>
                                <a:pt x="28" y="36"/>
                              </a:lnTo>
                              <a:lnTo>
                                <a:pt x="34" y="36"/>
                              </a:lnTo>
                              <a:lnTo>
                                <a:pt x="39" y="36"/>
                              </a:lnTo>
                              <a:lnTo>
                                <a:pt x="45" y="36"/>
                              </a:lnTo>
                              <a:lnTo>
                                <a:pt x="50" y="36"/>
                              </a:lnTo>
                              <a:lnTo>
                                <a:pt x="55" y="36"/>
                              </a:lnTo>
                              <a:lnTo>
                                <a:pt x="60" y="36"/>
                              </a:lnTo>
                              <a:lnTo>
                                <a:pt x="64" y="36"/>
                              </a:lnTo>
                              <a:lnTo>
                                <a:pt x="69" y="36"/>
                              </a:lnTo>
                              <a:lnTo>
                                <a:pt x="75" y="36"/>
                              </a:lnTo>
                              <a:lnTo>
                                <a:pt x="81" y="36"/>
                              </a:lnTo>
                              <a:lnTo>
                                <a:pt x="87" y="36"/>
                              </a:lnTo>
                              <a:lnTo>
                                <a:pt x="92" y="36"/>
                              </a:lnTo>
                              <a:lnTo>
                                <a:pt x="98" y="36"/>
                              </a:lnTo>
                              <a:lnTo>
                                <a:pt x="104" y="36"/>
                              </a:lnTo>
                              <a:lnTo>
                                <a:pt x="110" y="36"/>
                              </a:lnTo>
                              <a:lnTo>
                                <a:pt x="116" y="36"/>
                              </a:lnTo>
                              <a:lnTo>
                                <a:pt x="121" y="36"/>
                              </a:lnTo>
                              <a:lnTo>
                                <a:pt x="126" y="36"/>
                              </a:lnTo>
                              <a:lnTo>
                                <a:pt x="131" y="36"/>
                              </a:lnTo>
                              <a:lnTo>
                                <a:pt x="136" y="36"/>
                              </a:lnTo>
                              <a:lnTo>
                                <a:pt x="141" y="36"/>
                              </a:lnTo>
                              <a:lnTo>
                                <a:pt x="147" y="36"/>
                              </a:lnTo>
                              <a:lnTo>
                                <a:pt x="153" y="36"/>
                              </a:lnTo>
                              <a:lnTo>
                                <a:pt x="158" y="36"/>
                              </a:lnTo>
                              <a:lnTo>
                                <a:pt x="165" y="36"/>
                              </a:lnTo>
                              <a:lnTo>
                                <a:pt x="171" y="36"/>
                              </a:lnTo>
                              <a:lnTo>
                                <a:pt x="176" y="36"/>
                              </a:lnTo>
                              <a:lnTo>
                                <a:pt x="180" y="36"/>
                              </a:lnTo>
                              <a:lnTo>
                                <a:pt x="185" y="36"/>
                              </a:lnTo>
                              <a:lnTo>
                                <a:pt x="190" y="36"/>
                              </a:lnTo>
                              <a:lnTo>
                                <a:pt x="196" y="36"/>
                              </a:lnTo>
                              <a:lnTo>
                                <a:pt x="202" y="36"/>
                              </a:lnTo>
                              <a:lnTo>
                                <a:pt x="208" y="36"/>
                              </a:lnTo>
                              <a:lnTo>
                                <a:pt x="213" y="36"/>
                              </a:lnTo>
                              <a:lnTo>
                                <a:pt x="218" y="36"/>
                              </a:lnTo>
                              <a:lnTo>
                                <a:pt x="225" y="36"/>
                              </a:lnTo>
                              <a:lnTo>
                                <a:pt x="229" y="36"/>
                              </a:lnTo>
                              <a:lnTo>
                                <a:pt x="232" y="36"/>
                              </a:lnTo>
                              <a:lnTo>
                                <a:pt x="235" y="36"/>
                              </a:lnTo>
                              <a:lnTo>
                                <a:pt x="240" y="36"/>
                              </a:lnTo>
                              <a:lnTo>
                                <a:pt x="244" y="36"/>
                              </a:lnTo>
                              <a:lnTo>
                                <a:pt x="248" y="36"/>
                              </a:lnTo>
                              <a:lnTo>
                                <a:pt x="254" y="36"/>
                              </a:lnTo>
                              <a:lnTo>
                                <a:pt x="260" y="36"/>
                              </a:lnTo>
                              <a:lnTo>
                                <a:pt x="264" y="36"/>
                              </a:lnTo>
                              <a:lnTo>
                                <a:pt x="267" y="36"/>
                              </a:lnTo>
                              <a:lnTo>
                                <a:pt x="269" y="36"/>
                              </a:lnTo>
                              <a:lnTo>
                                <a:pt x="272" y="36"/>
                              </a:lnTo>
                              <a:lnTo>
                                <a:pt x="275" y="36"/>
                              </a:lnTo>
                              <a:lnTo>
                                <a:pt x="278" y="36"/>
                              </a:lnTo>
                              <a:lnTo>
                                <a:pt x="281" y="36"/>
                              </a:lnTo>
                              <a:lnTo>
                                <a:pt x="286" y="36"/>
                              </a:lnTo>
                              <a:lnTo>
                                <a:pt x="289" y="36"/>
                              </a:lnTo>
                              <a:lnTo>
                                <a:pt x="292" y="36"/>
                              </a:lnTo>
                              <a:lnTo>
                                <a:pt x="297" y="36"/>
                              </a:lnTo>
                              <a:lnTo>
                                <a:pt x="302" y="36"/>
                              </a:lnTo>
                              <a:lnTo>
                                <a:pt x="304" y="36"/>
                              </a:lnTo>
                              <a:lnTo>
                                <a:pt x="306" y="36"/>
                              </a:lnTo>
                              <a:lnTo>
                                <a:pt x="309" y="36"/>
                              </a:lnTo>
                              <a:lnTo>
                                <a:pt x="314" y="36"/>
                              </a:lnTo>
                              <a:lnTo>
                                <a:pt x="318" y="36"/>
                              </a:lnTo>
                              <a:lnTo>
                                <a:pt x="322" y="36"/>
                              </a:lnTo>
                              <a:lnTo>
                                <a:pt x="325" y="36"/>
                              </a:lnTo>
                              <a:lnTo>
                                <a:pt x="328" y="36"/>
                              </a:lnTo>
                              <a:lnTo>
                                <a:pt x="331" y="36"/>
                              </a:lnTo>
                              <a:lnTo>
                                <a:pt x="334" y="36"/>
                              </a:lnTo>
                              <a:lnTo>
                                <a:pt x="336" y="36"/>
                              </a:lnTo>
                              <a:lnTo>
                                <a:pt x="338" y="37"/>
                              </a:lnTo>
                              <a:lnTo>
                                <a:pt x="341" y="37"/>
                              </a:lnTo>
                              <a:lnTo>
                                <a:pt x="344" y="37"/>
                              </a:lnTo>
                              <a:lnTo>
                                <a:pt x="346" y="37"/>
                              </a:lnTo>
                              <a:lnTo>
                                <a:pt x="349" y="37"/>
                              </a:lnTo>
                              <a:lnTo>
                                <a:pt x="351" y="37"/>
                              </a:lnTo>
                              <a:lnTo>
                                <a:pt x="354" y="37"/>
                              </a:lnTo>
                              <a:lnTo>
                                <a:pt x="356" y="37"/>
                              </a:lnTo>
                              <a:lnTo>
                                <a:pt x="358" y="37"/>
                              </a:lnTo>
                              <a:lnTo>
                                <a:pt x="361" y="37"/>
                              </a:lnTo>
                              <a:lnTo>
                                <a:pt x="363" y="37"/>
                              </a:lnTo>
                              <a:lnTo>
                                <a:pt x="364" y="36"/>
                              </a:lnTo>
                              <a:lnTo>
                                <a:pt x="366" y="36"/>
                              </a:lnTo>
                              <a:lnTo>
                                <a:pt x="368" y="36"/>
                              </a:lnTo>
                              <a:lnTo>
                                <a:pt x="372" y="36"/>
                              </a:lnTo>
                              <a:lnTo>
                                <a:pt x="375" y="36"/>
                              </a:lnTo>
                              <a:lnTo>
                                <a:pt x="378" y="36"/>
                              </a:lnTo>
                              <a:lnTo>
                                <a:pt x="381" y="36"/>
                              </a:lnTo>
                              <a:lnTo>
                                <a:pt x="384" y="36"/>
                              </a:lnTo>
                              <a:lnTo>
                                <a:pt x="387" y="36"/>
                              </a:lnTo>
                              <a:lnTo>
                                <a:pt x="390" y="36"/>
                              </a:lnTo>
                              <a:lnTo>
                                <a:pt x="395" y="36"/>
                              </a:lnTo>
                              <a:lnTo>
                                <a:pt x="399" y="36"/>
                              </a:lnTo>
                              <a:lnTo>
                                <a:pt x="400" y="36"/>
                              </a:lnTo>
                              <a:lnTo>
                                <a:pt x="402" y="36"/>
                              </a:lnTo>
                              <a:lnTo>
                                <a:pt x="403" y="36"/>
                              </a:lnTo>
                              <a:lnTo>
                                <a:pt x="403" y="36"/>
                              </a:lnTo>
                              <a:lnTo>
                                <a:pt x="405" y="36"/>
                              </a:lnTo>
                              <a:lnTo>
                                <a:pt x="408" y="35"/>
                              </a:lnTo>
                              <a:lnTo>
                                <a:pt x="411" y="35"/>
                              </a:lnTo>
                              <a:lnTo>
                                <a:pt x="414" y="35"/>
                              </a:lnTo>
                              <a:lnTo>
                                <a:pt x="418" y="35"/>
                              </a:lnTo>
                              <a:lnTo>
                                <a:pt x="424" y="35"/>
                              </a:lnTo>
                              <a:lnTo>
                                <a:pt x="430" y="35"/>
                              </a:lnTo>
                              <a:lnTo>
                                <a:pt x="434" y="35"/>
                              </a:lnTo>
                              <a:lnTo>
                                <a:pt x="435" y="35"/>
                              </a:lnTo>
                              <a:lnTo>
                                <a:pt x="436" y="35"/>
                              </a:lnTo>
                              <a:lnTo>
                                <a:pt x="437" y="35"/>
                              </a:lnTo>
                              <a:lnTo>
                                <a:pt x="438" y="35"/>
                              </a:lnTo>
                              <a:lnTo>
                                <a:pt x="439" y="35"/>
                              </a:lnTo>
                              <a:lnTo>
                                <a:pt x="443" y="35"/>
                              </a:lnTo>
                              <a:lnTo>
                                <a:pt x="447" y="35"/>
                              </a:lnTo>
                              <a:lnTo>
                                <a:pt x="450" y="35"/>
                              </a:lnTo>
                              <a:lnTo>
                                <a:pt x="454" y="34"/>
                              </a:lnTo>
                              <a:lnTo>
                                <a:pt x="459" y="34"/>
                              </a:lnTo>
                              <a:lnTo>
                                <a:pt x="464" y="34"/>
                              </a:lnTo>
                              <a:lnTo>
                                <a:pt x="468" y="34"/>
                              </a:lnTo>
                              <a:lnTo>
                                <a:pt x="470" y="34"/>
                              </a:lnTo>
                              <a:lnTo>
                                <a:pt x="471" y="34"/>
                              </a:lnTo>
                              <a:lnTo>
                                <a:pt x="472" y="34"/>
                              </a:lnTo>
                              <a:lnTo>
                                <a:pt x="473" y="34"/>
                              </a:lnTo>
                              <a:lnTo>
                                <a:pt x="474" y="34"/>
                              </a:lnTo>
                              <a:lnTo>
                                <a:pt x="477" y="34"/>
                              </a:lnTo>
                              <a:lnTo>
                                <a:pt x="480" y="34"/>
                              </a:lnTo>
                              <a:lnTo>
                                <a:pt x="484" y="34"/>
                              </a:lnTo>
                              <a:lnTo>
                                <a:pt x="487" y="34"/>
                              </a:lnTo>
                              <a:lnTo>
                                <a:pt x="490" y="34"/>
                              </a:lnTo>
                              <a:lnTo>
                                <a:pt x="493" y="33"/>
                              </a:lnTo>
                              <a:lnTo>
                                <a:pt x="496" y="33"/>
                              </a:lnTo>
                              <a:lnTo>
                                <a:pt x="500" y="33"/>
                              </a:lnTo>
                              <a:lnTo>
                                <a:pt x="504" y="33"/>
                              </a:lnTo>
                              <a:lnTo>
                                <a:pt x="505" y="33"/>
                              </a:lnTo>
                              <a:lnTo>
                                <a:pt x="506" y="33"/>
                              </a:lnTo>
                              <a:lnTo>
                                <a:pt x="507" y="33"/>
                              </a:lnTo>
                              <a:lnTo>
                                <a:pt x="509" y="33"/>
                              </a:lnTo>
                              <a:lnTo>
                                <a:pt x="511" y="33"/>
                              </a:lnTo>
                              <a:lnTo>
                                <a:pt x="514" y="33"/>
                              </a:lnTo>
                              <a:lnTo>
                                <a:pt x="516" y="33"/>
                              </a:lnTo>
                              <a:lnTo>
                                <a:pt x="519" y="33"/>
                              </a:lnTo>
                              <a:lnTo>
                                <a:pt x="522" y="33"/>
                              </a:lnTo>
                              <a:lnTo>
                                <a:pt x="525" y="33"/>
                              </a:lnTo>
                              <a:lnTo>
                                <a:pt x="529" y="33"/>
                              </a:lnTo>
                              <a:lnTo>
                                <a:pt x="534" y="33"/>
                              </a:lnTo>
                              <a:lnTo>
                                <a:pt x="538" y="33"/>
                              </a:lnTo>
                              <a:lnTo>
                                <a:pt x="540" y="33"/>
                              </a:lnTo>
                              <a:lnTo>
                                <a:pt x="542" y="33"/>
                              </a:lnTo>
                              <a:lnTo>
                                <a:pt x="544" y="33"/>
                              </a:lnTo>
                              <a:lnTo>
                                <a:pt x="549" y="33"/>
                              </a:lnTo>
                              <a:lnTo>
                                <a:pt x="555" y="33"/>
                              </a:lnTo>
                              <a:lnTo>
                                <a:pt x="562" y="33"/>
                              </a:lnTo>
                              <a:lnTo>
                                <a:pt x="567" y="32"/>
                              </a:lnTo>
                              <a:lnTo>
                                <a:pt x="570" y="32"/>
                              </a:lnTo>
                              <a:lnTo>
                                <a:pt x="574" y="32"/>
                              </a:lnTo>
                              <a:lnTo>
                                <a:pt x="578" y="32"/>
                              </a:lnTo>
                              <a:lnTo>
                                <a:pt x="581" y="32"/>
                              </a:lnTo>
                              <a:lnTo>
                                <a:pt x="585" y="32"/>
                              </a:lnTo>
                              <a:lnTo>
                                <a:pt x="588" y="32"/>
                              </a:lnTo>
                              <a:lnTo>
                                <a:pt x="592" y="32"/>
                              </a:lnTo>
                              <a:lnTo>
                                <a:pt x="595" y="32"/>
                              </a:lnTo>
                              <a:lnTo>
                                <a:pt x="598" y="32"/>
                              </a:lnTo>
                              <a:lnTo>
                                <a:pt x="601" y="32"/>
                              </a:lnTo>
                              <a:lnTo>
                                <a:pt x="604" y="32"/>
                              </a:lnTo>
                              <a:lnTo>
                                <a:pt x="608" y="32"/>
                              </a:lnTo>
                              <a:lnTo>
                                <a:pt x="612" y="32"/>
                              </a:lnTo>
                              <a:lnTo>
                                <a:pt x="615" y="32"/>
                              </a:lnTo>
                              <a:lnTo>
                                <a:pt x="618" y="32"/>
                              </a:lnTo>
                              <a:lnTo>
                                <a:pt x="623" y="32"/>
                              </a:lnTo>
                              <a:lnTo>
                                <a:pt x="629" y="33"/>
                              </a:lnTo>
                              <a:lnTo>
                                <a:pt x="636" y="33"/>
                              </a:lnTo>
                              <a:lnTo>
                                <a:pt x="643" y="33"/>
                              </a:lnTo>
                              <a:lnTo>
                                <a:pt x="646" y="33"/>
                              </a:lnTo>
                              <a:lnTo>
                                <a:pt x="648" y="33"/>
                              </a:lnTo>
                              <a:lnTo>
                                <a:pt x="651" y="33"/>
                              </a:lnTo>
                              <a:lnTo>
                                <a:pt x="654" y="33"/>
                              </a:lnTo>
                              <a:lnTo>
                                <a:pt x="658" y="33"/>
                              </a:lnTo>
                              <a:lnTo>
                                <a:pt x="663" y="33"/>
                              </a:lnTo>
                              <a:lnTo>
                                <a:pt x="669" y="33"/>
                              </a:lnTo>
                              <a:lnTo>
                                <a:pt x="676" y="33"/>
                              </a:lnTo>
                              <a:lnTo>
                                <a:pt x="679" y="33"/>
                              </a:lnTo>
                              <a:lnTo>
                                <a:pt x="681" y="33"/>
                              </a:lnTo>
                              <a:lnTo>
                                <a:pt x="684" y="33"/>
                              </a:lnTo>
                              <a:lnTo>
                                <a:pt x="688" y="33"/>
                              </a:lnTo>
                              <a:lnTo>
                                <a:pt x="690" y="33"/>
                              </a:lnTo>
                              <a:lnTo>
                                <a:pt x="693" y="33"/>
                              </a:lnTo>
                              <a:lnTo>
                                <a:pt x="698" y="33"/>
                              </a:lnTo>
                              <a:lnTo>
                                <a:pt x="704" y="33"/>
                              </a:lnTo>
                              <a:lnTo>
                                <a:pt x="710" y="33"/>
                              </a:lnTo>
                              <a:lnTo>
                                <a:pt x="714" y="33"/>
                              </a:lnTo>
                              <a:lnTo>
                                <a:pt x="718" y="33"/>
                              </a:lnTo>
                              <a:lnTo>
                                <a:pt x="721" y="33"/>
                              </a:lnTo>
                              <a:lnTo>
                                <a:pt x="724" y="33"/>
                              </a:lnTo>
                              <a:lnTo>
                                <a:pt x="726" y="33"/>
                              </a:lnTo>
                              <a:lnTo>
                                <a:pt x="730" y="33"/>
                              </a:lnTo>
                              <a:lnTo>
                                <a:pt x="733" y="33"/>
                              </a:lnTo>
                              <a:lnTo>
                                <a:pt x="736" y="33"/>
                              </a:lnTo>
                              <a:lnTo>
                                <a:pt x="740" y="33"/>
                              </a:lnTo>
                              <a:lnTo>
                                <a:pt x="744" y="33"/>
                              </a:lnTo>
                              <a:lnTo>
                                <a:pt x="749" y="33"/>
                              </a:lnTo>
                              <a:lnTo>
                                <a:pt x="752" y="33"/>
                              </a:lnTo>
                              <a:lnTo>
                                <a:pt x="756" y="33"/>
                              </a:lnTo>
                              <a:lnTo>
                                <a:pt x="761" y="33"/>
                              </a:lnTo>
                              <a:lnTo>
                                <a:pt x="765" y="33"/>
                              </a:lnTo>
                              <a:lnTo>
                                <a:pt x="769" y="33"/>
                              </a:lnTo>
                              <a:lnTo>
                                <a:pt x="775" y="33"/>
                              </a:lnTo>
                              <a:lnTo>
                                <a:pt x="780" y="33"/>
                              </a:lnTo>
                              <a:lnTo>
                                <a:pt x="784" y="33"/>
                              </a:lnTo>
                              <a:lnTo>
                                <a:pt x="788" y="33"/>
                              </a:lnTo>
                              <a:lnTo>
                                <a:pt x="792" y="33"/>
                              </a:lnTo>
                              <a:lnTo>
                                <a:pt x="798" y="33"/>
                              </a:lnTo>
                              <a:lnTo>
                                <a:pt x="803" y="33"/>
                              </a:lnTo>
                              <a:lnTo>
                                <a:pt x="810" y="33"/>
                              </a:lnTo>
                              <a:lnTo>
                                <a:pt x="817" y="33"/>
                              </a:lnTo>
                              <a:lnTo>
                                <a:pt x="825" y="33"/>
                              </a:lnTo>
                              <a:lnTo>
                                <a:pt x="831" y="33"/>
                              </a:lnTo>
                              <a:lnTo>
                                <a:pt x="839" y="33"/>
                              </a:lnTo>
                              <a:lnTo>
                                <a:pt x="847" y="33"/>
                              </a:lnTo>
                              <a:lnTo>
                                <a:pt x="851" y="33"/>
                              </a:lnTo>
                              <a:lnTo>
                                <a:pt x="855" y="33"/>
                              </a:lnTo>
                              <a:lnTo>
                                <a:pt x="858" y="33"/>
                              </a:lnTo>
                              <a:lnTo>
                                <a:pt x="860" y="33"/>
                              </a:lnTo>
                              <a:lnTo>
                                <a:pt x="862" y="33"/>
                              </a:lnTo>
                              <a:lnTo>
                                <a:pt x="866" y="33"/>
                              </a:lnTo>
                              <a:lnTo>
                                <a:pt x="869" y="33"/>
                              </a:lnTo>
                              <a:lnTo>
                                <a:pt x="871" y="33"/>
                              </a:lnTo>
                              <a:lnTo>
                                <a:pt x="874" y="33"/>
                              </a:lnTo>
                              <a:lnTo>
                                <a:pt x="875" y="33"/>
                              </a:lnTo>
                              <a:lnTo>
                                <a:pt x="877" y="33"/>
                              </a:lnTo>
                              <a:lnTo>
                                <a:pt x="878" y="33"/>
                              </a:lnTo>
                              <a:lnTo>
                                <a:pt x="880" y="33"/>
                              </a:lnTo>
                              <a:lnTo>
                                <a:pt x="881" y="33"/>
                              </a:lnTo>
                              <a:lnTo>
                                <a:pt x="882" y="33"/>
                              </a:lnTo>
                              <a:lnTo>
                                <a:pt x="883" y="33"/>
                              </a:lnTo>
                              <a:lnTo>
                                <a:pt x="885" y="33"/>
                              </a:lnTo>
                              <a:lnTo>
                                <a:pt x="886" y="33"/>
                              </a:lnTo>
                              <a:lnTo>
                                <a:pt x="886" y="33"/>
                              </a:lnTo>
                              <a:lnTo>
                                <a:pt x="887" y="33"/>
                              </a:lnTo>
                              <a:lnTo>
                                <a:pt x="888" y="33"/>
                              </a:lnTo>
                              <a:lnTo>
                                <a:pt x="888" y="33"/>
                              </a:lnTo>
                              <a:lnTo>
                                <a:pt x="889" y="33"/>
                              </a:lnTo>
                              <a:lnTo>
                                <a:pt x="889" y="33"/>
                              </a:lnTo>
                              <a:lnTo>
                                <a:pt x="890" y="33"/>
                              </a:lnTo>
                              <a:lnTo>
                                <a:pt x="890" y="33"/>
                              </a:lnTo>
                              <a:lnTo>
                                <a:pt x="891" y="32"/>
                              </a:lnTo>
                              <a:lnTo>
                                <a:pt x="891" y="32"/>
                              </a:lnTo>
                              <a:lnTo>
                                <a:pt x="891" y="32"/>
                              </a:lnTo>
                              <a:lnTo>
                                <a:pt x="892" y="32"/>
                              </a:lnTo>
                              <a:lnTo>
                                <a:pt x="893" y="32"/>
                              </a:lnTo>
                              <a:lnTo>
                                <a:pt x="894" y="32"/>
                              </a:lnTo>
                              <a:lnTo>
                                <a:pt x="895" y="32"/>
                              </a:lnTo>
                              <a:lnTo>
                                <a:pt x="895" y="32"/>
                              </a:lnTo>
                              <a:lnTo>
                                <a:pt x="896" y="32"/>
                              </a:lnTo>
                              <a:lnTo>
                                <a:pt x="897" y="32"/>
                              </a:lnTo>
                              <a:lnTo>
                                <a:pt x="898" y="32"/>
                              </a:lnTo>
                              <a:lnTo>
                                <a:pt x="899" y="32"/>
                              </a:lnTo>
                              <a:lnTo>
                                <a:pt x="900" y="32"/>
                              </a:lnTo>
                              <a:lnTo>
                                <a:pt x="900" y="32"/>
                              </a:lnTo>
                              <a:lnTo>
                                <a:pt x="901" y="31"/>
                              </a:lnTo>
                              <a:lnTo>
                                <a:pt x="902" y="31"/>
                              </a:lnTo>
                              <a:lnTo>
                                <a:pt x="903" y="31"/>
                              </a:lnTo>
                              <a:lnTo>
                                <a:pt x="904" y="31"/>
                              </a:lnTo>
                              <a:lnTo>
                                <a:pt x="905" y="31"/>
                              </a:lnTo>
                              <a:lnTo>
                                <a:pt x="905" y="31"/>
                              </a:lnTo>
                              <a:lnTo>
                                <a:pt x="906" y="31"/>
                              </a:lnTo>
                              <a:lnTo>
                                <a:pt x="907" y="30"/>
                              </a:lnTo>
                              <a:lnTo>
                                <a:pt x="908" y="30"/>
                              </a:lnTo>
                              <a:lnTo>
                                <a:pt x="909" y="30"/>
                              </a:lnTo>
                              <a:lnTo>
                                <a:pt x="910" y="30"/>
                              </a:lnTo>
                              <a:lnTo>
                                <a:pt x="910" y="30"/>
                              </a:lnTo>
                              <a:lnTo>
                                <a:pt x="911" y="29"/>
                              </a:lnTo>
                              <a:lnTo>
                                <a:pt x="912" y="29"/>
                              </a:lnTo>
                              <a:lnTo>
                                <a:pt x="913" y="29"/>
                              </a:lnTo>
                              <a:lnTo>
                                <a:pt x="914" y="29"/>
                              </a:lnTo>
                              <a:lnTo>
                                <a:pt x="914" y="29"/>
                              </a:lnTo>
                              <a:lnTo>
                                <a:pt x="915" y="29"/>
                              </a:lnTo>
                              <a:lnTo>
                                <a:pt x="916" y="28"/>
                              </a:lnTo>
                              <a:lnTo>
                                <a:pt x="916" y="28"/>
                              </a:lnTo>
                              <a:lnTo>
                                <a:pt x="917" y="28"/>
                              </a:lnTo>
                              <a:lnTo>
                                <a:pt x="918" y="28"/>
                              </a:lnTo>
                              <a:lnTo>
                                <a:pt x="919" y="27"/>
                              </a:lnTo>
                              <a:lnTo>
                                <a:pt x="919" y="27"/>
                              </a:lnTo>
                              <a:lnTo>
                                <a:pt x="920" y="27"/>
                              </a:lnTo>
                              <a:lnTo>
                                <a:pt x="921" y="27"/>
                              </a:lnTo>
                              <a:lnTo>
                                <a:pt x="921" y="26"/>
                              </a:lnTo>
                              <a:lnTo>
                                <a:pt x="922" y="26"/>
                              </a:lnTo>
                              <a:lnTo>
                                <a:pt x="922" y="26"/>
                              </a:lnTo>
                              <a:lnTo>
                                <a:pt x="922" y="26"/>
                              </a:lnTo>
                              <a:lnTo>
                                <a:pt x="923" y="26"/>
                              </a:lnTo>
                              <a:lnTo>
                                <a:pt x="923" y="26"/>
                              </a:lnTo>
                              <a:lnTo>
                                <a:pt x="923" y="26"/>
                              </a:lnTo>
                              <a:lnTo>
                                <a:pt x="924" y="26"/>
                              </a:lnTo>
                              <a:lnTo>
                                <a:pt x="924" y="25"/>
                              </a:lnTo>
                              <a:lnTo>
                                <a:pt x="924" y="25"/>
                              </a:lnTo>
                              <a:lnTo>
                                <a:pt x="924" y="25"/>
                              </a:lnTo>
                              <a:lnTo>
                                <a:pt x="924" y="25"/>
                              </a:lnTo>
                              <a:lnTo>
                                <a:pt x="925" y="25"/>
                              </a:lnTo>
                              <a:lnTo>
                                <a:pt x="925" y="25"/>
                              </a:lnTo>
                              <a:lnTo>
                                <a:pt x="925" y="25"/>
                              </a:lnTo>
                              <a:lnTo>
                                <a:pt x="925" y="25"/>
                              </a:lnTo>
                              <a:lnTo>
                                <a:pt x="925" y="25"/>
                              </a:lnTo>
                              <a:lnTo>
                                <a:pt x="925" y="25"/>
                              </a:lnTo>
                              <a:lnTo>
                                <a:pt x="926" y="24"/>
                              </a:lnTo>
                              <a:lnTo>
                                <a:pt x="927" y="24"/>
                              </a:lnTo>
                              <a:lnTo>
                                <a:pt x="928" y="24"/>
                              </a:lnTo>
                              <a:lnTo>
                                <a:pt x="929" y="23"/>
                              </a:lnTo>
                              <a:lnTo>
                                <a:pt x="930" y="23"/>
                              </a:lnTo>
                              <a:lnTo>
                                <a:pt x="931" y="22"/>
                              </a:lnTo>
                              <a:lnTo>
                                <a:pt x="932" y="21"/>
                              </a:lnTo>
                              <a:lnTo>
                                <a:pt x="933" y="21"/>
                              </a:lnTo>
                              <a:lnTo>
                                <a:pt x="935" y="20"/>
                              </a:lnTo>
                              <a:lnTo>
                                <a:pt x="936" y="19"/>
                              </a:lnTo>
                              <a:lnTo>
                                <a:pt x="938" y="18"/>
                              </a:lnTo>
                              <a:lnTo>
                                <a:pt x="939" y="17"/>
                              </a:lnTo>
                              <a:lnTo>
                                <a:pt x="942" y="16"/>
                              </a:lnTo>
                              <a:lnTo>
                                <a:pt x="944" y="14"/>
                              </a:lnTo>
                              <a:lnTo>
                                <a:pt x="947" y="13"/>
                              </a:lnTo>
                              <a:lnTo>
                                <a:pt x="948" y="12"/>
                              </a:lnTo>
                              <a:lnTo>
                                <a:pt x="950" y="11"/>
                              </a:lnTo>
                              <a:lnTo>
                                <a:pt x="952" y="10"/>
                              </a:lnTo>
                              <a:lnTo>
                                <a:pt x="954" y="9"/>
                              </a:lnTo>
                              <a:lnTo>
                                <a:pt x="955" y="8"/>
                              </a:lnTo>
                              <a:lnTo>
                                <a:pt x="957" y="8"/>
                              </a:lnTo>
                              <a:lnTo>
                                <a:pt x="958" y="7"/>
                              </a:lnTo>
                              <a:lnTo>
                                <a:pt x="959" y="6"/>
                              </a:lnTo>
                              <a:lnTo>
                                <a:pt x="959" y="6"/>
                              </a:lnTo>
                              <a:lnTo>
                                <a:pt x="960" y="6"/>
                              </a:lnTo>
                              <a:lnTo>
                                <a:pt x="960" y="6"/>
                              </a:lnTo>
                              <a:lnTo>
                                <a:pt x="961" y="5"/>
                              </a:lnTo>
                              <a:lnTo>
                                <a:pt x="963" y="5"/>
                              </a:lnTo>
                              <a:lnTo>
                                <a:pt x="964" y="4"/>
                              </a:lnTo>
                              <a:lnTo>
                                <a:pt x="965" y="4"/>
                              </a:lnTo>
                              <a:lnTo>
                                <a:pt x="966" y="3"/>
                              </a:lnTo>
                              <a:lnTo>
                                <a:pt x="967" y="3"/>
                              </a:lnTo>
                              <a:lnTo>
                                <a:pt x="969" y="2"/>
                              </a:lnTo>
                              <a:lnTo>
                                <a:pt x="970" y="2"/>
                              </a:lnTo>
                              <a:lnTo>
                                <a:pt x="971" y="2"/>
                              </a:lnTo>
                              <a:lnTo>
                                <a:pt x="972" y="1"/>
                              </a:lnTo>
                              <a:lnTo>
                                <a:pt x="973" y="1"/>
                              </a:lnTo>
                              <a:lnTo>
                                <a:pt x="975" y="1"/>
                              </a:lnTo>
                              <a:lnTo>
                                <a:pt x="976" y="1"/>
                              </a:lnTo>
                              <a:lnTo>
                                <a:pt x="977" y="1"/>
                              </a:lnTo>
                              <a:lnTo>
                                <a:pt x="978" y="1"/>
                              </a:lnTo>
                              <a:lnTo>
                                <a:pt x="979" y="0"/>
                              </a:lnTo>
                              <a:lnTo>
                                <a:pt x="980" y="0"/>
                              </a:lnTo>
                              <a:lnTo>
                                <a:pt x="982" y="0"/>
                              </a:lnTo>
                              <a:lnTo>
                                <a:pt x="983" y="0"/>
                              </a:lnTo>
                              <a:lnTo>
                                <a:pt x="984" y="0"/>
                              </a:lnTo>
                              <a:lnTo>
                                <a:pt x="985" y="1"/>
                              </a:lnTo>
                              <a:lnTo>
                                <a:pt x="986" y="1"/>
                              </a:lnTo>
                              <a:lnTo>
                                <a:pt x="988" y="1"/>
                              </a:lnTo>
                              <a:lnTo>
                                <a:pt x="989" y="1"/>
                              </a:lnTo>
                              <a:lnTo>
                                <a:pt x="990" y="1"/>
                              </a:lnTo>
                              <a:lnTo>
                                <a:pt x="991" y="1"/>
                              </a:lnTo>
                              <a:lnTo>
                                <a:pt x="992" y="2"/>
                              </a:lnTo>
                              <a:lnTo>
                                <a:pt x="993" y="2"/>
                              </a:lnTo>
                              <a:lnTo>
                                <a:pt x="994" y="2"/>
                              </a:lnTo>
                              <a:lnTo>
                                <a:pt x="994" y="2"/>
                              </a:lnTo>
                              <a:lnTo>
                                <a:pt x="995" y="2"/>
                              </a:lnTo>
                              <a:lnTo>
                                <a:pt x="995" y="2"/>
                              </a:lnTo>
                              <a:lnTo>
                                <a:pt x="996" y="2"/>
                              </a:lnTo>
                              <a:lnTo>
                                <a:pt x="997" y="3"/>
                              </a:lnTo>
                              <a:lnTo>
                                <a:pt x="998" y="3"/>
                              </a:lnTo>
                              <a:lnTo>
                                <a:pt x="1000" y="3"/>
                              </a:lnTo>
                              <a:lnTo>
                                <a:pt x="1001" y="4"/>
                              </a:lnTo>
                              <a:lnTo>
                                <a:pt x="1003" y="5"/>
                              </a:lnTo>
                              <a:lnTo>
                                <a:pt x="1005" y="5"/>
                              </a:lnTo>
                              <a:lnTo>
                                <a:pt x="1006" y="6"/>
                              </a:lnTo>
                              <a:lnTo>
                                <a:pt x="1008" y="7"/>
                              </a:lnTo>
                              <a:lnTo>
                                <a:pt x="1011" y="8"/>
                              </a:lnTo>
                              <a:lnTo>
                                <a:pt x="1014" y="9"/>
                              </a:lnTo>
                              <a:lnTo>
                                <a:pt x="1017" y="10"/>
                              </a:lnTo>
                              <a:lnTo>
                                <a:pt x="1020" y="11"/>
                              </a:lnTo>
                              <a:lnTo>
                                <a:pt x="1023" y="13"/>
                              </a:lnTo>
                              <a:lnTo>
                                <a:pt x="1026" y="14"/>
                              </a:lnTo>
                              <a:lnTo>
                                <a:pt x="1027" y="14"/>
                              </a:lnTo>
                              <a:lnTo>
                                <a:pt x="1027" y="14"/>
                              </a:lnTo>
                              <a:lnTo>
                                <a:pt x="1028" y="15"/>
                              </a:lnTo>
                              <a:lnTo>
                                <a:pt x="1028" y="15"/>
                              </a:lnTo>
                              <a:lnTo>
                                <a:pt x="1029" y="15"/>
                              </a:lnTo>
                              <a:lnTo>
                                <a:pt x="1029" y="15"/>
                              </a:lnTo>
                              <a:lnTo>
                                <a:pt x="1030" y="16"/>
                              </a:lnTo>
                              <a:lnTo>
                                <a:pt x="1030" y="16"/>
                              </a:lnTo>
                              <a:lnTo>
                                <a:pt x="1030" y="16"/>
                              </a:lnTo>
                              <a:lnTo>
                                <a:pt x="1031" y="16"/>
                              </a:lnTo>
                              <a:lnTo>
                                <a:pt x="1033" y="17"/>
                              </a:lnTo>
                              <a:lnTo>
                                <a:pt x="1035" y="18"/>
                              </a:lnTo>
                              <a:lnTo>
                                <a:pt x="1037" y="18"/>
                              </a:lnTo>
                              <a:lnTo>
                                <a:pt x="1038" y="19"/>
                              </a:lnTo>
                              <a:lnTo>
                                <a:pt x="1040" y="20"/>
                              </a:lnTo>
                              <a:lnTo>
                                <a:pt x="1042" y="20"/>
                              </a:lnTo>
                              <a:lnTo>
                                <a:pt x="1044" y="21"/>
                              </a:lnTo>
                              <a:lnTo>
                                <a:pt x="1045" y="21"/>
                              </a:lnTo>
                              <a:lnTo>
                                <a:pt x="1047" y="22"/>
                              </a:lnTo>
                              <a:lnTo>
                                <a:pt x="1049" y="23"/>
                              </a:lnTo>
                              <a:lnTo>
                                <a:pt x="1050" y="23"/>
                              </a:lnTo>
                              <a:lnTo>
                                <a:pt x="1052" y="24"/>
                              </a:lnTo>
                              <a:lnTo>
                                <a:pt x="1053" y="24"/>
                              </a:lnTo>
                              <a:lnTo>
                                <a:pt x="1055" y="25"/>
                              </a:lnTo>
                              <a:lnTo>
                                <a:pt x="1056" y="25"/>
                              </a:lnTo>
                              <a:lnTo>
                                <a:pt x="1057" y="25"/>
                              </a:lnTo>
                              <a:lnTo>
                                <a:pt x="1058" y="26"/>
                              </a:lnTo>
                              <a:lnTo>
                                <a:pt x="1060" y="26"/>
                              </a:lnTo>
                              <a:lnTo>
                                <a:pt x="1061" y="26"/>
                              </a:lnTo>
                              <a:lnTo>
                                <a:pt x="1062" y="26"/>
                              </a:lnTo>
                              <a:lnTo>
                                <a:pt x="1062" y="27"/>
                              </a:lnTo>
                              <a:lnTo>
                                <a:pt x="1063" y="27"/>
                              </a:lnTo>
                              <a:lnTo>
                                <a:pt x="1063" y="27"/>
                              </a:lnTo>
                              <a:lnTo>
                                <a:pt x="1064" y="27"/>
                              </a:lnTo>
                              <a:lnTo>
                                <a:pt x="1064" y="27"/>
                              </a:lnTo>
                              <a:lnTo>
                                <a:pt x="1065" y="27"/>
                              </a:lnTo>
                              <a:lnTo>
                                <a:pt x="1065" y="27"/>
                              </a:lnTo>
                              <a:lnTo>
                                <a:pt x="1065" y="27"/>
                              </a:lnTo>
                              <a:lnTo>
                                <a:pt x="1066" y="27"/>
                              </a:lnTo>
                              <a:lnTo>
                                <a:pt x="1066" y="28"/>
                              </a:lnTo>
                              <a:lnTo>
                                <a:pt x="1067" y="28"/>
                              </a:lnTo>
                              <a:lnTo>
                                <a:pt x="1069" y="28"/>
                              </a:lnTo>
                              <a:lnTo>
                                <a:pt x="1070" y="28"/>
                              </a:lnTo>
                              <a:lnTo>
                                <a:pt x="1071" y="29"/>
                              </a:lnTo>
                              <a:lnTo>
                                <a:pt x="1073" y="29"/>
                              </a:lnTo>
                              <a:lnTo>
                                <a:pt x="1074" y="29"/>
                              </a:lnTo>
                              <a:lnTo>
                                <a:pt x="1075" y="29"/>
                              </a:lnTo>
                              <a:lnTo>
                                <a:pt x="1077" y="30"/>
                              </a:lnTo>
                              <a:lnTo>
                                <a:pt x="1078" y="30"/>
                              </a:lnTo>
                              <a:lnTo>
                                <a:pt x="1079" y="30"/>
                              </a:lnTo>
                              <a:lnTo>
                                <a:pt x="1081" y="30"/>
                              </a:lnTo>
                              <a:lnTo>
                                <a:pt x="1082" y="31"/>
                              </a:lnTo>
                              <a:lnTo>
                                <a:pt x="1084" y="31"/>
                              </a:lnTo>
                              <a:lnTo>
                                <a:pt x="1085" y="31"/>
                              </a:lnTo>
                              <a:lnTo>
                                <a:pt x="1087" y="31"/>
                              </a:lnTo>
                              <a:lnTo>
                                <a:pt x="1088" y="32"/>
                              </a:lnTo>
                              <a:lnTo>
                                <a:pt x="1090" y="32"/>
                              </a:lnTo>
                              <a:lnTo>
                                <a:pt x="1091" y="32"/>
                              </a:lnTo>
                              <a:lnTo>
                                <a:pt x="1092" y="32"/>
                              </a:lnTo>
                              <a:lnTo>
                                <a:pt x="1094" y="32"/>
                              </a:lnTo>
                              <a:lnTo>
                                <a:pt x="1095" y="32"/>
                              </a:lnTo>
                              <a:lnTo>
                                <a:pt x="1096" y="33"/>
                              </a:lnTo>
                              <a:lnTo>
                                <a:pt x="1097" y="33"/>
                              </a:lnTo>
                              <a:lnTo>
                                <a:pt x="1097" y="33"/>
                              </a:lnTo>
                              <a:lnTo>
                                <a:pt x="1098" y="33"/>
                              </a:lnTo>
                              <a:lnTo>
                                <a:pt x="1098" y="33"/>
                              </a:lnTo>
                              <a:lnTo>
                                <a:pt x="1099" y="33"/>
                              </a:lnTo>
                              <a:lnTo>
                                <a:pt x="1099" y="33"/>
                              </a:lnTo>
                              <a:lnTo>
                                <a:pt x="1100" y="33"/>
                              </a:lnTo>
                              <a:lnTo>
                                <a:pt x="1100" y="33"/>
                              </a:lnTo>
                              <a:lnTo>
                                <a:pt x="1100" y="33"/>
                              </a:lnTo>
                              <a:lnTo>
                                <a:pt x="1101" y="33"/>
                              </a:lnTo>
                              <a:lnTo>
                                <a:pt x="1103" y="33"/>
                              </a:lnTo>
                              <a:lnTo>
                                <a:pt x="1104" y="33"/>
                              </a:lnTo>
                              <a:lnTo>
                                <a:pt x="1105" y="34"/>
                              </a:lnTo>
                              <a:lnTo>
                                <a:pt x="1107" y="34"/>
                              </a:lnTo>
                              <a:lnTo>
                                <a:pt x="1110" y="34"/>
                              </a:lnTo>
                              <a:lnTo>
                                <a:pt x="1112" y="34"/>
                              </a:lnTo>
                              <a:lnTo>
                                <a:pt x="1114" y="34"/>
                              </a:lnTo>
                              <a:lnTo>
                                <a:pt x="1115" y="35"/>
                              </a:lnTo>
                              <a:lnTo>
                                <a:pt x="1117" y="35"/>
                              </a:lnTo>
                              <a:lnTo>
                                <a:pt x="1118" y="35"/>
                              </a:lnTo>
                              <a:lnTo>
                                <a:pt x="1120" y="35"/>
                              </a:lnTo>
                              <a:lnTo>
                                <a:pt x="1122" y="35"/>
                              </a:lnTo>
                              <a:lnTo>
                                <a:pt x="1123" y="35"/>
                              </a:lnTo>
                              <a:lnTo>
                                <a:pt x="1125" y="35"/>
                              </a:lnTo>
                              <a:lnTo>
                                <a:pt x="1127" y="35"/>
                              </a:lnTo>
                              <a:lnTo>
                                <a:pt x="1128" y="35"/>
                              </a:lnTo>
                              <a:lnTo>
                                <a:pt x="1130" y="35"/>
                              </a:lnTo>
                              <a:lnTo>
                                <a:pt x="1131" y="35"/>
                              </a:lnTo>
                              <a:lnTo>
                                <a:pt x="1132" y="36"/>
                              </a:lnTo>
                              <a:lnTo>
                                <a:pt x="1133" y="36"/>
                              </a:lnTo>
                              <a:lnTo>
                                <a:pt x="1134" y="36"/>
                              </a:lnTo>
                              <a:lnTo>
                                <a:pt x="1134" y="36"/>
                              </a:lnTo>
                              <a:lnTo>
                                <a:pt x="1135" y="36"/>
                              </a:lnTo>
                              <a:lnTo>
                                <a:pt x="1137" y="36"/>
                              </a:lnTo>
                              <a:lnTo>
                                <a:pt x="1140" y="36"/>
                              </a:lnTo>
                              <a:lnTo>
                                <a:pt x="1142" y="36"/>
                              </a:lnTo>
                              <a:lnTo>
                                <a:pt x="1145" y="36"/>
                              </a:lnTo>
                              <a:lnTo>
                                <a:pt x="1147" y="36"/>
                              </a:lnTo>
                              <a:lnTo>
                                <a:pt x="1149" y="36"/>
                              </a:lnTo>
                              <a:lnTo>
                                <a:pt x="1151" y="36"/>
                              </a:lnTo>
                              <a:lnTo>
                                <a:pt x="1153" y="36"/>
                              </a:lnTo>
                              <a:lnTo>
                                <a:pt x="1155" y="36"/>
                              </a:lnTo>
                              <a:lnTo>
                                <a:pt x="1158" y="37"/>
                              </a:lnTo>
                              <a:lnTo>
                                <a:pt x="1160" y="37"/>
                              </a:lnTo>
                              <a:lnTo>
                                <a:pt x="1164" y="37"/>
                              </a:lnTo>
                              <a:lnTo>
                                <a:pt x="1166" y="37"/>
                              </a:lnTo>
                              <a:lnTo>
                                <a:pt x="1167" y="37"/>
                              </a:lnTo>
                              <a:lnTo>
                                <a:pt x="1168" y="37"/>
                              </a:lnTo>
                              <a:lnTo>
                                <a:pt x="1169" y="37"/>
                              </a:lnTo>
                              <a:lnTo>
                                <a:pt x="1169" y="37"/>
                              </a:lnTo>
                              <a:lnTo>
                                <a:pt x="1171" y="37"/>
                              </a:lnTo>
                              <a:lnTo>
                                <a:pt x="1173" y="37"/>
                              </a:lnTo>
                              <a:lnTo>
                                <a:pt x="1175" y="37"/>
                              </a:lnTo>
                              <a:lnTo>
                                <a:pt x="1177" y="37"/>
                              </a:lnTo>
                              <a:lnTo>
                                <a:pt x="1180" y="37"/>
                              </a:lnTo>
                              <a:lnTo>
                                <a:pt x="1184" y="37"/>
                              </a:lnTo>
                              <a:lnTo>
                                <a:pt x="1188" y="37"/>
                              </a:lnTo>
                              <a:lnTo>
                                <a:pt x="1191" y="37"/>
                              </a:lnTo>
                              <a:lnTo>
                                <a:pt x="1194" y="37"/>
                              </a:lnTo>
                              <a:lnTo>
                                <a:pt x="1197" y="37"/>
                              </a:lnTo>
                              <a:lnTo>
                                <a:pt x="1201" y="38"/>
                              </a:lnTo>
                              <a:lnTo>
                                <a:pt x="1203" y="38"/>
                              </a:lnTo>
                              <a:lnTo>
                                <a:pt x="1204" y="38"/>
                              </a:lnTo>
                              <a:lnTo>
                                <a:pt x="1205" y="38"/>
                              </a:lnTo>
                              <a:lnTo>
                                <a:pt x="1206" y="38"/>
                              </a:lnTo>
                              <a:lnTo>
                                <a:pt x="1208" y="38"/>
                              </a:lnTo>
                              <a:lnTo>
                                <a:pt x="1211" y="38"/>
                              </a:lnTo>
                              <a:lnTo>
                                <a:pt x="1214" y="38"/>
                              </a:lnTo>
                              <a:lnTo>
                                <a:pt x="1218" y="38"/>
                              </a:lnTo>
                              <a:lnTo>
                                <a:pt x="1222" y="38"/>
                              </a:lnTo>
                              <a:lnTo>
                                <a:pt x="1227" y="38"/>
                              </a:lnTo>
                              <a:lnTo>
                                <a:pt x="1232" y="38"/>
                              </a:lnTo>
                              <a:lnTo>
                                <a:pt x="1237" y="38"/>
                              </a:lnTo>
                            </a:path>
                          </a:pathLst>
                        </a:custGeom>
                        <a:noFill/>
                        <a:ln w="3175">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28" name="Freeform 156"/>
                        <a:cNvSpPr>
                          <a:spLocks/>
                        </a:cNvSpPr>
                      </a:nvSpPr>
                      <a:spPr bwMode="auto">
                        <a:xfrm>
                          <a:off x="8351932" y="7242948"/>
                          <a:ext cx="244094" cy="1881"/>
                        </a:xfrm>
                        <a:custGeom>
                          <a:avLst/>
                          <a:gdLst/>
                          <a:ahLst/>
                          <a:cxnLst>
                            <a:cxn ang="0">
                              <a:pos x="0" y="0"/>
                            </a:cxn>
                            <a:cxn ang="0">
                              <a:pos x="2" y="0"/>
                            </a:cxn>
                            <a:cxn ang="0">
                              <a:pos x="4" y="0"/>
                            </a:cxn>
                            <a:cxn ang="0">
                              <a:pos x="6" y="0"/>
                            </a:cxn>
                            <a:cxn ang="0">
                              <a:pos x="8" y="0"/>
                            </a:cxn>
                            <a:cxn ang="0">
                              <a:pos x="10" y="0"/>
                            </a:cxn>
                            <a:cxn ang="0">
                              <a:pos x="12" y="0"/>
                            </a:cxn>
                            <a:cxn ang="0">
                              <a:pos x="16" y="0"/>
                            </a:cxn>
                            <a:cxn ang="0">
                              <a:pos x="21" y="0"/>
                            </a:cxn>
                            <a:cxn ang="0">
                              <a:pos x="25" y="0"/>
                            </a:cxn>
                            <a:cxn ang="0">
                              <a:pos x="28" y="0"/>
                            </a:cxn>
                            <a:cxn ang="0">
                              <a:pos x="30" y="0"/>
                            </a:cxn>
                            <a:cxn ang="0">
                              <a:pos x="33" y="0"/>
                            </a:cxn>
                            <a:cxn ang="0">
                              <a:pos x="35" y="0"/>
                            </a:cxn>
                            <a:cxn ang="0">
                              <a:pos x="36" y="0"/>
                            </a:cxn>
                            <a:cxn ang="0">
                              <a:pos x="37" y="0"/>
                            </a:cxn>
                            <a:cxn ang="0">
                              <a:pos x="39" y="0"/>
                            </a:cxn>
                            <a:cxn ang="0">
                              <a:pos x="40" y="0"/>
                            </a:cxn>
                            <a:cxn ang="0">
                              <a:pos x="42" y="0"/>
                            </a:cxn>
                            <a:cxn ang="0">
                              <a:pos x="44" y="0"/>
                            </a:cxn>
                            <a:cxn ang="0">
                              <a:pos x="46" y="0"/>
                            </a:cxn>
                            <a:cxn ang="0">
                              <a:pos x="49" y="0"/>
                            </a:cxn>
                            <a:cxn ang="0">
                              <a:pos x="52" y="0"/>
                            </a:cxn>
                            <a:cxn ang="0">
                              <a:pos x="57" y="0"/>
                            </a:cxn>
                            <a:cxn ang="0">
                              <a:pos x="60" y="0"/>
                            </a:cxn>
                            <a:cxn ang="0">
                              <a:pos x="64" y="0"/>
                            </a:cxn>
                            <a:cxn ang="0">
                              <a:pos x="66" y="0"/>
                            </a:cxn>
                            <a:cxn ang="0">
                              <a:pos x="68" y="0"/>
                            </a:cxn>
                            <a:cxn ang="0">
                              <a:pos x="71" y="0"/>
                            </a:cxn>
                            <a:cxn ang="0">
                              <a:pos x="72" y="0"/>
                            </a:cxn>
                            <a:cxn ang="0">
                              <a:pos x="73" y="0"/>
                            </a:cxn>
                            <a:cxn ang="0">
                              <a:pos x="75" y="0"/>
                            </a:cxn>
                            <a:cxn ang="0">
                              <a:pos x="76" y="0"/>
                            </a:cxn>
                            <a:cxn ang="0">
                              <a:pos x="78" y="0"/>
                            </a:cxn>
                            <a:cxn ang="0">
                              <a:pos x="80" y="0"/>
                            </a:cxn>
                            <a:cxn ang="0">
                              <a:pos x="82" y="0"/>
                            </a:cxn>
                            <a:cxn ang="0">
                              <a:pos x="84" y="0"/>
                            </a:cxn>
                            <a:cxn ang="0">
                              <a:pos x="87" y="0"/>
                            </a:cxn>
                            <a:cxn ang="0">
                              <a:pos x="89" y="0"/>
                            </a:cxn>
                            <a:cxn ang="0">
                              <a:pos x="92" y="0"/>
                            </a:cxn>
                            <a:cxn ang="0">
                              <a:pos x="95" y="0"/>
                            </a:cxn>
                            <a:cxn ang="0">
                              <a:pos x="100" y="0"/>
                            </a:cxn>
                            <a:cxn ang="0">
                              <a:pos x="105" y="0"/>
                            </a:cxn>
                            <a:cxn ang="0">
                              <a:pos x="109" y="0"/>
                            </a:cxn>
                            <a:cxn ang="0">
                              <a:pos x="113" y="0"/>
                            </a:cxn>
                            <a:cxn ang="0">
                              <a:pos x="116" y="0"/>
                            </a:cxn>
                            <a:cxn ang="0">
                              <a:pos x="118" y="0"/>
                            </a:cxn>
                            <a:cxn ang="0">
                              <a:pos x="120" y="0"/>
                            </a:cxn>
                            <a:cxn ang="0">
                              <a:pos x="122" y="0"/>
                            </a:cxn>
                            <a:cxn ang="0">
                              <a:pos x="123" y="0"/>
                            </a:cxn>
                            <a:cxn ang="0">
                              <a:pos x="125" y="0"/>
                            </a:cxn>
                            <a:cxn ang="0">
                              <a:pos x="127" y="0"/>
                            </a:cxn>
                            <a:cxn ang="0">
                              <a:pos x="129" y="0"/>
                            </a:cxn>
                            <a:cxn ang="0">
                              <a:pos x="131" y="0"/>
                            </a:cxn>
                            <a:cxn ang="0">
                              <a:pos x="132" y="0"/>
                            </a:cxn>
                            <a:cxn ang="0">
                              <a:pos x="134" y="0"/>
                            </a:cxn>
                            <a:cxn ang="0">
                              <a:pos x="136" y="0"/>
                            </a:cxn>
                            <a:cxn ang="0">
                              <a:pos x="138" y="0"/>
                            </a:cxn>
                            <a:cxn ang="0">
                              <a:pos x="139" y="0"/>
                            </a:cxn>
                            <a:cxn ang="0">
                              <a:pos x="141" y="0"/>
                            </a:cxn>
                            <a:cxn ang="0">
                              <a:pos x="143" y="0"/>
                            </a:cxn>
                            <a:cxn ang="0">
                              <a:pos x="144" y="0"/>
                            </a:cxn>
                          </a:cxnLst>
                          <a:rect l="0" t="0" r="r" b="b"/>
                          <a:pathLst>
                            <a:path w="144">
                              <a:moveTo>
                                <a:pt x="0" y="0"/>
                              </a:moveTo>
                              <a:lnTo>
                                <a:pt x="2" y="0"/>
                              </a:lnTo>
                              <a:lnTo>
                                <a:pt x="4" y="0"/>
                              </a:lnTo>
                              <a:lnTo>
                                <a:pt x="6" y="0"/>
                              </a:lnTo>
                              <a:lnTo>
                                <a:pt x="8" y="0"/>
                              </a:lnTo>
                              <a:lnTo>
                                <a:pt x="10" y="0"/>
                              </a:lnTo>
                              <a:lnTo>
                                <a:pt x="12" y="0"/>
                              </a:lnTo>
                              <a:lnTo>
                                <a:pt x="16" y="0"/>
                              </a:lnTo>
                              <a:lnTo>
                                <a:pt x="21" y="0"/>
                              </a:lnTo>
                              <a:lnTo>
                                <a:pt x="25" y="0"/>
                              </a:lnTo>
                              <a:lnTo>
                                <a:pt x="28" y="0"/>
                              </a:lnTo>
                              <a:lnTo>
                                <a:pt x="30" y="0"/>
                              </a:lnTo>
                              <a:lnTo>
                                <a:pt x="33" y="0"/>
                              </a:lnTo>
                              <a:lnTo>
                                <a:pt x="35" y="0"/>
                              </a:lnTo>
                              <a:lnTo>
                                <a:pt x="36" y="0"/>
                              </a:lnTo>
                              <a:lnTo>
                                <a:pt x="37" y="0"/>
                              </a:lnTo>
                              <a:lnTo>
                                <a:pt x="39" y="0"/>
                              </a:lnTo>
                              <a:lnTo>
                                <a:pt x="40" y="0"/>
                              </a:lnTo>
                              <a:lnTo>
                                <a:pt x="42" y="0"/>
                              </a:lnTo>
                              <a:lnTo>
                                <a:pt x="44" y="0"/>
                              </a:lnTo>
                              <a:lnTo>
                                <a:pt x="46" y="0"/>
                              </a:lnTo>
                              <a:lnTo>
                                <a:pt x="49" y="0"/>
                              </a:lnTo>
                              <a:lnTo>
                                <a:pt x="52" y="0"/>
                              </a:lnTo>
                              <a:lnTo>
                                <a:pt x="57" y="0"/>
                              </a:lnTo>
                              <a:lnTo>
                                <a:pt x="60" y="0"/>
                              </a:lnTo>
                              <a:lnTo>
                                <a:pt x="64" y="0"/>
                              </a:lnTo>
                              <a:lnTo>
                                <a:pt x="66" y="0"/>
                              </a:lnTo>
                              <a:lnTo>
                                <a:pt x="68" y="0"/>
                              </a:lnTo>
                              <a:lnTo>
                                <a:pt x="71" y="0"/>
                              </a:lnTo>
                              <a:lnTo>
                                <a:pt x="72" y="0"/>
                              </a:lnTo>
                              <a:lnTo>
                                <a:pt x="73" y="0"/>
                              </a:lnTo>
                              <a:lnTo>
                                <a:pt x="75" y="0"/>
                              </a:lnTo>
                              <a:lnTo>
                                <a:pt x="76" y="0"/>
                              </a:lnTo>
                              <a:lnTo>
                                <a:pt x="78" y="0"/>
                              </a:lnTo>
                              <a:lnTo>
                                <a:pt x="80" y="0"/>
                              </a:lnTo>
                              <a:lnTo>
                                <a:pt x="82" y="0"/>
                              </a:lnTo>
                              <a:lnTo>
                                <a:pt x="84" y="0"/>
                              </a:lnTo>
                              <a:lnTo>
                                <a:pt x="87" y="0"/>
                              </a:lnTo>
                              <a:lnTo>
                                <a:pt x="89" y="0"/>
                              </a:lnTo>
                              <a:lnTo>
                                <a:pt x="92" y="0"/>
                              </a:lnTo>
                              <a:lnTo>
                                <a:pt x="95" y="0"/>
                              </a:lnTo>
                              <a:lnTo>
                                <a:pt x="100" y="0"/>
                              </a:lnTo>
                              <a:lnTo>
                                <a:pt x="105" y="0"/>
                              </a:lnTo>
                              <a:lnTo>
                                <a:pt x="109" y="0"/>
                              </a:lnTo>
                              <a:lnTo>
                                <a:pt x="113" y="0"/>
                              </a:lnTo>
                              <a:lnTo>
                                <a:pt x="116" y="0"/>
                              </a:lnTo>
                              <a:lnTo>
                                <a:pt x="118" y="0"/>
                              </a:lnTo>
                              <a:lnTo>
                                <a:pt x="120" y="0"/>
                              </a:lnTo>
                              <a:lnTo>
                                <a:pt x="122" y="0"/>
                              </a:lnTo>
                              <a:lnTo>
                                <a:pt x="123" y="0"/>
                              </a:lnTo>
                              <a:lnTo>
                                <a:pt x="125" y="0"/>
                              </a:lnTo>
                              <a:lnTo>
                                <a:pt x="127" y="0"/>
                              </a:lnTo>
                              <a:lnTo>
                                <a:pt x="129" y="0"/>
                              </a:lnTo>
                              <a:lnTo>
                                <a:pt x="131" y="0"/>
                              </a:lnTo>
                              <a:lnTo>
                                <a:pt x="132" y="0"/>
                              </a:lnTo>
                              <a:lnTo>
                                <a:pt x="134" y="0"/>
                              </a:lnTo>
                              <a:lnTo>
                                <a:pt x="136" y="0"/>
                              </a:lnTo>
                              <a:lnTo>
                                <a:pt x="138" y="0"/>
                              </a:lnTo>
                              <a:lnTo>
                                <a:pt x="139" y="0"/>
                              </a:lnTo>
                              <a:lnTo>
                                <a:pt x="141" y="0"/>
                              </a:lnTo>
                              <a:lnTo>
                                <a:pt x="143" y="0"/>
                              </a:lnTo>
                              <a:lnTo>
                                <a:pt x="144" y="0"/>
                              </a:lnTo>
                            </a:path>
                          </a:pathLst>
                        </a:custGeom>
                        <a:noFill/>
                        <a:ln w="3175">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33" name="Freeform 158"/>
                        <a:cNvSpPr>
                          <a:spLocks/>
                        </a:cNvSpPr>
                      </a:nvSpPr>
                      <a:spPr bwMode="auto">
                        <a:xfrm>
                          <a:off x="1666467" y="7124400"/>
                          <a:ext cx="416994" cy="280377"/>
                        </a:xfrm>
                        <a:custGeom>
                          <a:avLst/>
                          <a:gdLst/>
                          <a:ahLst/>
                          <a:cxnLst>
                            <a:cxn ang="0">
                              <a:pos x="11" y="149"/>
                            </a:cxn>
                            <a:cxn ang="0">
                              <a:pos x="42" y="149"/>
                            </a:cxn>
                            <a:cxn ang="0">
                              <a:pos x="85" y="149"/>
                            </a:cxn>
                            <a:cxn ang="0">
                              <a:pos x="109" y="149"/>
                            </a:cxn>
                            <a:cxn ang="0">
                              <a:pos x="122" y="149"/>
                            </a:cxn>
                            <a:cxn ang="0">
                              <a:pos x="133" y="149"/>
                            </a:cxn>
                            <a:cxn ang="0">
                              <a:pos x="138" y="149"/>
                            </a:cxn>
                            <a:cxn ang="0">
                              <a:pos x="140" y="149"/>
                            </a:cxn>
                            <a:cxn ang="0">
                              <a:pos x="141" y="149"/>
                            </a:cxn>
                            <a:cxn ang="0">
                              <a:pos x="143" y="149"/>
                            </a:cxn>
                            <a:cxn ang="0">
                              <a:pos x="144" y="148"/>
                            </a:cxn>
                            <a:cxn ang="0">
                              <a:pos x="146" y="148"/>
                            </a:cxn>
                            <a:cxn ang="0">
                              <a:pos x="148" y="147"/>
                            </a:cxn>
                            <a:cxn ang="0">
                              <a:pos x="150" y="146"/>
                            </a:cxn>
                            <a:cxn ang="0">
                              <a:pos x="151" y="145"/>
                            </a:cxn>
                            <a:cxn ang="0">
                              <a:pos x="153" y="143"/>
                            </a:cxn>
                            <a:cxn ang="0">
                              <a:pos x="154" y="141"/>
                            </a:cxn>
                            <a:cxn ang="0">
                              <a:pos x="156" y="139"/>
                            </a:cxn>
                            <a:cxn ang="0">
                              <a:pos x="159" y="134"/>
                            </a:cxn>
                            <a:cxn ang="0">
                              <a:pos x="163" y="128"/>
                            </a:cxn>
                            <a:cxn ang="0">
                              <a:pos x="165" y="125"/>
                            </a:cxn>
                            <a:cxn ang="0">
                              <a:pos x="168" y="123"/>
                            </a:cxn>
                            <a:cxn ang="0">
                              <a:pos x="170" y="121"/>
                            </a:cxn>
                            <a:cxn ang="0">
                              <a:pos x="172" y="119"/>
                            </a:cxn>
                            <a:cxn ang="0">
                              <a:pos x="174" y="116"/>
                            </a:cxn>
                            <a:cxn ang="0">
                              <a:pos x="174" y="113"/>
                            </a:cxn>
                            <a:cxn ang="0">
                              <a:pos x="175" y="111"/>
                            </a:cxn>
                            <a:cxn ang="0">
                              <a:pos x="176" y="108"/>
                            </a:cxn>
                            <a:cxn ang="0">
                              <a:pos x="177" y="101"/>
                            </a:cxn>
                            <a:cxn ang="0">
                              <a:pos x="178" y="91"/>
                            </a:cxn>
                            <a:cxn ang="0">
                              <a:pos x="180" y="74"/>
                            </a:cxn>
                            <a:cxn ang="0">
                              <a:pos x="183" y="41"/>
                            </a:cxn>
                            <a:cxn ang="0">
                              <a:pos x="185" y="17"/>
                            </a:cxn>
                            <a:cxn ang="0">
                              <a:pos x="187" y="5"/>
                            </a:cxn>
                            <a:cxn ang="0">
                              <a:pos x="188" y="0"/>
                            </a:cxn>
                            <a:cxn ang="0">
                              <a:pos x="190" y="2"/>
                            </a:cxn>
                            <a:cxn ang="0">
                              <a:pos x="192" y="12"/>
                            </a:cxn>
                            <a:cxn ang="0">
                              <a:pos x="195" y="35"/>
                            </a:cxn>
                            <a:cxn ang="0">
                              <a:pos x="199" y="69"/>
                            </a:cxn>
                            <a:cxn ang="0">
                              <a:pos x="202" y="89"/>
                            </a:cxn>
                            <a:cxn ang="0">
                              <a:pos x="204" y="101"/>
                            </a:cxn>
                            <a:cxn ang="0">
                              <a:pos x="206" y="110"/>
                            </a:cxn>
                            <a:cxn ang="0">
                              <a:pos x="208" y="118"/>
                            </a:cxn>
                            <a:cxn ang="0">
                              <a:pos x="211" y="126"/>
                            </a:cxn>
                            <a:cxn ang="0">
                              <a:pos x="211" y="128"/>
                            </a:cxn>
                            <a:cxn ang="0">
                              <a:pos x="213" y="131"/>
                            </a:cxn>
                            <a:cxn ang="0">
                              <a:pos x="214" y="134"/>
                            </a:cxn>
                            <a:cxn ang="0">
                              <a:pos x="216" y="136"/>
                            </a:cxn>
                            <a:cxn ang="0">
                              <a:pos x="217" y="138"/>
                            </a:cxn>
                            <a:cxn ang="0">
                              <a:pos x="219" y="139"/>
                            </a:cxn>
                            <a:cxn ang="0">
                              <a:pos x="220" y="139"/>
                            </a:cxn>
                            <a:cxn ang="0">
                              <a:pos x="222" y="140"/>
                            </a:cxn>
                            <a:cxn ang="0">
                              <a:pos x="223" y="140"/>
                            </a:cxn>
                            <a:cxn ang="0">
                              <a:pos x="225" y="139"/>
                            </a:cxn>
                            <a:cxn ang="0">
                              <a:pos x="226" y="138"/>
                            </a:cxn>
                            <a:cxn ang="0">
                              <a:pos x="228" y="137"/>
                            </a:cxn>
                            <a:cxn ang="0">
                              <a:pos x="232" y="133"/>
                            </a:cxn>
                            <a:cxn ang="0">
                              <a:pos x="236" y="129"/>
                            </a:cxn>
                            <a:cxn ang="0">
                              <a:pos x="238" y="127"/>
                            </a:cxn>
                            <a:cxn ang="0">
                              <a:pos x="240" y="126"/>
                            </a:cxn>
                            <a:cxn ang="0">
                              <a:pos x="242" y="127"/>
                            </a:cxn>
                            <a:cxn ang="0">
                              <a:pos x="244" y="128"/>
                            </a:cxn>
                            <a:cxn ang="0">
                              <a:pos x="245" y="130"/>
                            </a:cxn>
                          </a:cxnLst>
                          <a:rect l="0" t="0" r="r" b="b"/>
                          <a:pathLst>
                            <a:path w="246" h="149">
                              <a:moveTo>
                                <a:pt x="0" y="149"/>
                              </a:moveTo>
                              <a:lnTo>
                                <a:pt x="1" y="149"/>
                              </a:lnTo>
                              <a:lnTo>
                                <a:pt x="2" y="149"/>
                              </a:lnTo>
                              <a:lnTo>
                                <a:pt x="4" y="149"/>
                              </a:lnTo>
                              <a:lnTo>
                                <a:pt x="6" y="149"/>
                              </a:lnTo>
                              <a:lnTo>
                                <a:pt x="7" y="149"/>
                              </a:lnTo>
                              <a:lnTo>
                                <a:pt x="9" y="149"/>
                              </a:lnTo>
                              <a:lnTo>
                                <a:pt x="11" y="149"/>
                              </a:lnTo>
                              <a:lnTo>
                                <a:pt x="12" y="149"/>
                              </a:lnTo>
                              <a:lnTo>
                                <a:pt x="14" y="149"/>
                              </a:lnTo>
                              <a:lnTo>
                                <a:pt x="16" y="149"/>
                              </a:lnTo>
                              <a:lnTo>
                                <a:pt x="20" y="149"/>
                              </a:lnTo>
                              <a:lnTo>
                                <a:pt x="26" y="149"/>
                              </a:lnTo>
                              <a:lnTo>
                                <a:pt x="30" y="149"/>
                              </a:lnTo>
                              <a:lnTo>
                                <a:pt x="36" y="149"/>
                              </a:lnTo>
                              <a:lnTo>
                                <a:pt x="42" y="149"/>
                              </a:lnTo>
                              <a:lnTo>
                                <a:pt x="46" y="149"/>
                              </a:lnTo>
                              <a:lnTo>
                                <a:pt x="51" y="149"/>
                              </a:lnTo>
                              <a:lnTo>
                                <a:pt x="56" y="149"/>
                              </a:lnTo>
                              <a:lnTo>
                                <a:pt x="63" y="149"/>
                              </a:lnTo>
                              <a:lnTo>
                                <a:pt x="69" y="149"/>
                              </a:lnTo>
                              <a:lnTo>
                                <a:pt x="75" y="149"/>
                              </a:lnTo>
                              <a:lnTo>
                                <a:pt x="80" y="149"/>
                              </a:lnTo>
                              <a:lnTo>
                                <a:pt x="85" y="149"/>
                              </a:lnTo>
                              <a:lnTo>
                                <a:pt x="89" y="149"/>
                              </a:lnTo>
                              <a:lnTo>
                                <a:pt x="92" y="149"/>
                              </a:lnTo>
                              <a:lnTo>
                                <a:pt x="96" y="149"/>
                              </a:lnTo>
                              <a:lnTo>
                                <a:pt x="100" y="149"/>
                              </a:lnTo>
                              <a:lnTo>
                                <a:pt x="103" y="149"/>
                              </a:lnTo>
                              <a:lnTo>
                                <a:pt x="106" y="149"/>
                              </a:lnTo>
                              <a:lnTo>
                                <a:pt x="108" y="149"/>
                              </a:lnTo>
                              <a:lnTo>
                                <a:pt x="109" y="149"/>
                              </a:lnTo>
                              <a:lnTo>
                                <a:pt x="111" y="149"/>
                              </a:lnTo>
                              <a:lnTo>
                                <a:pt x="112" y="149"/>
                              </a:lnTo>
                              <a:lnTo>
                                <a:pt x="114" y="149"/>
                              </a:lnTo>
                              <a:lnTo>
                                <a:pt x="115" y="149"/>
                              </a:lnTo>
                              <a:lnTo>
                                <a:pt x="116" y="149"/>
                              </a:lnTo>
                              <a:lnTo>
                                <a:pt x="118" y="149"/>
                              </a:lnTo>
                              <a:lnTo>
                                <a:pt x="120" y="149"/>
                              </a:lnTo>
                              <a:lnTo>
                                <a:pt x="122" y="149"/>
                              </a:lnTo>
                              <a:lnTo>
                                <a:pt x="124" y="149"/>
                              </a:lnTo>
                              <a:lnTo>
                                <a:pt x="126" y="149"/>
                              </a:lnTo>
                              <a:lnTo>
                                <a:pt x="128" y="149"/>
                              </a:lnTo>
                              <a:lnTo>
                                <a:pt x="130" y="149"/>
                              </a:lnTo>
                              <a:lnTo>
                                <a:pt x="131" y="149"/>
                              </a:lnTo>
                              <a:lnTo>
                                <a:pt x="132" y="149"/>
                              </a:lnTo>
                              <a:lnTo>
                                <a:pt x="133" y="149"/>
                              </a:lnTo>
                              <a:lnTo>
                                <a:pt x="133" y="149"/>
                              </a:lnTo>
                              <a:lnTo>
                                <a:pt x="134" y="149"/>
                              </a:lnTo>
                              <a:lnTo>
                                <a:pt x="135" y="149"/>
                              </a:lnTo>
                              <a:lnTo>
                                <a:pt x="135" y="149"/>
                              </a:lnTo>
                              <a:lnTo>
                                <a:pt x="136" y="149"/>
                              </a:lnTo>
                              <a:lnTo>
                                <a:pt x="137" y="149"/>
                              </a:lnTo>
                              <a:lnTo>
                                <a:pt x="137" y="149"/>
                              </a:lnTo>
                              <a:lnTo>
                                <a:pt x="138" y="149"/>
                              </a:lnTo>
                              <a:lnTo>
                                <a:pt x="138" y="149"/>
                              </a:lnTo>
                              <a:lnTo>
                                <a:pt x="138" y="149"/>
                              </a:lnTo>
                              <a:lnTo>
                                <a:pt x="139" y="149"/>
                              </a:lnTo>
                              <a:lnTo>
                                <a:pt x="139" y="149"/>
                              </a:lnTo>
                              <a:lnTo>
                                <a:pt x="139" y="149"/>
                              </a:lnTo>
                              <a:lnTo>
                                <a:pt x="140" y="149"/>
                              </a:lnTo>
                              <a:lnTo>
                                <a:pt x="140" y="149"/>
                              </a:lnTo>
                              <a:lnTo>
                                <a:pt x="140" y="149"/>
                              </a:lnTo>
                              <a:lnTo>
                                <a:pt x="140" y="149"/>
                              </a:lnTo>
                              <a:lnTo>
                                <a:pt x="140" y="149"/>
                              </a:lnTo>
                              <a:lnTo>
                                <a:pt x="140" y="149"/>
                              </a:lnTo>
                              <a:lnTo>
                                <a:pt x="141" y="149"/>
                              </a:lnTo>
                              <a:lnTo>
                                <a:pt x="141" y="149"/>
                              </a:lnTo>
                              <a:lnTo>
                                <a:pt x="141" y="149"/>
                              </a:lnTo>
                              <a:lnTo>
                                <a:pt x="141" y="149"/>
                              </a:lnTo>
                              <a:lnTo>
                                <a:pt x="141" y="149"/>
                              </a:lnTo>
                              <a:lnTo>
                                <a:pt x="141" y="149"/>
                              </a:lnTo>
                              <a:lnTo>
                                <a:pt x="141" y="149"/>
                              </a:lnTo>
                              <a:lnTo>
                                <a:pt x="142" y="149"/>
                              </a:lnTo>
                              <a:lnTo>
                                <a:pt x="142" y="149"/>
                              </a:lnTo>
                              <a:lnTo>
                                <a:pt x="142" y="149"/>
                              </a:lnTo>
                              <a:lnTo>
                                <a:pt x="142" y="149"/>
                              </a:lnTo>
                              <a:lnTo>
                                <a:pt x="142" y="149"/>
                              </a:lnTo>
                              <a:lnTo>
                                <a:pt x="142" y="149"/>
                              </a:lnTo>
                              <a:lnTo>
                                <a:pt x="143" y="149"/>
                              </a:lnTo>
                              <a:lnTo>
                                <a:pt x="143" y="149"/>
                              </a:lnTo>
                              <a:lnTo>
                                <a:pt x="143" y="149"/>
                              </a:lnTo>
                              <a:lnTo>
                                <a:pt x="143" y="149"/>
                              </a:lnTo>
                              <a:lnTo>
                                <a:pt x="143" y="149"/>
                              </a:lnTo>
                              <a:lnTo>
                                <a:pt x="143" y="149"/>
                              </a:lnTo>
                              <a:lnTo>
                                <a:pt x="144" y="149"/>
                              </a:lnTo>
                              <a:lnTo>
                                <a:pt x="144" y="148"/>
                              </a:lnTo>
                              <a:lnTo>
                                <a:pt x="144" y="148"/>
                              </a:lnTo>
                              <a:lnTo>
                                <a:pt x="144" y="148"/>
                              </a:lnTo>
                              <a:lnTo>
                                <a:pt x="145" y="148"/>
                              </a:lnTo>
                              <a:lnTo>
                                <a:pt x="145" y="148"/>
                              </a:lnTo>
                              <a:lnTo>
                                <a:pt x="145" y="148"/>
                              </a:lnTo>
                              <a:lnTo>
                                <a:pt x="145" y="148"/>
                              </a:lnTo>
                              <a:lnTo>
                                <a:pt x="146" y="148"/>
                              </a:lnTo>
                              <a:lnTo>
                                <a:pt x="146" y="148"/>
                              </a:lnTo>
                              <a:lnTo>
                                <a:pt x="146" y="148"/>
                              </a:lnTo>
                              <a:lnTo>
                                <a:pt x="146" y="148"/>
                              </a:lnTo>
                              <a:lnTo>
                                <a:pt x="147" y="148"/>
                              </a:lnTo>
                              <a:lnTo>
                                <a:pt x="147" y="147"/>
                              </a:lnTo>
                              <a:lnTo>
                                <a:pt x="147" y="147"/>
                              </a:lnTo>
                              <a:lnTo>
                                <a:pt x="147" y="147"/>
                              </a:lnTo>
                              <a:lnTo>
                                <a:pt x="148" y="147"/>
                              </a:lnTo>
                              <a:lnTo>
                                <a:pt x="148" y="147"/>
                              </a:lnTo>
                              <a:lnTo>
                                <a:pt x="148" y="147"/>
                              </a:lnTo>
                              <a:lnTo>
                                <a:pt x="148" y="147"/>
                              </a:lnTo>
                              <a:lnTo>
                                <a:pt x="148" y="147"/>
                              </a:lnTo>
                              <a:lnTo>
                                <a:pt x="149" y="147"/>
                              </a:lnTo>
                              <a:lnTo>
                                <a:pt x="149" y="146"/>
                              </a:lnTo>
                              <a:lnTo>
                                <a:pt x="149" y="146"/>
                              </a:lnTo>
                              <a:lnTo>
                                <a:pt x="149" y="146"/>
                              </a:lnTo>
                              <a:lnTo>
                                <a:pt x="150" y="146"/>
                              </a:lnTo>
                              <a:lnTo>
                                <a:pt x="150" y="146"/>
                              </a:lnTo>
                              <a:lnTo>
                                <a:pt x="150" y="146"/>
                              </a:lnTo>
                              <a:lnTo>
                                <a:pt x="150" y="146"/>
                              </a:lnTo>
                              <a:lnTo>
                                <a:pt x="150" y="146"/>
                              </a:lnTo>
                              <a:lnTo>
                                <a:pt x="150" y="146"/>
                              </a:lnTo>
                              <a:lnTo>
                                <a:pt x="151" y="145"/>
                              </a:lnTo>
                              <a:lnTo>
                                <a:pt x="151" y="145"/>
                              </a:lnTo>
                              <a:lnTo>
                                <a:pt x="151" y="145"/>
                              </a:lnTo>
                              <a:lnTo>
                                <a:pt x="151" y="145"/>
                              </a:lnTo>
                              <a:lnTo>
                                <a:pt x="152" y="145"/>
                              </a:lnTo>
                              <a:lnTo>
                                <a:pt x="152" y="144"/>
                              </a:lnTo>
                              <a:lnTo>
                                <a:pt x="152" y="144"/>
                              </a:lnTo>
                              <a:lnTo>
                                <a:pt x="152" y="144"/>
                              </a:lnTo>
                              <a:lnTo>
                                <a:pt x="152" y="144"/>
                              </a:lnTo>
                              <a:lnTo>
                                <a:pt x="153" y="144"/>
                              </a:lnTo>
                              <a:lnTo>
                                <a:pt x="153" y="143"/>
                              </a:lnTo>
                              <a:lnTo>
                                <a:pt x="153" y="143"/>
                              </a:lnTo>
                              <a:lnTo>
                                <a:pt x="153" y="143"/>
                              </a:lnTo>
                              <a:lnTo>
                                <a:pt x="153" y="143"/>
                              </a:lnTo>
                              <a:lnTo>
                                <a:pt x="153" y="143"/>
                              </a:lnTo>
                              <a:lnTo>
                                <a:pt x="154" y="143"/>
                              </a:lnTo>
                              <a:lnTo>
                                <a:pt x="154" y="142"/>
                              </a:lnTo>
                              <a:lnTo>
                                <a:pt x="154" y="142"/>
                              </a:lnTo>
                              <a:lnTo>
                                <a:pt x="154" y="142"/>
                              </a:lnTo>
                              <a:lnTo>
                                <a:pt x="154" y="141"/>
                              </a:lnTo>
                              <a:lnTo>
                                <a:pt x="155" y="141"/>
                              </a:lnTo>
                              <a:lnTo>
                                <a:pt x="155" y="141"/>
                              </a:lnTo>
                              <a:lnTo>
                                <a:pt x="155" y="141"/>
                              </a:lnTo>
                              <a:lnTo>
                                <a:pt x="155" y="140"/>
                              </a:lnTo>
                              <a:lnTo>
                                <a:pt x="156" y="140"/>
                              </a:lnTo>
                              <a:lnTo>
                                <a:pt x="156" y="140"/>
                              </a:lnTo>
                              <a:lnTo>
                                <a:pt x="156" y="139"/>
                              </a:lnTo>
                              <a:lnTo>
                                <a:pt x="156" y="139"/>
                              </a:lnTo>
                              <a:lnTo>
                                <a:pt x="156" y="138"/>
                              </a:lnTo>
                              <a:lnTo>
                                <a:pt x="157" y="138"/>
                              </a:lnTo>
                              <a:lnTo>
                                <a:pt x="157" y="137"/>
                              </a:lnTo>
                              <a:lnTo>
                                <a:pt x="157" y="137"/>
                              </a:lnTo>
                              <a:lnTo>
                                <a:pt x="158" y="137"/>
                              </a:lnTo>
                              <a:lnTo>
                                <a:pt x="158" y="136"/>
                              </a:lnTo>
                              <a:lnTo>
                                <a:pt x="159" y="135"/>
                              </a:lnTo>
                              <a:lnTo>
                                <a:pt x="159" y="134"/>
                              </a:lnTo>
                              <a:lnTo>
                                <a:pt x="160" y="132"/>
                              </a:lnTo>
                              <a:lnTo>
                                <a:pt x="161" y="131"/>
                              </a:lnTo>
                              <a:lnTo>
                                <a:pt x="161" y="131"/>
                              </a:lnTo>
                              <a:lnTo>
                                <a:pt x="161" y="130"/>
                              </a:lnTo>
                              <a:lnTo>
                                <a:pt x="162" y="129"/>
                              </a:lnTo>
                              <a:lnTo>
                                <a:pt x="162" y="129"/>
                              </a:lnTo>
                              <a:lnTo>
                                <a:pt x="162" y="128"/>
                              </a:lnTo>
                              <a:lnTo>
                                <a:pt x="163" y="128"/>
                              </a:lnTo>
                              <a:lnTo>
                                <a:pt x="163" y="127"/>
                              </a:lnTo>
                              <a:lnTo>
                                <a:pt x="163" y="127"/>
                              </a:lnTo>
                              <a:lnTo>
                                <a:pt x="164" y="126"/>
                              </a:lnTo>
                              <a:lnTo>
                                <a:pt x="164" y="126"/>
                              </a:lnTo>
                              <a:lnTo>
                                <a:pt x="164" y="126"/>
                              </a:lnTo>
                              <a:lnTo>
                                <a:pt x="165" y="125"/>
                              </a:lnTo>
                              <a:lnTo>
                                <a:pt x="165" y="125"/>
                              </a:lnTo>
                              <a:lnTo>
                                <a:pt x="165" y="125"/>
                              </a:lnTo>
                              <a:lnTo>
                                <a:pt x="165" y="125"/>
                              </a:lnTo>
                              <a:lnTo>
                                <a:pt x="166" y="124"/>
                              </a:lnTo>
                              <a:lnTo>
                                <a:pt x="166" y="124"/>
                              </a:lnTo>
                              <a:lnTo>
                                <a:pt x="166" y="124"/>
                              </a:lnTo>
                              <a:lnTo>
                                <a:pt x="166" y="123"/>
                              </a:lnTo>
                              <a:lnTo>
                                <a:pt x="167" y="123"/>
                              </a:lnTo>
                              <a:lnTo>
                                <a:pt x="167" y="123"/>
                              </a:lnTo>
                              <a:lnTo>
                                <a:pt x="168" y="123"/>
                              </a:lnTo>
                              <a:lnTo>
                                <a:pt x="168" y="123"/>
                              </a:lnTo>
                              <a:lnTo>
                                <a:pt x="168" y="122"/>
                              </a:lnTo>
                              <a:lnTo>
                                <a:pt x="169" y="122"/>
                              </a:lnTo>
                              <a:lnTo>
                                <a:pt x="169" y="122"/>
                              </a:lnTo>
                              <a:lnTo>
                                <a:pt x="169" y="122"/>
                              </a:lnTo>
                              <a:lnTo>
                                <a:pt x="170" y="122"/>
                              </a:lnTo>
                              <a:lnTo>
                                <a:pt x="170" y="121"/>
                              </a:lnTo>
                              <a:lnTo>
                                <a:pt x="170" y="121"/>
                              </a:lnTo>
                              <a:lnTo>
                                <a:pt x="171" y="121"/>
                              </a:lnTo>
                              <a:lnTo>
                                <a:pt x="171" y="121"/>
                              </a:lnTo>
                              <a:lnTo>
                                <a:pt x="171" y="121"/>
                              </a:lnTo>
                              <a:lnTo>
                                <a:pt x="171" y="120"/>
                              </a:lnTo>
                              <a:lnTo>
                                <a:pt x="172" y="120"/>
                              </a:lnTo>
                              <a:lnTo>
                                <a:pt x="172" y="120"/>
                              </a:lnTo>
                              <a:lnTo>
                                <a:pt x="172" y="120"/>
                              </a:lnTo>
                              <a:lnTo>
                                <a:pt x="172" y="119"/>
                              </a:lnTo>
                              <a:lnTo>
                                <a:pt x="172" y="119"/>
                              </a:lnTo>
                              <a:lnTo>
                                <a:pt x="172" y="119"/>
                              </a:lnTo>
                              <a:lnTo>
                                <a:pt x="173" y="118"/>
                              </a:lnTo>
                              <a:lnTo>
                                <a:pt x="173" y="118"/>
                              </a:lnTo>
                              <a:lnTo>
                                <a:pt x="173" y="118"/>
                              </a:lnTo>
                              <a:lnTo>
                                <a:pt x="173" y="117"/>
                              </a:lnTo>
                              <a:lnTo>
                                <a:pt x="173" y="117"/>
                              </a:lnTo>
                              <a:lnTo>
                                <a:pt x="174" y="116"/>
                              </a:lnTo>
                              <a:lnTo>
                                <a:pt x="174" y="116"/>
                              </a:lnTo>
                              <a:lnTo>
                                <a:pt x="174" y="116"/>
                              </a:lnTo>
                              <a:lnTo>
                                <a:pt x="174" y="115"/>
                              </a:lnTo>
                              <a:lnTo>
                                <a:pt x="174" y="115"/>
                              </a:lnTo>
                              <a:lnTo>
                                <a:pt x="174" y="114"/>
                              </a:lnTo>
                              <a:lnTo>
                                <a:pt x="174" y="114"/>
                              </a:lnTo>
                              <a:lnTo>
                                <a:pt x="174" y="114"/>
                              </a:lnTo>
                              <a:lnTo>
                                <a:pt x="174" y="113"/>
                              </a:lnTo>
                              <a:lnTo>
                                <a:pt x="174" y="113"/>
                              </a:lnTo>
                              <a:lnTo>
                                <a:pt x="175" y="113"/>
                              </a:lnTo>
                              <a:lnTo>
                                <a:pt x="175" y="113"/>
                              </a:lnTo>
                              <a:lnTo>
                                <a:pt x="175" y="112"/>
                              </a:lnTo>
                              <a:lnTo>
                                <a:pt x="175" y="112"/>
                              </a:lnTo>
                              <a:lnTo>
                                <a:pt x="175" y="112"/>
                              </a:lnTo>
                              <a:lnTo>
                                <a:pt x="175" y="112"/>
                              </a:lnTo>
                              <a:lnTo>
                                <a:pt x="175" y="111"/>
                              </a:lnTo>
                              <a:lnTo>
                                <a:pt x="175" y="111"/>
                              </a:lnTo>
                              <a:lnTo>
                                <a:pt x="175" y="111"/>
                              </a:lnTo>
                              <a:lnTo>
                                <a:pt x="175" y="110"/>
                              </a:lnTo>
                              <a:lnTo>
                                <a:pt x="175" y="110"/>
                              </a:lnTo>
                              <a:lnTo>
                                <a:pt x="175" y="110"/>
                              </a:lnTo>
                              <a:lnTo>
                                <a:pt x="175" y="109"/>
                              </a:lnTo>
                              <a:lnTo>
                                <a:pt x="175" y="109"/>
                              </a:lnTo>
                              <a:lnTo>
                                <a:pt x="176" y="108"/>
                              </a:lnTo>
                              <a:lnTo>
                                <a:pt x="176" y="107"/>
                              </a:lnTo>
                              <a:lnTo>
                                <a:pt x="176" y="106"/>
                              </a:lnTo>
                              <a:lnTo>
                                <a:pt x="176" y="106"/>
                              </a:lnTo>
                              <a:lnTo>
                                <a:pt x="176" y="105"/>
                              </a:lnTo>
                              <a:lnTo>
                                <a:pt x="176" y="104"/>
                              </a:lnTo>
                              <a:lnTo>
                                <a:pt x="176" y="103"/>
                              </a:lnTo>
                              <a:lnTo>
                                <a:pt x="177" y="102"/>
                              </a:lnTo>
                              <a:lnTo>
                                <a:pt x="177" y="101"/>
                              </a:lnTo>
                              <a:lnTo>
                                <a:pt x="177" y="100"/>
                              </a:lnTo>
                              <a:lnTo>
                                <a:pt x="177" y="99"/>
                              </a:lnTo>
                              <a:lnTo>
                                <a:pt x="177" y="98"/>
                              </a:lnTo>
                              <a:lnTo>
                                <a:pt x="177" y="97"/>
                              </a:lnTo>
                              <a:lnTo>
                                <a:pt x="177" y="96"/>
                              </a:lnTo>
                              <a:lnTo>
                                <a:pt x="177" y="95"/>
                              </a:lnTo>
                              <a:lnTo>
                                <a:pt x="178" y="93"/>
                              </a:lnTo>
                              <a:lnTo>
                                <a:pt x="178" y="91"/>
                              </a:lnTo>
                              <a:lnTo>
                                <a:pt x="178" y="90"/>
                              </a:lnTo>
                              <a:lnTo>
                                <a:pt x="178" y="88"/>
                              </a:lnTo>
                              <a:lnTo>
                                <a:pt x="179" y="86"/>
                              </a:lnTo>
                              <a:lnTo>
                                <a:pt x="179" y="84"/>
                              </a:lnTo>
                              <a:lnTo>
                                <a:pt x="179" y="82"/>
                              </a:lnTo>
                              <a:lnTo>
                                <a:pt x="179" y="79"/>
                              </a:lnTo>
                              <a:lnTo>
                                <a:pt x="179" y="77"/>
                              </a:lnTo>
                              <a:lnTo>
                                <a:pt x="180" y="74"/>
                              </a:lnTo>
                              <a:lnTo>
                                <a:pt x="180" y="71"/>
                              </a:lnTo>
                              <a:lnTo>
                                <a:pt x="180" y="68"/>
                              </a:lnTo>
                              <a:lnTo>
                                <a:pt x="180" y="65"/>
                              </a:lnTo>
                              <a:lnTo>
                                <a:pt x="181" y="60"/>
                              </a:lnTo>
                              <a:lnTo>
                                <a:pt x="181" y="55"/>
                              </a:lnTo>
                              <a:lnTo>
                                <a:pt x="182" y="49"/>
                              </a:lnTo>
                              <a:lnTo>
                                <a:pt x="182" y="45"/>
                              </a:lnTo>
                              <a:lnTo>
                                <a:pt x="183" y="41"/>
                              </a:lnTo>
                              <a:lnTo>
                                <a:pt x="183" y="38"/>
                              </a:lnTo>
                              <a:lnTo>
                                <a:pt x="183" y="34"/>
                              </a:lnTo>
                              <a:lnTo>
                                <a:pt x="183" y="30"/>
                              </a:lnTo>
                              <a:lnTo>
                                <a:pt x="184" y="27"/>
                              </a:lnTo>
                              <a:lnTo>
                                <a:pt x="184" y="24"/>
                              </a:lnTo>
                              <a:lnTo>
                                <a:pt x="184" y="22"/>
                              </a:lnTo>
                              <a:lnTo>
                                <a:pt x="185" y="19"/>
                              </a:lnTo>
                              <a:lnTo>
                                <a:pt x="185" y="17"/>
                              </a:lnTo>
                              <a:lnTo>
                                <a:pt x="185" y="15"/>
                              </a:lnTo>
                              <a:lnTo>
                                <a:pt x="185" y="13"/>
                              </a:lnTo>
                              <a:lnTo>
                                <a:pt x="186" y="12"/>
                              </a:lnTo>
                              <a:lnTo>
                                <a:pt x="186" y="10"/>
                              </a:lnTo>
                              <a:lnTo>
                                <a:pt x="186" y="9"/>
                              </a:lnTo>
                              <a:lnTo>
                                <a:pt x="186" y="7"/>
                              </a:lnTo>
                              <a:lnTo>
                                <a:pt x="186" y="6"/>
                              </a:lnTo>
                              <a:lnTo>
                                <a:pt x="187" y="5"/>
                              </a:lnTo>
                              <a:lnTo>
                                <a:pt x="187" y="4"/>
                              </a:lnTo>
                              <a:lnTo>
                                <a:pt x="187" y="3"/>
                              </a:lnTo>
                              <a:lnTo>
                                <a:pt x="187" y="2"/>
                              </a:lnTo>
                              <a:lnTo>
                                <a:pt x="187" y="2"/>
                              </a:lnTo>
                              <a:lnTo>
                                <a:pt x="188" y="1"/>
                              </a:lnTo>
                              <a:lnTo>
                                <a:pt x="188" y="1"/>
                              </a:lnTo>
                              <a:lnTo>
                                <a:pt x="188" y="0"/>
                              </a:lnTo>
                              <a:lnTo>
                                <a:pt x="188" y="0"/>
                              </a:lnTo>
                              <a:lnTo>
                                <a:pt x="189" y="0"/>
                              </a:lnTo>
                              <a:lnTo>
                                <a:pt x="189" y="0"/>
                              </a:lnTo>
                              <a:lnTo>
                                <a:pt x="189" y="0"/>
                              </a:lnTo>
                              <a:lnTo>
                                <a:pt x="189" y="0"/>
                              </a:lnTo>
                              <a:lnTo>
                                <a:pt x="189" y="1"/>
                              </a:lnTo>
                              <a:lnTo>
                                <a:pt x="190" y="1"/>
                              </a:lnTo>
                              <a:lnTo>
                                <a:pt x="190" y="2"/>
                              </a:lnTo>
                              <a:lnTo>
                                <a:pt x="190" y="2"/>
                              </a:lnTo>
                              <a:lnTo>
                                <a:pt x="190" y="3"/>
                              </a:lnTo>
                              <a:lnTo>
                                <a:pt x="191" y="4"/>
                              </a:lnTo>
                              <a:lnTo>
                                <a:pt x="191" y="5"/>
                              </a:lnTo>
                              <a:lnTo>
                                <a:pt x="191" y="6"/>
                              </a:lnTo>
                              <a:lnTo>
                                <a:pt x="191" y="7"/>
                              </a:lnTo>
                              <a:lnTo>
                                <a:pt x="192" y="9"/>
                              </a:lnTo>
                              <a:lnTo>
                                <a:pt x="192" y="10"/>
                              </a:lnTo>
                              <a:lnTo>
                                <a:pt x="192" y="12"/>
                              </a:lnTo>
                              <a:lnTo>
                                <a:pt x="192" y="14"/>
                              </a:lnTo>
                              <a:lnTo>
                                <a:pt x="193" y="16"/>
                              </a:lnTo>
                              <a:lnTo>
                                <a:pt x="193" y="19"/>
                              </a:lnTo>
                              <a:lnTo>
                                <a:pt x="194" y="21"/>
                              </a:lnTo>
                              <a:lnTo>
                                <a:pt x="194" y="24"/>
                              </a:lnTo>
                              <a:lnTo>
                                <a:pt x="194" y="27"/>
                              </a:lnTo>
                              <a:lnTo>
                                <a:pt x="195" y="31"/>
                              </a:lnTo>
                              <a:lnTo>
                                <a:pt x="195" y="35"/>
                              </a:lnTo>
                              <a:lnTo>
                                <a:pt x="196" y="40"/>
                              </a:lnTo>
                              <a:lnTo>
                                <a:pt x="196" y="45"/>
                              </a:lnTo>
                              <a:lnTo>
                                <a:pt x="197" y="51"/>
                              </a:lnTo>
                              <a:lnTo>
                                <a:pt x="198" y="56"/>
                              </a:lnTo>
                              <a:lnTo>
                                <a:pt x="198" y="60"/>
                              </a:lnTo>
                              <a:lnTo>
                                <a:pt x="198" y="63"/>
                              </a:lnTo>
                              <a:lnTo>
                                <a:pt x="199" y="67"/>
                              </a:lnTo>
                              <a:lnTo>
                                <a:pt x="199" y="69"/>
                              </a:lnTo>
                              <a:lnTo>
                                <a:pt x="200" y="72"/>
                              </a:lnTo>
                              <a:lnTo>
                                <a:pt x="200" y="75"/>
                              </a:lnTo>
                              <a:lnTo>
                                <a:pt x="200" y="78"/>
                              </a:lnTo>
                              <a:lnTo>
                                <a:pt x="201" y="80"/>
                              </a:lnTo>
                              <a:lnTo>
                                <a:pt x="201" y="82"/>
                              </a:lnTo>
                              <a:lnTo>
                                <a:pt x="201" y="85"/>
                              </a:lnTo>
                              <a:lnTo>
                                <a:pt x="202" y="87"/>
                              </a:lnTo>
                              <a:lnTo>
                                <a:pt x="202" y="89"/>
                              </a:lnTo>
                              <a:lnTo>
                                <a:pt x="202" y="91"/>
                              </a:lnTo>
                              <a:lnTo>
                                <a:pt x="203" y="93"/>
                              </a:lnTo>
                              <a:lnTo>
                                <a:pt x="203" y="95"/>
                              </a:lnTo>
                              <a:lnTo>
                                <a:pt x="203" y="96"/>
                              </a:lnTo>
                              <a:lnTo>
                                <a:pt x="204" y="98"/>
                              </a:lnTo>
                              <a:lnTo>
                                <a:pt x="204" y="99"/>
                              </a:lnTo>
                              <a:lnTo>
                                <a:pt x="204" y="100"/>
                              </a:lnTo>
                              <a:lnTo>
                                <a:pt x="204" y="101"/>
                              </a:lnTo>
                              <a:lnTo>
                                <a:pt x="204" y="103"/>
                              </a:lnTo>
                              <a:lnTo>
                                <a:pt x="205" y="104"/>
                              </a:lnTo>
                              <a:lnTo>
                                <a:pt x="205" y="105"/>
                              </a:lnTo>
                              <a:lnTo>
                                <a:pt x="205" y="106"/>
                              </a:lnTo>
                              <a:lnTo>
                                <a:pt x="205" y="107"/>
                              </a:lnTo>
                              <a:lnTo>
                                <a:pt x="206" y="108"/>
                              </a:lnTo>
                              <a:lnTo>
                                <a:pt x="206" y="109"/>
                              </a:lnTo>
                              <a:lnTo>
                                <a:pt x="206" y="110"/>
                              </a:lnTo>
                              <a:lnTo>
                                <a:pt x="206" y="111"/>
                              </a:lnTo>
                              <a:lnTo>
                                <a:pt x="207" y="112"/>
                              </a:lnTo>
                              <a:lnTo>
                                <a:pt x="207" y="113"/>
                              </a:lnTo>
                              <a:lnTo>
                                <a:pt x="207" y="114"/>
                              </a:lnTo>
                              <a:lnTo>
                                <a:pt x="207" y="115"/>
                              </a:lnTo>
                              <a:lnTo>
                                <a:pt x="208" y="116"/>
                              </a:lnTo>
                              <a:lnTo>
                                <a:pt x="208" y="117"/>
                              </a:lnTo>
                              <a:lnTo>
                                <a:pt x="208" y="118"/>
                              </a:lnTo>
                              <a:lnTo>
                                <a:pt x="208" y="119"/>
                              </a:lnTo>
                              <a:lnTo>
                                <a:pt x="209" y="120"/>
                              </a:lnTo>
                              <a:lnTo>
                                <a:pt x="209" y="121"/>
                              </a:lnTo>
                              <a:lnTo>
                                <a:pt x="209" y="122"/>
                              </a:lnTo>
                              <a:lnTo>
                                <a:pt x="210" y="124"/>
                              </a:lnTo>
                              <a:lnTo>
                                <a:pt x="210" y="125"/>
                              </a:lnTo>
                              <a:lnTo>
                                <a:pt x="210" y="125"/>
                              </a:lnTo>
                              <a:lnTo>
                                <a:pt x="211" y="126"/>
                              </a:lnTo>
                              <a:lnTo>
                                <a:pt x="211" y="126"/>
                              </a:lnTo>
                              <a:lnTo>
                                <a:pt x="211" y="126"/>
                              </a:lnTo>
                              <a:lnTo>
                                <a:pt x="211" y="127"/>
                              </a:lnTo>
                              <a:lnTo>
                                <a:pt x="211" y="127"/>
                              </a:lnTo>
                              <a:lnTo>
                                <a:pt x="211" y="127"/>
                              </a:lnTo>
                              <a:lnTo>
                                <a:pt x="211" y="127"/>
                              </a:lnTo>
                              <a:lnTo>
                                <a:pt x="211" y="127"/>
                              </a:lnTo>
                              <a:lnTo>
                                <a:pt x="211" y="128"/>
                              </a:lnTo>
                              <a:lnTo>
                                <a:pt x="211" y="128"/>
                              </a:lnTo>
                              <a:lnTo>
                                <a:pt x="212" y="128"/>
                              </a:lnTo>
                              <a:lnTo>
                                <a:pt x="212" y="128"/>
                              </a:lnTo>
                              <a:lnTo>
                                <a:pt x="212" y="129"/>
                              </a:lnTo>
                              <a:lnTo>
                                <a:pt x="212" y="129"/>
                              </a:lnTo>
                              <a:lnTo>
                                <a:pt x="212" y="130"/>
                              </a:lnTo>
                              <a:lnTo>
                                <a:pt x="213" y="130"/>
                              </a:lnTo>
                              <a:lnTo>
                                <a:pt x="213" y="131"/>
                              </a:lnTo>
                              <a:lnTo>
                                <a:pt x="213" y="131"/>
                              </a:lnTo>
                              <a:lnTo>
                                <a:pt x="213" y="131"/>
                              </a:lnTo>
                              <a:lnTo>
                                <a:pt x="213" y="132"/>
                              </a:lnTo>
                              <a:lnTo>
                                <a:pt x="213" y="132"/>
                              </a:lnTo>
                              <a:lnTo>
                                <a:pt x="214" y="133"/>
                              </a:lnTo>
                              <a:lnTo>
                                <a:pt x="214" y="133"/>
                              </a:lnTo>
                              <a:lnTo>
                                <a:pt x="214" y="133"/>
                              </a:lnTo>
                              <a:lnTo>
                                <a:pt x="214" y="134"/>
                              </a:lnTo>
                              <a:lnTo>
                                <a:pt x="215" y="134"/>
                              </a:lnTo>
                              <a:lnTo>
                                <a:pt x="215" y="134"/>
                              </a:lnTo>
                              <a:lnTo>
                                <a:pt x="215" y="135"/>
                              </a:lnTo>
                              <a:lnTo>
                                <a:pt x="215" y="135"/>
                              </a:lnTo>
                              <a:lnTo>
                                <a:pt x="216" y="135"/>
                              </a:lnTo>
                              <a:lnTo>
                                <a:pt x="216" y="136"/>
                              </a:lnTo>
                              <a:lnTo>
                                <a:pt x="216" y="136"/>
                              </a:lnTo>
                              <a:lnTo>
                                <a:pt x="216" y="136"/>
                              </a:lnTo>
                              <a:lnTo>
                                <a:pt x="216" y="136"/>
                              </a:lnTo>
                              <a:lnTo>
                                <a:pt x="216" y="137"/>
                              </a:lnTo>
                              <a:lnTo>
                                <a:pt x="217" y="137"/>
                              </a:lnTo>
                              <a:lnTo>
                                <a:pt x="217" y="137"/>
                              </a:lnTo>
                              <a:lnTo>
                                <a:pt x="217" y="137"/>
                              </a:lnTo>
                              <a:lnTo>
                                <a:pt x="217" y="137"/>
                              </a:lnTo>
                              <a:lnTo>
                                <a:pt x="217" y="137"/>
                              </a:lnTo>
                              <a:lnTo>
                                <a:pt x="217" y="138"/>
                              </a:lnTo>
                              <a:lnTo>
                                <a:pt x="218" y="138"/>
                              </a:lnTo>
                              <a:lnTo>
                                <a:pt x="218" y="138"/>
                              </a:lnTo>
                              <a:lnTo>
                                <a:pt x="218" y="138"/>
                              </a:lnTo>
                              <a:lnTo>
                                <a:pt x="218" y="138"/>
                              </a:lnTo>
                              <a:lnTo>
                                <a:pt x="218" y="138"/>
                              </a:lnTo>
                              <a:lnTo>
                                <a:pt x="219" y="138"/>
                              </a:lnTo>
                              <a:lnTo>
                                <a:pt x="219" y="139"/>
                              </a:lnTo>
                              <a:lnTo>
                                <a:pt x="219" y="139"/>
                              </a:lnTo>
                              <a:lnTo>
                                <a:pt x="219" y="139"/>
                              </a:lnTo>
                              <a:lnTo>
                                <a:pt x="219" y="139"/>
                              </a:lnTo>
                              <a:lnTo>
                                <a:pt x="219" y="139"/>
                              </a:lnTo>
                              <a:lnTo>
                                <a:pt x="219" y="139"/>
                              </a:lnTo>
                              <a:lnTo>
                                <a:pt x="220" y="139"/>
                              </a:lnTo>
                              <a:lnTo>
                                <a:pt x="220" y="139"/>
                              </a:lnTo>
                              <a:lnTo>
                                <a:pt x="220" y="139"/>
                              </a:lnTo>
                              <a:lnTo>
                                <a:pt x="220" y="139"/>
                              </a:lnTo>
                              <a:lnTo>
                                <a:pt x="220" y="139"/>
                              </a:lnTo>
                              <a:lnTo>
                                <a:pt x="221" y="139"/>
                              </a:lnTo>
                              <a:lnTo>
                                <a:pt x="221" y="140"/>
                              </a:lnTo>
                              <a:lnTo>
                                <a:pt x="221" y="140"/>
                              </a:lnTo>
                              <a:lnTo>
                                <a:pt x="221" y="140"/>
                              </a:lnTo>
                              <a:lnTo>
                                <a:pt x="221" y="140"/>
                              </a:lnTo>
                              <a:lnTo>
                                <a:pt x="221" y="140"/>
                              </a:lnTo>
                              <a:lnTo>
                                <a:pt x="222" y="140"/>
                              </a:lnTo>
                              <a:lnTo>
                                <a:pt x="222" y="140"/>
                              </a:lnTo>
                              <a:lnTo>
                                <a:pt x="222" y="140"/>
                              </a:lnTo>
                              <a:lnTo>
                                <a:pt x="222" y="140"/>
                              </a:lnTo>
                              <a:lnTo>
                                <a:pt x="222" y="140"/>
                              </a:lnTo>
                              <a:lnTo>
                                <a:pt x="222" y="140"/>
                              </a:lnTo>
                              <a:lnTo>
                                <a:pt x="223" y="140"/>
                              </a:lnTo>
                              <a:lnTo>
                                <a:pt x="223" y="140"/>
                              </a:lnTo>
                              <a:lnTo>
                                <a:pt x="223" y="140"/>
                              </a:lnTo>
                              <a:lnTo>
                                <a:pt x="223" y="140"/>
                              </a:lnTo>
                              <a:lnTo>
                                <a:pt x="223" y="140"/>
                              </a:lnTo>
                              <a:lnTo>
                                <a:pt x="224" y="140"/>
                              </a:lnTo>
                              <a:lnTo>
                                <a:pt x="224" y="139"/>
                              </a:lnTo>
                              <a:lnTo>
                                <a:pt x="224" y="139"/>
                              </a:lnTo>
                              <a:lnTo>
                                <a:pt x="224" y="139"/>
                              </a:lnTo>
                              <a:lnTo>
                                <a:pt x="224" y="139"/>
                              </a:lnTo>
                              <a:lnTo>
                                <a:pt x="225" y="139"/>
                              </a:lnTo>
                              <a:lnTo>
                                <a:pt x="225" y="139"/>
                              </a:lnTo>
                              <a:lnTo>
                                <a:pt x="225" y="139"/>
                              </a:lnTo>
                              <a:lnTo>
                                <a:pt x="225" y="139"/>
                              </a:lnTo>
                              <a:lnTo>
                                <a:pt x="225" y="139"/>
                              </a:lnTo>
                              <a:lnTo>
                                <a:pt x="226" y="139"/>
                              </a:lnTo>
                              <a:lnTo>
                                <a:pt x="226" y="138"/>
                              </a:lnTo>
                              <a:lnTo>
                                <a:pt x="226" y="138"/>
                              </a:lnTo>
                              <a:lnTo>
                                <a:pt x="226" y="138"/>
                              </a:lnTo>
                              <a:lnTo>
                                <a:pt x="227" y="138"/>
                              </a:lnTo>
                              <a:lnTo>
                                <a:pt x="227" y="138"/>
                              </a:lnTo>
                              <a:lnTo>
                                <a:pt x="227" y="138"/>
                              </a:lnTo>
                              <a:lnTo>
                                <a:pt x="227" y="137"/>
                              </a:lnTo>
                              <a:lnTo>
                                <a:pt x="228" y="137"/>
                              </a:lnTo>
                              <a:lnTo>
                                <a:pt x="228" y="137"/>
                              </a:lnTo>
                              <a:lnTo>
                                <a:pt x="228" y="137"/>
                              </a:lnTo>
                              <a:lnTo>
                                <a:pt x="228" y="137"/>
                              </a:lnTo>
                              <a:lnTo>
                                <a:pt x="229" y="136"/>
                              </a:lnTo>
                              <a:lnTo>
                                <a:pt x="229" y="136"/>
                              </a:lnTo>
                              <a:lnTo>
                                <a:pt x="229" y="136"/>
                              </a:lnTo>
                              <a:lnTo>
                                <a:pt x="230" y="135"/>
                              </a:lnTo>
                              <a:lnTo>
                                <a:pt x="230" y="135"/>
                              </a:lnTo>
                              <a:lnTo>
                                <a:pt x="231" y="134"/>
                              </a:lnTo>
                              <a:lnTo>
                                <a:pt x="232" y="133"/>
                              </a:lnTo>
                              <a:lnTo>
                                <a:pt x="232" y="133"/>
                              </a:lnTo>
                              <a:lnTo>
                                <a:pt x="233" y="132"/>
                              </a:lnTo>
                              <a:lnTo>
                                <a:pt x="234" y="131"/>
                              </a:lnTo>
                              <a:lnTo>
                                <a:pt x="234" y="131"/>
                              </a:lnTo>
                              <a:lnTo>
                                <a:pt x="235" y="130"/>
                              </a:lnTo>
                              <a:lnTo>
                                <a:pt x="235" y="130"/>
                              </a:lnTo>
                              <a:lnTo>
                                <a:pt x="236" y="129"/>
                              </a:lnTo>
                              <a:lnTo>
                                <a:pt x="236" y="129"/>
                              </a:lnTo>
                              <a:lnTo>
                                <a:pt x="236" y="129"/>
                              </a:lnTo>
                              <a:lnTo>
                                <a:pt x="236" y="128"/>
                              </a:lnTo>
                              <a:lnTo>
                                <a:pt x="237" y="128"/>
                              </a:lnTo>
                              <a:lnTo>
                                <a:pt x="237" y="128"/>
                              </a:lnTo>
                              <a:lnTo>
                                <a:pt x="237" y="128"/>
                              </a:lnTo>
                              <a:lnTo>
                                <a:pt x="238" y="128"/>
                              </a:lnTo>
                              <a:lnTo>
                                <a:pt x="238" y="127"/>
                              </a:lnTo>
                              <a:lnTo>
                                <a:pt x="238" y="127"/>
                              </a:lnTo>
                              <a:lnTo>
                                <a:pt x="238" y="127"/>
                              </a:lnTo>
                              <a:lnTo>
                                <a:pt x="239" y="127"/>
                              </a:lnTo>
                              <a:lnTo>
                                <a:pt x="239" y="127"/>
                              </a:lnTo>
                              <a:lnTo>
                                <a:pt x="239" y="127"/>
                              </a:lnTo>
                              <a:lnTo>
                                <a:pt x="239" y="127"/>
                              </a:lnTo>
                              <a:lnTo>
                                <a:pt x="240" y="126"/>
                              </a:lnTo>
                              <a:lnTo>
                                <a:pt x="240" y="126"/>
                              </a:lnTo>
                              <a:lnTo>
                                <a:pt x="240" y="126"/>
                              </a:lnTo>
                              <a:lnTo>
                                <a:pt x="240" y="126"/>
                              </a:lnTo>
                              <a:lnTo>
                                <a:pt x="240" y="126"/>
                              </a:lnTo>
                              <a:lnTo>
                                <a:pt x="241" y="126"/>
                              </a:lnTo>
                              <a:lnTo>
                                <a:pt x="241" y="126"/>
                              </a:lnTo>
                              <a:lnTo>
                                <a:pt x="241" y="126"/>
                              </a:lnTo>
                              <a:lnTo>
                                <a:pt x="241" y="126"/>
                              </a:lnTo>
                              <a:lnTo>
                                <a:pt x="241" y="127"/>
                              </a:lnTo>
                              <a:lnTo>
                                <a:pt x="242" y="127"/>
                              </a:lnTo>
                              <a:lnTo>
                                <a:pt x="242" y="127"/>
                              </a:lnTo>
                              <a:lnTo>
                                <a:pt x="242" y="127"/>
                              </a:lnTo>
                              <a:lnTo>
                                <a:pt x="242" y="127"/>
                              </a:lnTo>
                              <a:lnTo>
                                <a:pt x="242" y="127"/>
                              </a:lnTo>
                              <a:lnTo>
                                <a:pt x="243" y="127"/>
                              </a:lnTo>
                              <a:lnTo>
                                <a:pt x="243" y="128"/>
                              </a:lnTo>
                              <a:lnTo>
                                <a:pt x="243" y="128"/>
                              </a:lnTo>
                              <a:lnTo>
                                <a:pt x="243" y="128"/>
                              </a:lnTo>
                              <a:lnTo>
                                <a:pt x="244" y="128"/>
                              </a:lnTo>
                              <a:lnTo>
                                <a:pt x="244" y="128"/>
                              </a:lnTo>
                              <a:lnTo>
                                <a:pt x="244" y="129"/>
                              </a:lnTo>
                              <a:lnTo>
                                <a:pt x="244" y="129"/>
                              </a:lnTo>
                              <a:lnTo>
                                <a:pt x="244" y="129"/>
                              </a:lnTo>
                              <a:lnTo>
                                <a:pt x="245" y="130"/>
                              </a:lnTo>
                              <a:lnTo>
                                <a:pt x="245" y="130"/>
                              </a:lnTo>
                              <a:lnTo>
                                <a:pt x="245" y="130"/>
                              </a:lnTo>
                              <a:lnTo>
                                <a:pt x="245" y="130"/>
                              </a:lnTo>
                              <a:lnTo>
                                <a:pt x="245" y="130"/>
                              </a:lnTo>
                              <a:lnTo>
                                <a:pt x="245" y="131"/>
                              </a:lnTo>
                              <a:lnTo>
                                <a:pt x="245" y="131"/>
                              </a:lnTo>
                              <a:lnTo>
                                <a:pt x="245" y="131"/>
                              </a:lnTo>
                              <a:lnTo>
                                <a:pt x="246" y="131"/>
                              </a:lnTo>
                              <a:lnTo>
                                <a:pt x="246" y="131"/>
                              </a:lnTo>
                              <a:lnTo>
                                <a:pt x="246" y="132"/>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34" name="Freeform 159"/>
                        <a:cNvSpPr>
                          <a:spLocks/>
                        </a:cNvSpPr>
                      </a:nvSpPr>
                      <a:spPr bwMode="auto">
                        <a:xfrm>
                          <a:off x="2083461" y="7372788"/>
                          <a:ext cx="2730802" cy="31989"/>
                        </a:xfrm>
                        <a:custGeom>
                          <a:avLst/>
                          <a:gdLst/>
                          <a:ahLst/>
                          <a:cxnLst>
                            <a:cxn ang="0">
                              <a:pos x="3" y="4"/>
                            </a:cxn>
                            <a:cxn ang="0">
                              <a:pos x="5" y="7"/>
                            </a:cxn>
                            <a:cxn ang="0">
                              <a:pos x="7" y="8"/>
                            </a:cxn>
                            <a:cxn ang="0">
                              <a:pos x="8" y="10"/>
                            </a:cxn>
                            <a:cxn ang="0">
                              <a:pos x="10" y="11"/>
                            </a:cxn>
                            <a:cxn ang="0">
                              <a:pos x="13" y="12"/>
                            </a:cxn>
                            <a:cxn ang="0">
                              <a:pos x="15" y="13"/>
                            </a:cxn>
                            <a:cxn ang="0">
                              <a:pos x="18" y="13"/>
                            </a:cxn>
                            <a:cxn ang="0">
                              <a:pos x="21" y="13"/>
                            </a:cxn>
                            <a:cxn ang="0">
                              <a:pos x="27" y="13"/>
                            </a:cxn>
                            <a:cxn ang="0">
                              <a:pos x="37" y="13"/>
                            </a:cxn>
                            <a:cxn ang="0">
                              <a:pos x="56" y="14"/>
                            </a:cxn>
                            <a:cxn ang="0">
                              <a:pos x="71" y="14"/>
                            </a:cxn>
                            <a:cxn ang="0">
                              <a:pos x="85" y="15"/>
                            </a:cxn>
                            <a:cxn ang="0">
                              <a:pos x="106" y="15"/>
                            </a:cxn>
                            <a:cxn ang="0">
                              <a:pos x="121" y="15"/>
                            </a:cxn>
                            <a:cxn ang="0">
                              <a:pos x="146" y="16"/>
                            </a:cxn>
                            <a:cxn ang="0">
                              <a:pos x="174" y="16"/>
                            </a:cxn>
                            <a:cxn ang="0">
                              <a:pos x="196" y="16"/>
                            </a:cxn>
                            <a:cxn ang="0">
                              <a:pos x="223" y="16"/>
                            </a:cxn>
                            <a:cxn ang="0">
                              <a:pos x="249" y="17"/>
                            </a:cxn>
                            <a:cxn ang="0">
                              <a:pos x="281" y="17"/>
                            </a:cxn>
                            <a:cxn ang="0">
                              <a:pos x="300" y="17"/>
                            </a:cxn>
                            <a:cxn ang="0">
                              <a:pos x="327" y="17"/>
                            </a:cxn>
                            <a:cxn ang="0">
                              <a:pos x="354" y="17"/>
                            </a:cxn>
                            <a:cxn ang="0">
                              <a:pos x="383" y="17"/>
                            </a:cxn>
                            <a:cxn ang="0">
                              <a:pos x="407" y="17"/>
                            </a:cxn>
                            <a:cxn ang="0">
                              <a:pos x="437" y="17"/>
                            </a:cxn>
                            <a:cxn ang="0">
                              <a:pos x="467" y="17"/>
                            </a:cxn>
                            <a:cxn ang="0">
                              <a:pos x="503" y="17"/>
                            </a:cxn>
                            <a:cxn ang="0">
                              <a:pos x="540" y="17"/>
                            </a:cxn>
                            <a:cxn ang="0">
                              <a:pos x="579" y="17"/>
                            </a:cxn>
                            <a:cxn ang="0">
                              <a:pos x="610" y="17"/>
                            </a:cxn>
                            <a:cxn ang="0">
                              <a:pos x="652" y="17"/>
                            </a:cxn>
                            <a:cxn ang="0">
                              <a:pos x="679" y="17"/>
                            </a:cxn>
                            <a:cxn ang="0">
                              <a:pos x="717" y="17"/>
                            </a:cxn>
                            <a:cxn ang="0">
                              <a:pos x="777" y="17"/>
                            </a:cxn>
                            <a:cxn ang="0">
                              <a:pos x="814" y="17"/>
                            </a:cxn>
                            <a:cxn ang="0">
                              <a:pos x="850" y="17"/>
                            </a:cxn>
                            <a:cxn ang="0">
                              <a:pos x="883" y="17"/>
                            </a:cxn>
                            <a:cxn ang="0">
                              <a:pos x="912" y="17"/>
                            </a:cxn>
                            <a:cxn ang="0">
                              <a:pos x="938" y="17"/>
                            </a:cxn>
                            <a:cxn ang="0">
                              <a:pos x="969" y="17"/>
                            </a:cxn>
                            <a:cxn ang="0">
                              <a:pos x="1008" y="17"/>
                            </a:cxn>
                            <a:cxn ang="0">
                              <a:pos x="1057" y="17"/>
                            </a:cxn>
                            <a:cxn ang="0">
                              <a:pos x="1111" y="16"/>
                            </a:cxn>
                            <a:cxn ang="0">
                              <a:pos x="1162" y="16"/>
                            </a:cxn>
                            <a:cxn ang="0">
                              <a:pos x="1217" y="16"/>
                            </a:cxn>
                            <a:cxn ang="0">
                              <a:pos x="1262" y="16"/>
                            </a:cxn>
                            <a:cxn ang="0">
                              <a:pos x="1298" y="16"/>
                            </a:cxn>
                            <a:cxn ang="0">
                              <a:pos x="1348" y="16"/>
                            </a:cxn>
                            <a:cxn ang="0">
                              <a:pos x="1370" y="16"/>
                            </a:cxn>
                            <a:cxn ang="0">
                              <a:pos x="1403" y="16"/>
                            </a:cxn>
                            <a:cxn ang="0">
                              <a:pos x="1442" y="16"/>
                            </a:cxn>
                            <a:cxn ang="0">
                              <a:pos x="1468" y="15"/>
                            </a:cxn>
                            <a:cxn ang="0">
                              <a:pos x="1492" y="15"/>
                            </a:cxn>
                            <a:cxn ang="0">
                              <a:pos x="1512" y="15"/>
                            </a:cxn>
                            <a:cxn ang="0">
                              <a:pos x="1535" y="15"/>
                            </a:cxn>
                            <a:cxn ang="0">
                              <a:pos x="1551" y="14"/>
                            </a:cxn>
                            <a:cxn ang="0">
                              <a:pos x="1573" y="14"/>
                            </a:cxn>
                            <a:cxn ang="0">
                              <a:pos x="1590" y="14"/>
                            </a:cxn>
                            <a:cxn ang="0">
                              <a:pos x="1600" y="14"/>
                            </a:cxn>
                            <a:cxn ang="0">
                              <a:pos x="1606" y="13"/>
                            </a:cxn>
                          </a:cxnLst>
                          <a:rect l="0" t="0" r="r" b="b"/>
                          <a:pathLst>
                            <a:path w="1611" h="17">
                              <a:moveTo>
                                <a:pt x="0" y="0"/>
                              </a:moveTo>
                              <a:lnTo>
                                <a:pt x="1" y="1"/>
                              </a:lnTo>
                              <a:lnTo>
                                <a:pt x="1" y="2"/>
                              </a:lnTo>
                              <a:lnTo>
                                <a:pt x="2" y="3"/>
                              </a:lnTo>
                              <a:lnTo>
                                <a:pt x="2" y="3"/>
                              </a:lnTo>
                              <a:lnTo>
                                <a:pt x="3" y="4"/>
                              </a:lnTo>
                              <a:lnTo>
                                <a:pt x="3" y="4"/>
                              </a:lnTo>
                              <a:lnTo>
                                <a:pt x="3" y="4"/>
                              </a:lnTo>
                              <a:lnTo>
                                <a:pt x="3" y="5"/>
                              </a:lnTo>
                              <a:lnTo>
                                <a:pt x="4" y="5"/>
                              </a:lnTo>
                              <a:lnTo>
                                <a:pt x="4" y="5"/>
                              </a:lnTo>
                              <a:lnTo>
                                <a:pt x="4" y="6"/>
                              </a:lnTo>
                              <a:lnTo>
                                <a:pt x="4" y="6"/>
                              </a:lnTo>
                              <a:lnTo>
                                <a:pt x="4" y="6"/>
                              </a:lnTo>
                              <a:lnTo>
                                <a:pt x="5" y="6"/>
                              </a:lnTo>
                              <a:lnTo>
                                <a:pt x="5" y="7"/>
                              </a:lnTo>
                              <a:lnTo>
                                <a:pt x="5" y="7"/>
                              </a:lnTo>
                              <a:lnTo>
                                <a:pt x="5" y="7"/>
                              </a:lnTo>
                              <a:lnTo>
                                <a:pt x="5" y="7"/>
                              </a:lnTo>
                              <a:lnTo>
                                <a:pt x="6" y="8"/>
                              </a:lnTo>
                              <a:lnTo>
                                <a:pt x="6" y="8"/>
                              </a:lnTo>
                              <a:lnTo>
                                <a:pt x="6" y="8"/>
                              </a:lnTo>
                              <a:lnTo>
                                <a:pt x="6" y="8"/>
                              </a:lnTo>
                              <a:lnTo>
                                <a:pt x="7" y="8"/>
                              </a:lnTo>
                              <a:lnTo>
                                <a:pt x="7" y="9"/>
                              </a:lnTo>
                              <a:lnTo>
                                <a:pt x="7" y="9"/>
                              </a:lnTo>
                              <a:lnTo>
                                <a:pt x="7" y="9"/>
                              </a:lnTo>
                              <a:lnTo>
                                <a:pt x="8" y="9"/>
                              </a:lnTo>
                              <a:lnTo>
                                <a:pt x="8" y="9"/>
                              </a:lnTo>
                              <a:lnTo>
                                <a:pt x="8" y="10"/>
                              </a:lnTo>
                              <a:lnTo>
                                <a:pt x="8" y="10"/>
                              </a:lnTo>
                              <a:lnTo>
                                <a:pt x="8" y="10"/>
                              </a:lnTo>
                              <a:lnTo>
                                <a:pt x="9" y="10"/>
                              </a:lnTo>
                              <a:lnTo>
                                <a:pt x="9" y="10"/>
                              </a:lnTo>
                              <a:lnTo>
                                <a:pt x="9" y="10"/>
                              </a:lnTo>
                              <a:lnTo>
                                <a:pt x="9" y="11"/>
                              </a:lnTo>
                              <a:lnTo>
                                <a:pt x="10" y="11"/>
                              </a:lnTo>
                              <a:lnTo>
                                <a:pt x="10" y="11"/>
                              </a:lnTo>
                              <a:lnTo>
                                <a:pt x="10" y="11"/>
                              </a:lnTo>
                              <a:lnTo>
                                <a:pt x="10" y="11"/>
                              </a:lnTo>
                              <a:lnTo>
                                <a:pt x="11" y="11"/>
                              </a:lnTo>
                              <a:lnTo>
                                <a:pt x="11" y="11"/>
                              </a:lnTo>
                              <a:lnTo>
                                <a:pt x="11" y="11"/>
                              </a:lnTo>
                              <a:lnTo>
                                <a:pt x="11" y="11"/>
                              </a:lnTo>
                              <a:lnTo>
                                <a:pt x="12" y="12"/>
                              </a:lnTo>
                              <a:lnTo>
                                <a:pt x="12" y="12"/>
                              </a:lnTo>
                              <a:lnTo>
                                <a:pt x="12" y="12"/>
                              </a:lnTo>
                              <a:lnTo>
                                <a:pt x="13" y="12"/>
                              </a:lnTo>
                              <a:lnTo>
                                <a:pt x="13" y="12"/>
                              </a:lnTo>
                              <a:lnTo>
                                <a:pt x="13" y="12"/>
                              </a:lnTo>
                              <a:lnTo>
                                <a:pt x="13" y="12"/>
                              </a:lnTo>
                              <a:lnTo>
                                <a:pt x="14" y="12"/>
                              </a:lnTo>
                              <a:lnTo>
                                <a:pt x="14" y="12"/>
                              </a:lnTo>
                              <a:lnTo>
                                <a:pt x="14" y="12"/>
                              </a:lnTo>
                              <a:lnTo>
                                <a:pt x="14" y="13"/>
                              </a:lnTo>
                              <a:lnTo>
                                <a:pt x="15" y="13"/>
                              </a:lnTo>
                              <a:lnTo>
                                <a:pt x="15" y="13"/>
                              </a:lnTo>
                              <a:lnTo>
                                <a:pt x="15" y="13"/>
                              </a:lnTo>
                              <a:lnTo>
                                <a:pt x="16" y="13"/>
                              </a:lnTo>
                              <a:lnTo>
                                <a:pt x="16" y="13"/>
                              </a:lnTo>
                              <a:lnTo>
                                <a:pt x="17" y="13"/>
                              </a:lnTo>
                              <a:lnTo>
                                <a:pt x="17" y="13"/>
                              </a:lnTo>
                              <a:lnTo>
                                <a:pt x="17" y="13"/>
                              </a:lnTo>
                              <a:lnTo>
                                <a:pt x="18" y="13"/>
                              </a:lnTo>
                              <a:lnTo>
                                <a:pt x="18" y="13"/>
                              </a:lnTo>
                              <a:lnTo>
                                <a:pt x="18" y="13"/>
                              </a:lnTo>
                              <a:lnTo>
                                <a:pt x="19" y="13"/>
                              </a:lnTo>
                              <a:lnTo>
                                <a:pt x="19" y="13"/>
                              </a:lnTo>
                              <a:lnTo>
                                <a:pt x="20" y="13"/>
                              </a:lnTo>
                              <a:lnTo>
                                <a:pt x="20" y="13"/>
                              </a:lnTo>
                              <a:lnTo>
                                <a:pt x="21" y="13"/>
                              </a:lnTo>
                              <a:lnTo>
                                <a:pt x="21" y="13"/>
                              </a:lnTo>
                              <a:lnTo>
                                <a:pt x="22" y="13"/>
                              </a:lnTo>
                              <a:lnTo>
                                <a:pt x="22" y="13"/>
                              </a:lnTo>
                              <a:lnTo>
                                <a:pt x="23" y="13"/>
                              </a:lnTo>
                              <a:lnTo>
                                <a:pt x="23" y="13"/>
                              </a:lnTo>
                              <a:lnTo>
                                <a:pt x="24" y="13"/>
                              </a:lnTo>
                              <a:lnTo>
                                <a:pt x="25" y="13"/>
                              </a:lnTo>
                              <a:lnTo>
                                <a:pt x="26" y="13"/>
                              </a:lnTo>
                              <a:lnTo>
                                <a:pt x="27" y="13"/>
                              </a:lnTo>
                              <a:lnTo>
                                <a:pt x="29" y="13"/>
                              </a:lnTo>
                              <a:lnTo>
                                <a:pt x="31" y="13"/>
                              </a:lnTo>
                              <a:lnTo>
                                <a:pt x="32" y="13"/>
                              </a:lnTo>
                              <a:lnTo>
                                <a:pt x="33" y="13"/>
                              </a:lnTo>
                              <a:lnTo>
                                <a:pt x="35" y="13"/>
                              </a:lnTo>
                              <a:lnTo>
                                <a:pt x="35" y="13"/>
                              </a:lnTo>
                              <a:lnTo>
                                <a:pt x="36" y="13"/>
                              </a:lnTo>
                              <a:lnTo>
                                <a:pt x="37" y="13"/>
                              </a:lnTo>
                              <a:lnTo>
                                <a:pt x="38" y="13"/>
                              </a:lnTo>
                              <a:lnTo>
                                <a:pt x="39" y="13"/>
                              </a:lnTo>
                              <a:lnTo>
                                <a:pt x="41" y="14"/>
                              </a:lnTo>
                              <a:lnTo>
                                <a:pt x="45" y="14"/>
                              </a:lnTo>
                              <a:lnTo>
                                <a:pt x="48" y="14"/>
                              </a:lnTo>
                              <a:lnTo>
                                <a:pt x="51" y="14"/>
                              </a:lnTo>
                              <a:lnTo>
                                <a:pt x="53" y="14"/>
                              </a:lnTo>
                              <a:lnTo>
                                <a:pt x="56" y="14"/>
                              </a:lnTo>
                              <a:lnTo>
                                <a:pt x="58" y="14"/>
                              </a:lnTo>
                              <a:lnTo>
                                <a:pt x="60" y="14"/>
                              </a:lnTo>
                              <a:lnTo>
                                <a:pt x="62" y="14"/>
                              </a:lnTo>
                              <a:lnTo>
                                <a:pt x="65" y="14"/>
                              </a:lnTo>
                              <a:lnTo>
                                <a:pt x="68" y="14"/>
                              </a:lnTo>
                              <a:lnTo>
                                <a:pt x="69" y="14"/>
                              </a:lnTo>
                              <a:lnTo>
                                <a:pt x="70" y="14"/>
                              </a:lnTo>
                              <a:lnTo>
                                <a:pt x="71" y="14"/>
                              </a:lnTo>
                              <a:lnTo>
                                <a:pt x="72" y="14"/>
                              </a:lnTo>
                              <a:lnTo>
                                <a:pt x="73" y="14"/>
                              </a:lnTo>
                              <a:lnTo>
                                <a:pt x="74" y="14"/>
                              </a:lnTo>
                              <a:lnTo>
                                <a:pt x="76" y="14"/>
                              </a:lnTo>
                              <a:lnTo>
                                <a:pt x="78" y="15"/>
                              </a:lnTo>
                              <a:lnTo>
                                <a:pt x="80" y="15"/>
                              </a:lnTo>
                              <a:lnTo>
                                <a:pt x="83" y="15"/>
                              </a:lnTo>
                              <a:lnTo>
                                <a:pt x="85" y="15"/>
                              </a:lnTo>
                              <a:lnTo>
                                <a:pt x="88" y="15"/>
                              </a:lnTo>
                              <a:lnTo>
                                <a:pt x="90" y="15"/>
                              </a:lnTo>
                              <a:lnTo>
                                <a:pt x="93" y="15"/>
                              </a:lnTo>
                              <a:lnTo>
                                <a:pt x="96" y="15"/>
                              </a:lnTo>
                              <a:lnTo>
                                <a:pt x="99" y="15"/>
                              </a:lnTo>
                              <a:lnTo>
                                <a:pt x="101" y="15"/>
                              </a:lnTo>
                              <a:lnTo>
                                <a:pt x="104" y="15"/>
                              </a:lnTo>
                              <a:lnTo>
                                <a:pt x="106" y="15"/>
                              </a:lnTo>
                              <a:lnTo>
                                <a:pt x="107" y="15"/>
                              </a:lnTo>
                              <a:lnTo>
                                <a:pt x="107" y="15"/>
                              </a:lnTo>
                              <a:lnTo>
                                <a:pt x="109" y="15"/>
                              </a:lnTo>
                              <a:lnTo>
                                <a:pt x="111" y="15"/>
                              </a:lnTo>
                              <a:lnTo>
                                <a:pt x="114" y="15"/>
                              </a:lnTo>
                              <a:lnTo>
                                <a:pt x="117" y="15"/>
                              </a:lnTo>
                              <a:lnTo>
                                <a:pt x="119" y="15"/>
                              </a:lnTo>
                              <a:lnTo>
                                <a:pt x="121" y="15"/>
                              </a:lnTo>
                              <a:lnTo>
                                <a:pt x="125" y="16"/>
                              </a:lnTo>
                              <a:lnTo>
                                <a:pt x="130" y="16"/>
                              </a:lnTo>
                              <a:lnTo>
                                <a:pt x="134" y="16"/>
                              </a:lnTo>
                              <a:lnTo>
                                <a:pt x="138" y="16"/>
                              </a:lnTo>
                              <a:lnTo>
                                <a:pt x="140" y="16"/>
                              </a:lnTo>
                              <a:lnTo>
                                <a:pt x="142" y="16"/>
                              </a:lnTo>
                              <a:lnTo>
                                <a:pt x="144" y="16"/>
                              </a:lnTo>
                              <a:lnTo>
                                <a:pt x="146" y="16"/>
                              </a:lnTo>
                              <a:lnTo>
                                <a:pt x="149" y="16"/>
                              </a:lnTo>
                              <a:lnTo>
                                <a:pt x="151" y="16"/>
                              </a:lnTo>
                              <a:lnTo>
                                <a:pt x="154" y="16"/>
                              </a:lnTo>
                              <a:lnTo>
                                <a:pt x="157" y="16"/>
                              </a:lnTo>
                              <a:lnTo>
                                <a:pt x="162" y="16"/>
                              </a:lnTo>
                              <a:lnTo>
                                <a:pt x="166" y="16"/>
                              </a:lnTo>
                              <a:lnTo>
                                <a:pt x="170" y="16"/>
                              </a:lnTo>
                              <a:lnTo>
                                <a:pt x="174" y="16"/>
                              </a:lnTo>
                              <a:lnTo>
                                <a:pt x="177" y="16"/>
                              </a:lnTo>
                              <a:lnTo>
                                <a:pt x="179" y="16"/>
                              </a:lnTo>
                              <a:lnTo>
                                <a:pt x="181" y="16"/>
                              </a:lnTo>
                              <a:lnTo>
                                <a:pt x="183" y="16"/>
                              </a:lnTo>
                              <a:lnTo>
                                <a:pt x="185" y="16"/>
                              </a:lnTo>
                              <a:lnTo>
                                <a:pt x="188" y="16"/>
                              </a:lnTo>
                              <a:lnTo>
                                <a:pt x="192" y="16"/>
                              </a:lnTo>
                              <a:lnTo>
                                <a:pt x="196" y="16"/>
                              </a:lnTo>
                              <a:lnTo>
                                <a:pt x="200" y="16"/>
                              </a:lnTo>
                              <a:lnTo>
                                <a:pt x="205" y="16"/>
                              </a:lnTo>
                              <a:lnTo>
                                <a:pt x="209" y="16"/>
                              </a:lnTo>
                              <a:lnTo>
                                <a:pt x="212" y="16"/>
                              </a:lnTo>
                              <a:lnTo>
                                <a:pt x="214" y="16"/>
                              </a:lnTo>
                              <a:lnTo>
                                <a:pt x="216" y="16"/>
                              </a:lnTo>
                              <a:lnTo>
                                <a:pt x="219" y="16"/>
                              </a:lnTo>
                              <a:lnTo>
                                <a:pt x="223" y="16"/>
                              </a:lnTo>
                              <a:lnTo>
                                <a:pt x="226" y="16"/>
                              </a:lnTo>
                              <a:lnTo>
                                <a:pt x="229" y="16"/>
                              </a:lnTo>
                              <a:lnTo>
                                <a:pt x="232" y="16"/>
                              </a:lnTo>
                              <a:lnTo>
                                <a:pt x="236" y="17"/>
                              </a:lnTo>
                              <a:lnTo>
                                <a:pt x="241" y="17"/>
                              </a:lnTo>
                              <a:lnTo>
                                <a:pt x="244" y="17"/>
                              </a:lnTo>
                              <a:lnTo>
                                <a:pt x="246" y="17"/>
                              </a:lnTo>
                              <a:lnTo>
                                <a:pt x="249" y="17"/>
                              </a:lnTo>
                              <a:lnTo>
                                <a:pt x="251" y="17"/>
                              </a:lnTo>
                              <a:lnTo>
                                <a:pt x="254" y="17"/>
                              </a:lnTo>
                              <a:lnTo>
                                <a:pt x="258" y="17"/>
                              </a:lnTo>
                              <a:lnTo>
                                <a:pt x="262" y="17"/>
                              </a:lnTo>
                              <a:lnTo>
                                <a:pt x="268" y="17"/>
                              </a:lnTo>
                              <a:lnTo>
                                <a:pt x="274" y="17"/>
                              </a:lnTo>
                              <a:lnTo>
                                <a:pt x="278" y="17"/>
                              </a:lnTo>
                              <a:lnTo>
                                <a:pt x="281" y="17"/>
                              </a:lnTo>
                              <a:lnTo>
                                <a:pt x="283" y="17"/>
                              </a:lnTo>
                              <a:lnTo>
                                <a:pt x="285" y="17"/>
                              </a:lnTo>
                              <a:lnTo>
                                <a:pt x="287" y="17"/>
                              </a:lnTo>
                              <a:lnTo>
                                <a:pt x="289" y="17"/>
                              </a:lnTo>
                              <a:lnTo>
                                <a:pt x="291" y="17"/>
                              </a:lnTo>
                              <a:lnTo>
                                <a:pt x="294" y="17"/>
                              </a:lnTo>
                              <a:lnTo>
                                <a:pt x="297" y="17"/>
                              </a:lnTo>
                              <a:lnTo>
                                <a:pt x="300" y="17"/>
                              </a:lnTo>
                              <a:lnTo>
                                <a:pt x="304" y="17"/>
                              </a:lnTo>
                              <a:lnTo>
                                <a:pt x="309" y="17"/>
                              </a:lnTo>
                              <a:lnTo>
                                <a:pt x="313" y="17"/>
                              </a:lnTo>
                              <a:lnTo>
                                <a:pt x="316" y="17"/>
                              </a:lnTo>
                              <a:lnTo>
                                <a:pt x="319" y="17"/>
                              </a:lnTo>
                              <a:lnTo>
                                <a:pt x="321" y="17"/>
                              </a:lnTo>
                              <a:lnTo>
                                <a:pt x="323" y="17"/>
                              </a:lnTo>
                              <a:lnTo>
                                <a:pt x="327" y="17"/>
                              </a:lnTo>
                              <a:lnTo>
                                <a:pt x="331" y="17"/>
                              </a:lnTo>
                              <a:lnTo>
                                <a:pt x="335" y="17"/>
                              </a:lnTo>
                              <a:lnTo>
                                <a:pt x="339" y="17"/>
                              </a:lnTo>
                              <a:lnTo>
                                <a:pt x="343" y="17"/>
                              </a:lnTo>
                              <a:lnTo>
                                <a:pt x="348" y="17"/>
                              </a:lnTo>
                              <a:lnTo>
                                <a:pt x="351" y="17"/>
                              </a:lnTo>
                              <a:lnTo>
                                <a:pt x="352" y="17"/>
                              </a:lnTo>
                              <a:lnTo>
                                <a:pt x="354" y="17"/>
                              </a:lnTo>
                              <a:lnTo>
                                <a:pt x="356" y="17"/>
                              </a:lnTo>
                              <a:lnTo>
                                <a:pt x="359" y="17"/>
                              </a:lnTo>
                              <a:lnTo>
                                <a:pt x="361" y="17"/>
                              </a:lnTo>
                              <a:lnTo>
                                <a:pt x="364" y="17"/>
                              </a:lnTo>
                              <a:lnTo>
                                <a:pt x="368" y="17"/>
                              </a:lnTo>
                              <a:lnTo>
                                <a:pt x="372" y="17"/>
                              </a:lnTo>
                              <a:lnTo>
                                <a:pt x="378" y="17"/>
                              </a:lnTo>
                              <a:lnTo>
                                <a:pt x="383" y="17"/>
                              </a:lnTo>
                              <a:lnTo>
                                <a:pt x="386" y="17"/>
                              </a:lnTo>
                              <a:lnTo>
                                <a:pt x="388" y="17"/>
                              </a:lnTo>
                              <a:lnTo>
                                <a:pt x="391" y="17"/>
                              </a:lnTo>
                              <a:lnTo>
                                <a:pt x="393" y="17"/>
                              </a:lnTo>
                              <a:lnTo>
                                <a:pt x="395" y="17"/>
                              </a:lnTo>
                              <a:lnTo>
                                <a:pt x="398" y="17"/>
                              </a:lnTo>
                              <a:lnTo>
                                <a:pt x="402" y="17"/>
                              </a:lnTo>
                              <a:lnTo>
                                <a:pt x="407" y="17"/>
                              </a:lnTo>
                              <a:lnTo>
                                <a:pt x="411" y="17"/>
                              </a:lnTo>
                              <a:lnTo>
                                <a:pt x="415" y="17"/>
                              </a:lnTo>
                              <a:lnTo>
                                <a:pt x="419" y="17"/>
                              </a:lnTo>
                              <a:lnTo>
                                <a:pt x="423" y="17"/>
                              </a:lnTo>
                              <a:lnTo>
                                <a:pt x="427" y="17"/>
                              </a:lnTo>
                              <a:lnTo>
                                <a:pt x="431" y="17"/>
                              </a:lnTo>
                              <a:lnTo>
                                <a:pt x="434" y="17"/>
                              </a:lnTo>
                              <a:lnTo>
                                <a:pt x="437" y="17"/>
                              </a:lnTo>
                              <a:lnTo>
                                <a:pt x="442" y="17"/>
                              </a:lnTo>
                              <a:lnTo>
                                <a:pt x="447" y="17"/>
                              </a:lnTo>
                              <a:lnTo>
                                <a:pt x="452" y="17"/>
                              </a:lnTo>
                              <a:lnTo>
                                <a:pt x="457" y="17"/>
                              </a:lnTo>
                              <a:lnTo>
                                <a:pt x="459" y="17"/>
                              </a:lnTo>
                              <a:lnTo>
                                <a:pt x="461" y="17"/>
                              </a:lnTo>
                              <a:lnTo>
                                <a:pt x="464" y="17"/>
                              </a:lnTo>
                              <a:lnTo>
                                <a:pt x="467" y="17"/>
                              </a:lnTo>
                              <a:lnTo>
                                <a:pt x="470" y="17"/>
                              </a:lnTo>
                              <a:lnTo>
                                <a:pt x="473" y="17"/>
                              </a:lnTo>
                              <a:lnTo>
                                <a:pt x="477" y="17"/>
                              </a:lnTo>
                              <a:lnTo>
                                <a:pt x="481" y="17"/>
                              </a:lnTo>
                              <a:lnTo>
                                <a:pt x="486" y="17"/>
                              </a:lnTo>
                              <a:lnTo>
                                <a:pt x="492" y="17"/>
                              </a:lnTo>
                              <a:lnTo>
                                <a:pt x="498" y="17"/>
                              </a:lnTo>
                              <a:lnTo>
                                <a:pt x="503" y="17"/>
                              </a:lnTo>
                              <a:lnTo>
                                <a:pt x="508" y="17"/>
                              </a:lnTo>
                              <a:lnTo>
                                <a:pt x="513" y="17"/>
                              </a:lnTo>
                              <a:lnTo>
                                <a:pt x="519" y="17"/>
                              </a:lnTo>
                              <a:lnTo>
                                <a:pt x="523" y="17"/>
                              </a:lnTo>
                              <a:lnTo>
                                <a:pt x="527" y="17"/>
                              </a:lnTo>
                              <a:lnTo>
                                <a:pt x="532" y="17"/>
                              </a:lnTo>
                              <a:lnTo>
                                <a:pt x="536" y="17"/>
                              </a:lnTo>
                              <a:lnTo>
                                <a:pt x="540" y="17"/>
                              </a:lnTo>
                              <a:lnTo>
                                <a:pt x="544" y="17"/>
                              </a:lnTo>
                              <a:lnTo>
                                <a:pt x="550" y="17"/>
                              </a:lnTo>
                              <a:lnTo>
                                <a:pt x="556" y="17"/>
                              </a:lnTo>
                              <a:lnTo>
                                <a:pt x="560" y="17"/>
                              </a:lnTo>
                              <a:lnTo>
                                <a:pt x="565" y="17"/>
                              </a:lnTo>
                              <a:lnTo>
                                <a:pt x="570" y="17"/>
                              </a:lnTo>
                              <a:lnTo>
                                <a:pt x="574" y="17"/>
                              </a:lnTo>
                              <a:lnTo>
                                <a:pt x="579" y="17"/>
                              </a:lnTo>
                              <a:lnTo>
                                <a:pt x="584" y="17"/>
                              </a:lnTo>
                              <a:lnTo>
                                <a:pt x="588" y="17"/>
                              </a:lnTo>
                              <a:lnTo>
                                <a:pt x="592" y="17"/>
                              </a:lnTo>
                              <a:lnTo>
                                <a:pt x="596" y="17"/>
                              </a:lnTo>
                              <a:lnTo>
                                <a:pt x="600" y="17"/>
                              </a:lnTo>
                              <a:lnTo>
                                <a:pt x="604" y="17"/>
                              </a:lnTo>
                              <a:lnTo>
                                <a:pt x="607" y="17"/>
                              </a:lnTo>
                              <a:lnTo>
                                <a:pt x="610" y="17"/>
                              </a:lnTo>
                              <a:lnTo>
                                <a:pt x="614" y="17"/>
                              </a:lnTo>
                              <a:lnTo>
                                <a:pt x="620" y="17"/>
                              </a:lnTo>
                              <a:lnTo>
                                <a:pt x="628" y="17"/>
                              </a:lnTo>
                              <a:lnTo>
                                <a:pt x="635" y="17"/>
                              </a:lnTo>
                              <a:lnTo>
                                <a:pt x="640" y="17"/>
                              </a:lnTo>
                              <a:lnTo>
                                <a:pt x="644" y="17"/>
                              </a:lnTo>
                              <a:lnTo>
                                <a:pt x="648" y="17"/>
                              </a:lnTo>
                              <a:lnTo>
                                <a:pt x="652" y="17"/>
                              </a:lnTo>
                              <a:lnTo>
                                <a:pt x="658" y="17"/>
                              </a:lnTo>
                              <a:lnTo>
                                <a:pt x="662" y="17"/>
                              </a:lnTo>
                              <a:lnTo>
                                <a:pt x="665" y="17"/>
                              </a:lnTo>
                              <a:lnTo>
                                <a:pt x="667" y="17"/>
                              </a:lnTo>
                              <a:lnTo>
                                <a:pt x="669" y="17"/>
                              </a:lnTo>
                              <a:lnTo>
                                <a:pt x="673" y="17"/>
                              </a:lnTo>
                              <a:lnTo>
                                <a:pt x="677" y="17"/>
                              </a:lnTo>
                              <a:lnTo>
                                <a:pt x="679" y="17"/>
                              </a:lnTo>
                              <a:lnTo>
                                <a:pt x="682" y="17"/>
                              </a:lnTo>
                              <a:lnTo>
                                <a:pt x="684" y="17"/>
                              </a:lnTo>
                              <a:lnTo>
                                <a:pt x="687" y="17"/>
                              </a:lnTo>
                              <a:lnTo>
                                <a:pt x="692" y="17"/>
                              </a:lnTo>
                              <a:lnTo>
                                <a:pt x="699" y="17"/>
                              </a:lnTo>
                              <a:lnTo>
                                <a:pt x="704" y="17"/>
                              </a:lnTo>
                              <a:lnTo>
                                <a:pt x="711" y="17"/>
                              </a:lnTo>
                              <a:lnTo>
                                <a:pt x="717" y="17"/>
                              </a:lnTo>
                              <a:lnTo>
                                <a:pt x="726" y="17"/>
                              </a:lnTo>
                              <a:lnTo>
                                <a:pt x="735" y="17"/>
                              </a:lnTo>
                              <a:lnTo>
                                <a:pt x="743" y="17"/>
                              </a:lnTo>
                              <a:lnTo>
                                <a:pt x="750" y="17"/>
                              </a:lnTo>
                              <a:lnTo>
                                <a:pt x="758" y="17"/>
                              </a:lnTo>
                              <a:lnTo>
                                <a:pt x="765" y="17"/>
                              </a:lnTo>
                              <a:lnTo>
                                <a:pt x="771" y="17"/>
                              </a:lnTo>
                              <a:lnTo>
                                <a:pt x="777" y="17"/>
                              </a:lnTo>
                              <a:lnTo>
                                <a:pt x="783" y="17"/>
                              </a:lnTo>
                              <a:lnTo>
                                <a:pt x="787" y="17"/>
                              </a:lnTo>
                              <a:lnTo>
                                <a:pt x="791" y="17"/>
                              </a:lnTo>
                              <a:lnTo>
                                <a:pt x="794" y="17"/>
                              </a:lnTo>
                              <a:lnTo>
                                <a:pt x="798" y="17"/>
                              </a:lnTo>
                              <a:lnTo>
                                <a:pt x="802" y="17"/>
                              </a:lnTo>
                              <a:lnTo>
                                <a:pt x="807" y="17"/>
                              </a:lnTo>
                              <a:lnTo>
                                <a:pt x="814" y="17"/>
                              </a:lnTo>
                              <a:lnTo>
                                <a:pt x="818" y="17"/>
                              </a:lnTo>
                              <a:lnTo>
                                <a:pt x="822" y="17"/>
                              </a:lnTo>
                              <a:lnTo>
                                <a:pt x="826" y="17"/>
                              </a:lnTo>
                              <a:lnTo>
                                <a:pt x="831" y="17"/>
                              </a:lnTo>
                              <a:lnTo>
                                <a:pt x="836" y="17"/>
                              </a:lnTo>
                              <a:lnTo>
                                <a:pt x="840" y="17"/>
                              </a:lnTo>
                              <a:lnTo>
                                <a:pt x="845" y="17"/>
                              </a:lnTo>
                              <a:lnTo>
                                <a:pt x="850" y="17"/>
                              </a:lnTo>
                              <a:lnTo>
                                <a:pt x="856" y="17"/>
                              </a:lnTo>
                              <a:lnTo>
                                <a:pt x="861" y="17"/>
                              </a:lnTo>
                              <a:lnTo>
                                <a:pt x="866" y="17"/>
                              </a:lnTo>
                              <a:lnTo>
                                <a:pt x="870" y="17"/>
                              </a:lnTo>
                              <a:lnTo>
                                <a:pt x="873" y="17"/>
                              </a:lnTo>
                              <a:lnTo>
                                <a:pt x="876" y="17"/>
                              </a:lnTo>
                              <a:lnTo>
                                <a:pt x="879" y="17"/>
                              </a:lnTo>
                              <a:lnTo>
                                <a:pt x="883" y="17"/>
                              </a:lnTo>
                              <a:lnTo>
                                <a:pt x="887" y="17"/>
                              </a:lnTo>
                              <a:lnTo>
                                <a:pt x="891" y="17"/>
                              </a:lnTo>
                              <a:lnTo>
                                <a:pt x="895" y="17"/>
                              </a:lnTo>
                              <a:lnTo>
                                <a:pt x="899" y="17"/>
                              </a:lnTo>
                              <a:lnTo>
                                <a:pt x="903" y="17"/>
                              </a:lnTo>
                              <a:lnTo>
                                <a:pt x="908" y="17"/>
                              </a:lnTo>
                              <a:lnTo>
                                <a:pt x="911" y="17"/>
                              </a:lnTo>
                              <a:lnTo>
                                <a:pt x="912" y="17"/>
                              </a:lnTo>
                              <a:lnTo>
                                <a:pt x="914" y="17"/>
                              </a:lnTo>
                              <a:lnTo>
                                <a:pt x="916" y="17"/>
                              </a:lnTo>
                              <a:lnTo>
                                <a:pt x="919" y="17"/>
                              </a:lnTo>
                              <a:lnTo>
                                <a:pt x="922" y="17"/>
                              </a:lnTo>
                              <a:lnTo>
                                <a:pt x="926" y="17"/>
                              </a:lnTo>
                              <a:lnTo>
                                <a:pt x="930" y="17"/>
                              </a:lnTo>
                              <a:lnTo>
                                <a:pt x="934" y="17"/>
                              </a:lnTo>
                              <a:lnTo>
                                <a:pt x="938" y="17"/>
                              </a:lnTo>
                              <a:lnTo>
                                <a:pt x="942" y="17"/>
                              </a:lnTo>
                              <a:lnTo>
                                <a:pt x="945" y="17"/>
                              </a:lnTo>
                              <a:lnTo>
                                <a:pt x="947" y="17"/>
                              </a:lnTo>
                              <a:lnTo>
                                <a:pt x="950" y="17"/>
                              </a:lnTo>
                              <a:lnTo>
                                <a:pt x="954" y="17"/>
                              </a:lnTo>
                              <a:lnTo>
                                <a:pt x="959" y="17"/>
                              </a:lnTo>
                              <a:lnTo>
                                <a:pt x="964" y="17"/>
                              </a:lnTo>
                              <a:lnTo>
                                <a:pt x="969" y="17"/>
                              </a:lnTo>
                              <a:lnTo>
                                <a:pt x="974" y="17"/>
                              </a:lnTo>
                              <a:lnTo>
                                <a:pt x="979" y="17"/>
                              </a:lnTo>
                              <a:lnTo>
                                <a:pt x="984" y="17"/>
                              </a:lnTo>
                              <a:lnTo>
                                <a:pt x="989" y="17"/>
                              </a:lnTo>
                              <a:lnTo>
                                <a:pt x="994" y="17"/>
                              </a:lnTo>
                              <a:lnTo>
                                <a:pt x="999" y="17"/>
                              </a:lnTo>
                              <a:lnTo>
                                <a:pt x="1003" y="17"/>
                              </a:lnTo>
                              <a:lnTo>
                                <a:pt x="1008" y="17"/>
                              </a:lnTo>
                              <a:lnTo>
                                <a:pt x="1015" y="17"/>
                              </a:lnTo>
                              <a:lnTo>
                                <a:pt x="1020" y="17"/>
                              </a:lnTo>
                              <a:lnTo>
                                <a:pt x="1024" y="17"/>
                              </a:lnTo>
                              <a:lnTo>
                                <a:pt x="1027" y="17"/>
                              </a:lnTo>
                              <a:lnTo>
                                <a:pt x="1031" y="17"/>
                              </a:lnTo>
                              <a:lnTo>
                                <a:pt x="1037" y="17"/>
                              </a:lnTo>
                              <a:lnTo>
                                <a:pt x="1046" y="17"/>
                              </a:lnTo>
                              <a:lnTo>
                                <a:pt x="1057" y="17"/>
                              </a:lnTo>
                              <a:lnTo>
                                <a:pt x="1066" y="17"/>
                              </a:lnTo>
                              <a:lnTo>
                                <a:pt x="1074" y="17"/>
                              </a:lnTo>
                              <a:lnTo>
                                <a:pt x="1080" y="17"/>
                              </a:lnTo>
                              <a:lnTo>
                                <a:pt x="1086" y="17"/>
                              </a:lnTo>
                              <a:lnTo>
                                <a:pt x="1091" y="16"/>
                              </a:lnTo>
                              <a:lnTo>
                                <a:pt x="1097" y="17"/>
                              </a:lnTo>
                              <a:lnTo>
                                <a:pt x="1104" y="16"/>
                              </a:lnTo>
                              <a:lnTo>
                                <a:pt x="1111" y="16"/>
                              </a:lnTo>
                              <a:lnTo>
                                <a:pt x="1119" y="17"/>
                              </a:lnTo>
                              <a:lnTo>
                                <a:pt x="1125" y="16"/>
                              </a:lnTo>
                              <a:lnTo>
                                <a:pt x="1132" y="16"/>
                              </a:lnTo>
                              <a:lnTo>
                                <a:pt x="1139" y="16"/>
                              </a:lnTo>
                              <a:lnTo>
                                <a:pt x="1146" y="16"/>
                              </a:lnTo>
                              <a:lnTo>
                                <a:pt x="1152" y="17"/>
                              </a:lnTo>
                              <a:lnTo>
                                <a:pt x="1157" y="17"/>
                              </a:lnTo>
                              <a:lnTo>
                                <a:pt x="1162" y="16"/>
                              </a:lnTo>
                              <a:lnTo>
                                <a:pt x="1168" y="16"/>
                              </a:lnTo>
                              <a:lnTo>
                                <a:pt x="1174" y="16"/>
                              </a:lnTo>
                              <a:lnTo>
                                <a:pt x="1181" y="16"/>
                              </a:lnTo>
                              <a:lnTo>
                                <a:pt x="1188" y="16"/>
                              </a:lnTo>
                              <a:lnTo>
                                <a:pt x="1197" y="16"/>
                              </a:lnTo>
                              <a:lnTo>
                                <a:pt x="1204" y="16"/>
                              </a:lnTo>
                              <a:lnTo>
                                <a:pt x="1210" y="16"/>
                              </a:lnTo>
                              <a:lnTo>
                                <a:pt x="1217" y="16"/>
                              </a:lnTo>
                              <a:lnTo>
                                <a:pt x="1222" y="16"/>
                              </a:lnTo>
                              <a:lnTo>
                                <a:pt x="1226" y="16"/>
                              </a:lnTo>
                              <a:lnTo>
                                <a:pt x="1232" y="16"/>
                              </a:lnTo>
                              <a:lnTo>
                                <a:pt x="1238" y="16"/>
                              </a:lnTo>
                              <a:lnTo>
                                <a:pt x="1244" y="16"/>
                              </a:lnTo>
                              <a:lnTo>
                                <a:pt x="1252" y="16"/>
                              </a:lnTo>
                              <a:lnTo>
                                <a:pt x="1258" y="16"/>
                              </a:lnTo>
                              <a:lnTo>
                                <a:pt x="1262" y="16"/>
                              </a:lnTo>
                              <a:lnTo>
                                <a:pt x="1265" y="16"/>
                              </a:lnTo>
                              <a:lnTo>
                                <a:pt x="1269" y="16"/>
                              </a:lnTo>
                              <a:lnTo>
                                <a:pt x="1273" y="16"/>
                              </a:lnTo>
                              <a:lnTo>
                                <a:pt x="1278" y="16"/>
                              </a:lnTo>
                              <a:lnTo>
                                <a:pt x="1283" y="16"/>
                              </a:lnTo>
                              <a:lnTo>
                                <a:pt x="1288" y="16"/>
                              </a:lnTo>
                              <a:lnTo>
                                <a:pt x="1293" y="16"/>
                              </a:lnTo>
                              <a:lnTo>
                                <a:pt x="1298" y="16"/>
                              </a:lnTo>
                              <a:lnTo>
                                <a:pt x="1302" y="16"/>
                              </a:lnTo>
                              <a:lnTo>
                                <a:pt x="1308" y="16"/>
                              </a:lnTo>
                              <a:lnTo>
                                <a:pt x="1315" y="16"/>
                              </a:lnTo>
                              <a:lnTo>
                                <a:pt x="1321" y="16"/>
                              </a:lnTo>
                              <a:lnTo>
                                <a:pt x="1327" y="16"/>
                              </a:lnTo>
                              <a:lnTo>
                                <a:pt x="1334" y="16"/>
                              </a:lnTo>
                              <a:lnTo>
                                <a:pt x="1341" y="16"/>
                              </a:lnTo>
                              <a:lnTo>
                                <a:pt x="1348" y="16"/>
                              </a:lnTo>
                              <a:lnTo>
                                <a:pt x="1354" y="16"/>
                              </a:lnTo>
                              <a:lnTo>
                                <a:pt x="1357" y="16"/>
                              </a:lnTo>
                              <a:lnTo>
                                <a:pt x="1361" y="16"/>
                              </a:lnTo>
                              <a:lnTo>
                                <a:pt x="1363" y="16"/>
                              </a:lnTo>
                              <a:lnTo>
                                <a:pt x="1365" y="16"/>
                              </a:lnTo>
                              <a:lnTo>
                                <a:pt x="1367" y="16"/>
                              </a:lnTo>
                              <a:lnTo>
                                <a:pt x="1369" y="16"/>
                              </a:lnTo>
                              <a:lnTo>
                                <a:pt x="1370" y="16"/>
                              </a:lnTo>
                              <a:lnTo>
                                <a:pt x="1373" y="16"/>
                              </a:lnTo>
                              <a:lnTo>
                                <a:pt x="1376" y="16"/>
                              </a:lnTo>
                              <a:lnTo>
                                <a:pt x="1378" y="16"/>
                              </a:lnTo>
                              <a:lnTo>
                                <a:pt x="1382" y="16"/>
                              </a:lnTo>
                              <a:lnTo>
                                <a:pt x="1385" y="16"/>
                              </a:lnTo>
                              <a:lnTo>
                                <a:pt x="1391" y="16"/>
                              </a:lnTo>
                              <a:lnTo>
                                <a:pt x="1397" y="16"/>
                              </a:lnTo>
                              <a:lnTo>
                                <a:pt x="1403" y="16"/>
                              </a:lnTo>
                              <a:lnTo>
                                <a:pt x="1410" y="16"/>
                              </a:lnTo>
                              <a:lnTo>
                                <a:pt x="1415" y="16"/>
                              </a:lnTo>
                              <a:lnTo>
                                <a:pt x="1420" y="16"/>
                              </a:lnTo>
                              <a:lnTo>
                                <a:pt x="1425" y="16"/>
                              </a:lnTo>
                              <a:lnTo>
                                <a:pt x="1429" y="16"/>
                              </a:lnTo>
                              <a:lnTo>
                                <a:pt x="1434" y="16"/>
                              </a:lnTo>
                              <a:lnTo>
                                <a:pt x="1438" y="16"/>
                              </a:lnTo>
                              <a:lnTo>
                                <a:pt x="1442" y="16"/>
                              </a:lnTo>
                              <a:lnTo>
                                <a:pt x="1446" y="16"/>
                              </a:lnTo>
                              <a:lnTo>
                                <a:pt x="1450" y="16"/>
                              </a:lnTo>
                              <a:lnTo>
                                <a:pt x="1454" y="16"/>
                              </a:lnTo>
                              <a:lnTo>
                                <a:pt x="1457" y="16"/>
                              </a:lnTo>
                              <a:lnTo>
                                <a:pt x="1461" y="15"/>
                              </a:lnTo>
                              <a:lnTo>
                                <a:pt x="1463" y="15"/>
                              </a:lnTo>
                              <a:lnTo>
                                <a:pt x="1466" y="15"/>
                              </a:lnTo>
                              <a:lnTo>
                                <a:pt x="1468" y="15"/>
                              </a:lnTo>
                              <a:lnTo>
                                <a:pt x="1469" y="15"/>
                              </a:lnTo>
                              <a:lnTo>
                                <a:pt x="1471" y="15"/>
                              </a:lnTo>
                              <a:lnTo>
                                <a:pt x="1474" y="15"/>
                              </a:lnTo>
                              <a:lnTo>
                                <a:pt x="1478" y="15"/>
                              </a:lnTo>
                              <a:lnTo>
                                <a:pt x="1482" y="15"/>
                              </a:lnTo>
                              <a:lnTo>
                                <a:pt x="1485" y="15"/>
                              </a:lnTo>
                              <a:lnTo>
                                <a:pt x="1489" y="15"/>
                              </a:lnTo>
                              <a:lnTo>
                                <a:pt x="1492" y="15"/>
                              </a:lnTo>
                              <a:lnTo>
                                <a:pt x="1496" y="15"/>
                              </a:lnTo>
                              <a:lnTo>
                                <a:pt x="1500" y="15"/>
                              </a:lnTo>
                              <a:lnTo>
                                <a:pt x="1502" y="15"/>
                              </a:lnTo>
                              <a:lnTo>
                                <a:pt x="1503" y="15"/>
                              </a:lnTo>
                              <a:lnTo>
                                <a:pt x="1505" y="15"/>
                              </a:lnTo>
                              <a:lnTo>
                                <a:pt x="1507" y="15"/>
                              </a:lnTo>
                              <a:lnTo>
                                <a:pt x="1509" y="15"/>
                              </a:lnTo>
                              <a:lnTo>
                                <a:pt x="1512" y="15"/>
                              </a:lnTo>
                              <a:lnTo>
                                <a:pt x="1515" y="15"/>
                              </a:lnTo>
                              <a:lnTo>
                                <a:pt x="1518" y="15"/>
                              </a:lnTo>
                              <a:lnTo>
                                <a:pt x="1522" y="15"/>
                              </a:lnTo>
                              <a:lnTo>
                                <a:pt x="1526" y="15"/>
                              </a:lnTo>
                              <a:lnTo>
                                <a:pt x="1530" y="15"/>
                              </a:lnTo>
                              <a:lnTo>
                                <a:pt x="1532" y="15"/>
                              </a:lnTo>
                              <a:lnTo>
                                <a:pt x="1534" y="15"/>
                              </a:lnTo>
                              <a:lnTo>
                                <a:pt x="1535" y="15"/>
                              </a:lnTo>
                              <a:lnTo>
                                <a:pt x="1536" y="15"/>
                              </a:lnTo>
                              <a:lnTo>
                                <a:pt x="1538" y="15"/>
                              </a:lnTo>
                              <a:lnTo>
                                <a:pt x="1540" y="15"/>
                              </a:lnTo>
                              <a:lnTo>
                                <a:pt x="1542" y="14"/>
                              </a:lnTo>
                              <a:lnTo>
                                <a:pt x="1545" y="14"/>
                              </a:lnTo>
                              <a:lnTo>
                                <a:pt x="1548" y="14"/>
                              </a:lnTo>
                              <a:lnTo>
                                <a:pt x="1550" y="14"/>
                              </a:lnTo>
                              <a:lnTo>
                                <a:pt x="1551" y="14"/>
                              </a:lnTo>
                              <a:lnTo>
                                <a:pt x="1553" y="14"/>
                              </a:lnTo>
                              <a:lnTo>
                                <a:pt x="1556" y="14"/>
                              </a:lnTo>
                              <a:lnTo>
                                <a:pt x="1560" y="14"/>
                              </a:lnTo>
                              <a:lnTo>
                                <a:pt x="1564" y="14"/>
                              </a:lnTo>
                              <a:lnTo>
                                <a:pt x="1568" y="14"/>
                              </a:lnTo>
                              <a:lnTo>
                                <a:pt x="1570" y="14"/>
                              </a:lnTo>
                              <a:lnTo>
                                <a:pt x="1572" y="14"/>
                              </a:lnTo>
                              <a:lnTo>
                                <a:pt x="1573" y="14"/>
                              </a:lnTo>
                              <a:lnTo>
                                <a:pt x="1575" y="14"/>
                              </a:lnTo>
                              <a:lnTo>
                                <a:pt x="1577" y="14"/>
                              </a:lnTo>
                              <a:lnTo>
                                <a:pt x="1580" y="14"/>
                              </a:lnTo>
                              <a:lnTo>
                                <a:pt x="1583" y="14"/>
                              </a:lnTo>
                              <a:lnTo>
                                <a:pt x="1585" y="14"/>
                              </a:lnTo>
                              <a:lnTo>
                                <a:pt x="1587" y="14"/>
                              </a:lnTo>
                              <a:lnTo>
                                <a:pt x="1588" y="14"/>
                              </a:lnTo>
                              <a:lnTo>
                                <a:pt x="1590" y="14"/>
                              </a:lnTo>
                              <a:lnTo>
                                <a:pt x="1591" y="14"/>
                              </a:lnTo>
                              <a:lnTo>
                                <a:pt x="1593" y="14"/>
                              </a:lnTo>
                              <a:lnTo>
                                <a:pt x="1594" y="14"/>
                              </a:lnTo>
                              <a:lnTo>
                                <a:pt x="1595" y="14"/>
                              </a:lnTo>
                              <a:lnTo>
                                <a:pt x="1596" y="14"/>
                              </a:lnTo>
                              <a:lnTo>
                                <a:pt x="1598" y="14"/>
                              </a:lnTo>
                              <a:lnTo>
                                <a:pt x="1599" y="14"/>
                              </a:lnTo>
                              <a:lnTo>
                                <a:pt x="1600" y="14"/>
                              </a:lnTo>
                              <a:lnTo>
                                <a:pt x="1601" y="14"/>
                              </a:lnTo>
                              <a:lnTo>
                                <a:pt x="1602" y="14"/>
                              </a:lnTo>
                              <a:lnTo>
                                <a:pt x="1603" y="14"/>
                              </a:lnTo>
                              <a:lnTo>
                                <a:pt x="1604" y="14"/>
                              </a:lnTo>
                              <a:lnTo>
                                <a:pt x="1605" y="14"/>
                              </a:lnTo>
                              <a:lnTo>
                                <a:pt x="1605" y="13"/>
                              </a:lnTo>
                              <a:lnTo>
                                <a:pt x="1606" y="13"/>
                              </a:lnTo>
                              <a:lnTo>
                                <a:pt x="1606" y="13"/>
                              </a:lnTo>
                              <a:lnTo>
                                <a:pt x="1607" y="13"/>
                              </a:lnTo>
                              <a:lnTo>
                                <a:pt x="1607" y="13"/>
                              </a:lnTo>
                              <a:lnTo>
                                <a:pt x="1608" y="13"/>
                              </a:lnTo>
                              <a:lnTo>
                                <a:pt x="1608" y="13"/>
                              </a:lnTo>
                              <a:lnTo>
                                <a:pt x="1609" y="13"/>
                              </a:lnTo>
                              <a:lnTo>
                                <a:pt x="1610" y="13"/>
                              </a:lnTo>
                              <a:lnTo>
                                <a:pt x="1611" y="13"/>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36" name="Freeform 160"/>
                        <a:cNvSpPr>
                          <a:spLocks/>
                        </a:cNvSpPr>
                      </a:nvSpPr>
                      <a:spPr bwMode="auto">
                        <a:xfrm>
                          <a:off x="4814264" y="7293756"/>
                          <a:ext cx="1812059" cy="105377"/>
                        </a:xfrm>
                        <a:custGeom>
                          <a:avLst/>
                          <a:gdLst/>
                          <a:ahLst/>
                          <a:cxnLst>
                            <a:cxn ang="0">
                              <a:pos x="9" y="54"/>
                            </a:cxn>
                            <a:cxn ang="0">
                              <a:pos x="20" y="53"/>
                            </a:cxn>
                            <a:cxn ang="0">
                              <a:pos x="30" y="52"/>
                            </a:cxn>
                            <a:cxn ang="0">
                              <a:pos x="43" y="52"/>
                            </a:cxn>
                            <a:cxn ang="0">
                              <a:pos x="63" y="52"/>
                            </a:cxn>
                            <a:cxn ang="0">
                              <a:pos x="73" y="52"/>
                            </a:cxn>
                            <a:cxn ang="0">
                              <a:pos x="83" y="51"/>
                            </a:cxn>
                            <a:cxn ang="0">
                              <a:pos x="92" y="50"/>
                            </a:cxn>
                            <a:cxn ang="0">
                              <a:pos x="99" y="50"/>
                            </a:cxn>
                            <a:cxn ang="0">
                              <a:pos x="104" y="49"/>
                            </a:cxn>
                            <a:cxn ang="0">
                              <a:pos x="113" y="47"/>
                            </a:cxn>
                            <a:cxn ang="0">
                              <a:pos x="119" y="46"/>
                            </a:cxn>
                            <a:cxn ang="0">
                              <a:pos x="124" y="44"/>
                            </a:cxn>
                            <a:cxn ang="0">
                              <a:pos x="128" y="42"/>
                            </a:cxn>
                            <a:cxn ang="0">
                              <a:pos x="131" y="39"/>
                            </a:cxn>
                            <a:cxn ang="0">
                              <a:pos x="132" y="38"/>
                            </a:cxn>
                            <a:cxn ang="0">
                              <a:pos x="133" y="37"/>
                            </a:cxn>
                            <a:cxn ang="0">
                              <a:pos x="134" y="36"/>
                            </a:cxn>
                            <a:cxn ang="0">
                              <a:pos x="138" y="30"/>
                            </a:cxn>
                            <a:cxn ang="0">
                              <a:pos x="149" y="14"/>
                            </a:cxn>
                            <a:cxn ang="0">
                              <a:pos x="155" y="6"/>
                            </a:cxn>
                            <a:cxn ang="0">
                              <a:pos x="160" y="1"/>
                            </a:cxn>
                            <a:cxn ang="0">
                              <a:pos x="166" y="0"/>
                            </a:cxn>
                            <a:cxn ang="0">
                              <a:pos x="169" y="1"/>
                            </a:cxn>
                            <a:cxn ang="0">
                              <a:pos x="177" y="6"/>
                            </a:cxn>
                            <a:cxn ang="0">
                              <a:pos x="190" y="17"/>
                            </a:cxn>
                            <a:cxn ang="0">
                              <a:pos x="201" y="24"/>
                            </a:cxn>
                            <a:cxn ang="0">
                              <a:pos x="208" y="27"/>
                            </a:cxn>
                            <a:cxn ang="0">
                              <a:pos x="219" y="31"/>
                            </a:cxn>
                            <a:cxn ang="0">
                              <a:pos x="229" y="33"/>
                            </a:cxn>
                            <a:cxn ang="0">
                              <a:pos x="239" y="34"/>
                            </a:cxn>
                            <a:cxn ang="0">
                              <a:pos x="247" y="35"/>
                            </a:cxn>
                            <a:cxn ang="0">
                              <a:pos x="259" y="38"/>
                            </a:cxn>
                            <a:cxn ang="0">
                              <a:pos x="271" y="40"/>
                            </a:cxn>
                            <a:cxn ang="0">
                              <a:pos x="282" y="41"/>
                            </a:cxn>
                            <a:cxn ang="0">
                              <a:pos x="308" y="43"/>
                            </a:cxn>
                            <a:cxn ang="0">
                              <a:pos x="339" y="45"/>
                            </a:cxn>
                            <a:cxn ang="0">
                              <a:pos x="356" y="46"/>
                            </a:cxn>
                            <a:cxn ang="0">
                              <a:pos x="379" y="47"/>
                            </a:cxn>
                            <a:cxn ang="0">
                              <a:pos x="400" y="49"/>
                            </a:cxn>
                            <a:cxn ang="0">
                              <a:pos x="414" y="49"/>
                            </a:cxn>
                            <a:cxn ang="0">
                              <a:pos x="437" y="50"/>
                            </a:cxn>
                            <a:cxn ang="0">
                              <a:pos x="451" y="51"/>
                            </a:cxn>
                            <a:cxn ang="0">
                              <a:pos x="478" y="52"/>
                            </a:cxn>
                            <a:cxn ang="0">
                              <a:pos x="491" y="52"/>
                            </a:cxn>
                            <a:cxn ang="0">
                              <a:pos x="518" y="53"/>
                            </a:cxn>
                            <a:cxn ang="0">
                              <a:pos x="533" y="53"/>
                            </a:cxn>
                            <a:cxn ang="0">
                              <a:pos x="556" y="53"/>
                            </a:cxn>
                            <a:cxn ang="0">
                              <a:pos x="589" y="54"/>
                            </a:cxn>
                            <a:cxn ang="0">
                              <a:pos x="609" y="54"/>
                            </a:cxn>
                            <a:cxn ang="0">
                              <a:pos x="628" y="54"/>
                            </a:cxn>
                            <a:cxn ang="0">
                              <a:pos x="651" y="54"/>
                            </a:cxn>
                            <a:cxn ang="0">
                              <a:pos x="679" y="55"/>
                            </a:cxn>
                            <a:cxn ang="0">
                              <a:pos x="711" y="55"/>
                            </a:cxn>
                            <a:cxn ang="0">
                              <a:pos x="737" y="55"/>
                            </a:cxn>
                            <a:cxn ang="0">
                              <a:pos x="769" y="55"/>
                            </a:cxn>
                            <a:cxn ang="0">
                              <a:pos x="800" y="55"/>
                            </a:cxn>
                            <a:cxn ang="0">
                              <a:pos x="846" y="55"/>
                            </a:cxn>
                            <a:cxn ang="0">
                              <a:pos x="876" y="56"/>
                            </a:cxn>
                            <a:cxn ang="0">
                              <a:pos x="904" y="56"/>
                            </a:cxn>
                            <a:cxn ang="0">
                              <a:pos x="930" y="56"/>
                            </a:cxn>
                            <a:cxn ang="0">
                              <a:pos x="986" y="56"/>
                            </a:cxn>
                            <a:cxn ang="0">
                              <a:pos x="1035" y="56"/>
                            </a:cxn>
                          </a:cxnLst>
                          <a:rect l="0" t="0" r="r" b="b"/>
                          <a:pathLst>
                            <a:path w="1069" h="56">
                              <a:moveTo>
                                <a:pt x="0" y="55"/>
                              </a:moveTo>
                              <a:lnTo>
                                <a:pt x="1" y="55"/>
                              </a:lnTo>
                              <a:lnTo>
                                <a:pt x="2" y="55"/>
                              </a:lnTo>
                              <a:lnTo>
                                <a:pt x="3" y="55"/>
                              </a:lnTo>
                              <a:lnTo>
                                <a:pt x="4" y="54"/>
                              </a:lnTo>
                              <a:lnTo>
                                <a:pt x="5" y="54"/>
                              </a:lnTo>
                              <a:lnTo>
                                <a:pt x="7" y="54"/>
                              </a:lnTo>
                              <a:lnTo>
                                <a:pt x="9" y="54"/>
                              </a:lnTo>
                              <a:lnTo>
                                <a:pt x="11" y="54"/>
                              </a:lnTo>
                              <a:lnTo>
                                <a:pt x="12" y="53"/>
                              </a:lnTo>
                              <a:lnTo>
                                <a:pt x="14" y="53"/>
                              </a:lnTo>
                              <a:lnTo>
                                <a:pt x="15" y="53"/>
                              </a:lnTo>
                              <a:lnTo>
                                <a:pt x="16" y="53"/>
                              </a:lnTo>
                              <a:lnTo>
                                <a:pt x="17" y="53"/>
                              </a:lnTo>
                              <a:lnTo>
                                <a:pt x="19" y="53"/>
                              </a:lnTo>
                              <a:lnTo>
                                <a:pt x="20" y="53"/>
                              </a:lnTo>
                              <a:lnTo>
                                <a:pt x="21" y="53"/>
                              </a:lnTo>
                              <a:lnTo>
                                <a:pt x="22" y="52"/>
                              </a:lnTo>
                              <a:lnTo>
                                <a:pt x="23" y="52"/>
                              </a:lnTo>
                              <a:lnTo>
                                <a:pt x="24" y="52"/>
                              </a:lnTo>
                              <a:lnTo>
                                <a:pt x="26" y="52"/>
                              </a:lnTo>
                              <a:lnTo>
                                <a:pt x="27" y="52"/>
                              </a:lnTo>
                              <a:lnTo>
                                <a:pt x="29" y="52"/>
                              </a:lnTo>
                              <a:lnTo>
                                <a:pt x="30" y="52"/>
                              </a:lnTo>
                              <a:lnTo>
                                <a:pt x="31" y="52"/>
                              </a:lnTo>
                              <a:lnTo>
                                <a:pt x="33" y="52"/>
                              </a:lnTo>
                              <a:lnTo>
                                <a:pt x="34" y="52"/>
                              </a:lnTo>
                              <a:lnTo>
                                <a:pt x="36" y="52"/>
                              </a:lnTo>
                              <a:lnTo>
                                <a:pt x="37" y="52"/>
                              </a:lnTo>
                              <a:lnTo>
                                <a:pt x="39" y="52"/>
                              </a:lnTo>
                              <a:lnTo>
                                <a:pt x="41" y="52"/>
                              </a:lnTo>
                              <a:lnTo>
                                <a:pt x="43" y="52"/>
                              </a:lnTo>
                              <a:lnTo>
                                <a:pt x="45" y="52"/>
                              </a:lnTo>
                              <a:lnTo>
                                <a:pt x="47" y="52"/>
                              </a:lnTo>
                              <a:lnTo>
                                <a:pt x="50" y="52"/>
                              </a:lnTo>
                              <a:lnTo>
                                <a:pt x="52" y="52"/>
                              </a:lnTo>
                              <a:lnTo>
                                <a:pt x="55" y="52"/>
                              </a:lnTo>
                              <a:lnTo>
                                <a:pt x="59" y="52"/>
                              </a:lnTo>
                              <a:lnTo>
                                <a:pt x="61" y="52"/>
                              </a:lnTo>
                              <a:lnTo>
                                <a:pt x="63" y="52"/>
                              </a:lnTo>
                              <a:lnTo>
                                <a:pt x="64" y="52"/>
                              </a:lnTo>
                              <a:lnTo>
                                <a:pt x="65" y="52"/>
                              </a:lnTo>
                              <a:lnTo>
                                <a:pt x="66" y="52"/>
                              </a:lnTo>
                              <a:lnTo>
                                <a:pt x="67" y="52"/>
                              </a:lnTo>
                              <a:lnTo>
                                <a:pt x="69" y="52"/>
                              </a:lnTo>
                              <a:lnTo>
                                <a:pt x="71" y="52"/>
                              </a:lnTo>
                              <a:lnTo>
                                <a:pt x="72" y="52"/>
                              </a:lnTo>
                              <a:lnTo>
                                <a:pt x="73" y="52"/>
                              </a:lnTo>
                              <a:lnTo>
                                <a:pt x="75" y="52"/>
                              </a:lnTo>
                              <a:lnTo>
                                <a:pt x="76" y="52"/>
                              </a:lnTo>
                              <a:lnTo>
                                <a:pt x="77" y="52"/>
                              </a:lnTo>
                              <a:lnTo>
                                <a:pt x="78" y="52"/>
                              </a:lnTo>
                              <a:lnTo>
                                <a:pt x="79" y="52"/>
                              </a:lnTo>
                              <a:lnTo>
                                <a:pt x="80" y="52"/>
                              </a:lnTo>
                              <a:lnTo>
                                <a:pt x="82" y="52"/>
                              </a:lnTo>
                              <a:lnTo>
                                <a:pt x="83" y="51"/>
                              </a:lnTo>
                              <a:lnTo>
                                <a:pt x="84" y="51"/>
                              </a:lnTo>
                              <a:lnTo>
                                <a:pt x="85" y="51"/>
                              </a:lnTo>
                              <a:lnTo>
                                <a:pt x="86" y="51"/>
                              </a:lnTo>
                              <a:lnTo>
                                <a:pt x="87" y="51"/>
                              </a:lnTo>
                              <a:lnTo>
                                <a:pt x="89" y="51"/>
                              </a:lnTo>
                              <a:lnTo>
                                <a:pt x="90" y="51"/>
                              </a:lnTo>
                              <a:lnTo>
                                <a:pt x="91" y="51"/>
                              </a:lnTo>
                              <a:lnTo>
                                <a:pt x="92" y="50"/>
                              </a:lnTo>
                              <a:lnTo>
                                <a:pt x="93" y="50"/>
                              </a:lnTo>
                              <a:lnTo>
                                <a:pt x="95" y="50"/>
                              </a:lnTo>
                              <a:lnTo>
                                <a:pt x="96" y="50"/>
                              </a:lnTo>
                              <a:lnTo>
                                <a:pt x="97" y="50"/>
                              </a:lnTo>
                              <a:lnTo>
                                <a:pt x="97" y="50"/>
                              </a:lnTo>
                              <a:lnTo>
                                <a:pt x="98" y="50"/>
                              </a:lnTo>
                              <a:lnTo>
                                <a:pt x="99" y="50"/>
                              </a:lnTo>
                              <a:lnTo>
                                <a:pt x="99" y="50"/>
                              </a:lnTo>
                              <a:lnTo>
                                <a:pt x="100" y="49"/>
                              </a:lnTo>
                              <a:lnTo>
                                <a:pt x="100" y="49"/>
                              </a:lnTo>
                              <a:lnTo>
                                <a:pt x="100" y="49"/>
                              </a:lnTo>
                              <a:lnTo>
                                <a:pt x="101" y="49"/>
                              </a:lnTo>
                              <a:lnTo>
                                <a:pt x="101" y="49"/>
                              </a:lnTo>
                              <a:lnTo>
                                <a:pt x="101" y="49"/>
                              </a:lnTo>
                              <a:lnTo>
                                <a:pt x="102" y="49"/>
                              </a:lnTo>
                              <a:lnTo>
                                <a:pt x="104" y="49"/>
                              </a:lnTo>
                              <a:lnTo>
                                <a:pt x="105" y="49"/>
                              </a:lnTo>
                              <a:lnTo>
                                <a:pt x="107" y="48"/>
                              </a:lnTo>
                              <a:lnTo>
                                <a:pt x="108" y="48"/>
                              </a:lnTo>
                              <a:lnTo>
                                <a:pt x="109" y="48"/>
                              </a:lnTo>
                              <a:lnTo>
                                <a:pt x="110" y="48"/>
                              </a:lnTo>
                              <a:lnTo>
                                <a:pt x="111" y="47"/>
                              </a:lnTo>
                              <a:lnTo>
                                <a:pt x="112" y="47"/>
                              </a:lnTo>
                              <a:lnTo>
                                <a:pt x="113" y="47"/>
                              </a:lnTo>
                              <a:lnTo>
                                <a:pt x="114" y="47"/>
                              </a:lnTo>
                              <a:lnTo>
                                <a:pt x="115" y="47"/>
                              </a:lnTo>
                              <a:lnTo>
                                <a:pt x="115" y="47"/>
                              </a:lnTo>
                              <a:lnTo>
                                <a:pt x="116" y="46"/>
                              </a:lnTo>
                              <a:lnTo>
                                <a:pt x="117" y="46"/>
                              </a:lnTo>
                              <a:lnTo>
                                <a:pt x="117" y="46"/>
                              </a:lnTo>
                              <a:lnTo>
                                <a:pt x="118" y="46"/>
                              </a:lnTo>
                              <a:lnTo>
                                <a:pt x="119" y="46"/>
                              </a:lnTo>
                              <a:lnTo>
                                <a:pt x="119" y="46"/>
                              </a:lnTo>
                              <a:lnTo>
                                <a:pt x="120" y="45"/>
                              </a:lnTo>
                              <a:lnTo>
                                <a:pt x="121" y="45"/>
                              </a:lnTo>
                              <a:lnTo>
                                <a:pt x="121" y="45"/>
                              </a:lnTo>
                              <a:lnTo>
                                <a:pt x="122" y="45"/>
                              </a:lnTo>
                              <a:lnTo>
                                <a:pt x="122" y="44"/>
                              </a:lnTo>
                              <a:lnTo>
                                <a:pt x="123" y="44"/>
                              </a:lnTo>
                              <a:lnTo>
                                <a:pt x="124" y="44"/>
                              </a:lnTo>
                              <a:lnTo>
                                <a:pt x="124" y="44"/>
                              </a:lnTo>
                              <a:lnTo>
                                <a:pt x="125" y="44"/>
                              </a:lnTo>
                              <a:lnTo>
                                <a:pt x="125" y="43"/>
                              </a:lnTo>
                              <a:lnTo>
                                <a:pt x="126" y="43"/>
                              </a:lnTo>
                              <a:lnTo>
                                <a:pt x="126" y="43"/>
                              </a:lnTo>
                              <a:lnTo>
                                <a:pt x="127" y="42"/>
                              </a:lnTo>
                              <a:lnTo>
                                <a:pt x="127" y="42"/>
                              </a:lnTo>
                              <a:lnTo>
                                <a:pt x="128" y="42"/>
                              </a:lnTo>
                              <a:lnTo>
                                <a:pt x="128" y="41"/>
                              </a:lnTo>
                              <a:lnTo>
                                <a:pt x="129" y="41"/>
                              </a:lnTo>
                              <a:lnTo>
                                <a:pt x="129" y="41"/>
                              </a:lnTo>
                              <a:lnTo>
                                <a:pt x="130" y="41"/>
                              </a:lnTo>
                              <a:lnTo>
                                <a:pt x="130" y="40"/>
                              </a:lnTo>
                              <a:lnTo>
                                <a:pt x="130" y="40"/>
                              </a:lnTo>
                              <a:lnTo>
                                <a:pt x="131" y="39"/>
                              </a:lnTo>
                              <a:lnTo>
                                <a:pt x="131" y="39"/>
                              </a:lnTo>
                              <a:lnTo>
                                <a:pt x="131" y="39"/>
                              </a:lnTo>
                              <a:lnTo>
                                <a:pt x="132" y="39"/>
                              </a:lnTo>
                              <a:lnTo>
                                <a:pt x="132" y="39"/>
                              </a:lnTo>
                              <a:lnTo>
                                <a:pt x="132" y="38"/>
                              </a:lnTo>
                              <a:lnTo>
                                <a:pt x="132" y="38"/>
                              </a:lnTo>
                              <a:lnTo>
                                <a:pt x="132" y="38"/>
                              </a:lnTo>
                              <a:lnTo>
                                <a:pt x="132" y="38"/>
                              </a:lnTo>
                              <a:lnTo>
                                <a:pt x="132" y="38"/>
                              </a:lnTo>
                              <a:lnTo>
                                <a:pt x="132" y="38"/>
                              </a:lnTo>
                              <a:lnTo>
                                <a:pt x="133" y="38"/>
                              </a:lnTo>
                              <a:lnTo>
                                <a:pt x="133" y="38"/>
                              </a:lnTo>
                              <a:lnTo>
                                <a:pt x="133" y="38"/>
                              </a:lnTo>
                              <a:lnTo>
                                <a:pt x="133" y="38"/>
                              </a:lnTo>
                              <a:lnTo>
                                <a:pt x="133" y="37"/>
                              </a:lnTo>
                              <a:lnTo>
                                <a:pt x="133" y="37"/>
                              </a:lnTo>
                              <a:lnTo>
                                <a:pt x="133" y="37"/>
                              </a:lnTo>
                              <a:lnTo>
                                <a:pt x="133" y="37"/>
                              </a:lnTo>
                              <a:lnTo>
                                <a:pt x="133" y="37"/>
                              </a:lnTo>
                              <a:lnTo>
                                <a:pt x="133" y="37"/>
                              </a:lnTo>
                              <a:lnTo>
                                <a:pt x="133" y="37"/>
                              </a:lnTo>
                              <a:lnTo>
                                <a:pt x="133" y="37"/>
                              </a:lnTo>
                              <a:lnTo>
                                <a:pt x="134" y="37"/>
                              </a:lnTo>
                              <a:lnTo>
                                <a:pt x="134" y="36"/>
                              </a:lnTo>
                              <a:lnTo>
                                <a:pt x="134" y="36"/>
                              </a:lnTo>
                              <a:lnTo>
                                <a:pt x="135" y="35"/>
                              </a:lnTo>
                              <a:lnTo>
                                <a:pt x="135" y="35"/>
                              </a:lnTo>
                              <a:lnTo>
                                <a:pt x="136" y="34"/>
                              </a:lnTo>
                              <a:lnTo>
                                <a:pt x="136" y="33"/>
                              </a:lnTo>
                              <a:lnTo>
                                <a:pt x="137" y="33"/>
                              </a:lnTo>
                              <a:lnTo>
                                <a:pt x="137" y="32"/>
                              </a:lnTo>
                              <a:lnTo>
                                <a:pt x="138" y="31"/>
                              </a:lnTo>
                              <a:lnTo>
                                <a:pt x="138" y="30"/>
                              </a:lnTo>
                              <a:lnTo>
                                <a:pt x="139" y="29"/>
                              </a:lnTo>
                              <a:lnTo>
                                <a:pt x="140" y="28"/>
                              </a:lnTo>
                              <a:lnTo>
                                <a:pt x="141" y="26"/>
                              </a:lnTo>
                              <a:lnTo>
                                <a:pt x="143" y="24"/>
                              </a:lnTo>
                              <a:lnTo>
                                <a:pt x="144" y="21"/>
                              </a:lnTo>
                              <a:lnTo>
                                <a:pt x="146" y="18"/>
                              </a:lnTo>
                              <a:lnTo>
                                <a:pt x="148" y="16"/>
                              </a:lnTo>
                              <a:lnTo>
                                <a:pt x="149" y="14"/>
                              </a:lnTo>
                              <a:lnTo>
                                <a:pt x="150" y="13"/>
                              </a:lnTo>
                              <a:lnTo>
                                <a:pt x="151" y="11"/>
                              </a:lnTo>
                              <a:lnTo>
                                <a:pt x="151" y="10"/>
                              </a:lnTo>
                              <a:lnTo>
                                <a:pt x="152" y="9"/>
                              </a:lnTo>
                              <a:lnTo>
                                <a:pt x="153" y="8"/>
                              </a:lnTo>
                              <a:lnTo>
                                <a:pt x="154" y="8"/>
                              </a:lnTo>
                              <a:lnTo>
                                <a:pt x="154" y="7"/>
                              </a:lnTo>
                              <a:lnTo>
                                <a:pt x="155" y="6"/>
                              </a:lnTo>
                              <a:lnTo>
                                <a:pt x="155" y="5"/>
                              </a:lnTo>
                              <a:lnTo>
                                <a:pt x="156" y="5"/>
                              </a:lnTo>
                              <a:lnTo>
                                <a:pt x="156" y="4"/>
                              </a:lnTo>
                              <a:lnTo>
                                <a:pt x="157" y="4"/>
                              </a:lnTo>
                              <a:lnTo>
                                <a:pt x="158" y="3"/>
                              </a:lnTo>
                              <a:lnTo>
                                <a:pt x="158" y="2"/>
                              </a:lnTo>
                              <a:lnTo>
                                <a:pt x="159" y="2"/>
                              </a:lnTo>
                              <a:lnTo>
                                <a:pt x="160" y="1"/>
                              </a:lnTo>
                              <a:lnTo>
                                <a:pt x="160" y="1"/>
                              </a:lnTo>
                              <a:lnTo>
                                <a:pt x="161" y="1"/>
                              </a:lnTo>
                              <a:lnTo>
                                <a:pt x="162" y="1"/>
                              </a:lnTo>
                              <a:lnTo>
                                <a:pt x="163" y="0"/>
                              </a:lnTo>
                              <a:lnTo>
                                <a:pt x="163" y="0"/>
                              </a:lnTo>
                              <a:lnTo>
                                <a:pt x="164" y="0"/>
                              </a:lnTo>
                              <a:lnTo>
                                <a:pt x="165" y="0"/>
                              </a:lnTo>
                              <a:lnTo>
                                <a:pt x="166" y="0"/>
                              </a:lnTo>
                              <a:lnTo>
                                <a:pt x="166" y="0"/>
                              </a:lnTo>
                              <a:lnTo>
                                <a:pt x="167" y="0"/>
                              </a:lnTo>
                              <a:lnTo>
                                <a:pt x="167" y="1"/>
                              </a:lnTo>
                              <a:lnTo>
                                <a:pt x="168" y="1"/>
                              </a:lnTo>
                              <a:lnTo>
                                <a:pt x="168" y="1"/>
                              </a:lnTo>
                              <a:lnTo>
                                <a:pt x="168" y="1"/>
                              </a:lnTo>
                              <a:lnTo>
                                <a:pt x="169" y="1"/>
                              </a:lnTo>
                              <a:lnTo>
                                <a:pt x="169" y="1"/>
                              </a:lnTo>
                              <a:lnTo>
                                <a:pt x="170" y="1"/>
                              </a:lnTo>
                              <a:lnTo>
                                <a:pt x="171" y="2"/>
                              </a:lnTo>
                              <a:lnTo>
                                <a:pt x="172" y="2"/>
                              </a:lnTo>
                              <a:lnTo>
                                <a:pt x="173" y="3"/>
                              </a:lnTo>
                              <a:lnTo>
                                <a:pt x="174" y="4"/>
                              </a:lnTo>
                              <a:lnTo>
                                <a:pt x="175" y="5"/>
                              </a:lnTo>
                              <a:lnTo>
                                <a:pt x="176" y="5"/>
                              </a:lnTo>
                              <a:lnTo>
                                <a:pt x="177" y="6"/>
                              </a:lnTo>
                              <a:lnTo>
                                <a:pt x="178" y="7"/>
                              </a:lnTo>
                              <a:lnTo>
                                <a:pt x="180" y="8"/>
                              </a:lnTo>
                              <a:lnTo>
                                <a:pt x="181" y="10"/>
                              </a:lnTo>
                              <a:lnTo>
                                <a:pt x="184" y="12"/>
                              </a:lnTo>
                              <a:lnTo>
                                <a:pt x="186" y="14"/>
                              </a:lnTo>
                              <a:lnTo>
                                <a:pt x="187" y="15"/>
                              </a:lnTo>
                              <a:lnTo>
                                <a:pt x="189" y="16"/>
                              </a:lnTo>
                              <a:lnTo>
                                <a:pt x="190" y="17"/>
                              </a:lnTo>
                              <a:lnTo>
                                <a:pt x="192" y="18"/>
                              </a:lnTo>
                              <a:lnTo>
                                <a:pt x="193" y="19"/>
                              </a:lnTo>
                              <a:lnTo>
                                <a:pt x="194" y="20"/>
                              </a:lnTo>
                              <a:lnTo>
                                <a:pt x="196" y="21"/>
                              </a:lnTo>
                              <a:lnTo>
                                <a:pt x="197" y="22"/>
                              </a:lnTo>
                              <a:lnTo>
                                <a:pt x="198" y="23"/>
                              </a:lnTo>
                              <a:lnTo>
                                <a:pt x="199" y="23"/>
                              </a:lnTo>
                              <a:lnTo>
                                <a:pt x="201" y="24"/>
                              </a:lnTo>
                              <a:lnTo>
                                <a:pt x="202" y="25"/>
                              </a:lnTo>
                              <a:lnTo>
                                <a:pt x="203" y="25"/>
                              </a:lnTo>
                              <a:lnTo>
                                <a:pt x="204" y="26"/>
                              </a:lnTo>
                              <a:lnTo>
                                <a:pt x="205" y="26"/>
                              </a:lnTo>
                              <a:lnTo>
                                <a:pt x="205" y="26"/>
                              </a:lnTo>
                              <a:lnTo>
                                <a:pt x="205" y="26"/>
                              </a:lnTo>
                              <a:lnTo>
                                <a:pt x="206" y="27"/>
                              </a:lnTo>
                              <a:lnTo>
                                <a:pt x="208" y="27"/>
                              </a:lnTo>
                              <a:lnTo>
                                <a:pt x="209" y="28"/>
                              </a:lnTo>
                              <a:lnTo>
                                <a:pt x="210" y="28"/>
                              </a:lnTo>
                              <a:lnTo>
                                <a:pt x="211" y="29"/>
                              </a:lnTo>
                              <a:lnTo>
                                <a:pt x="213" y="29"/>
                              </a:lnTo>
                              <a:lnTo>
                                <a:pt x="214" y="30"/>
                              </a:lnTo>
                              <a:lnTo>
                                <a:pt x="216" y="30"/>
                              </a:lnTo>
                              <a:lnTo>
                                <a:pt x="217" y="31"/>
                              </a:lnTo>
                              <a:lnTo>
                                <a:pt x="219" y="31"/>
                              </a:lnTo>
                              <a:lnTo>
                                <a:pt x="220" y="32"/>
                              </a:lnTo>
                              <a:lnTo>
                                <a:pt x="222" y="32"/>
                              </a:lnTo>
                              <a:lnTo>
                                <a:pt x="223" y="32"/>
                              </a:lnTo>
                              <a:lnTo>
                                <a:pt x="224" y="32"/>
                              </a:lnTo>
                              <a:lnTo>
                                <a:pt x="225" y="32"/>
                              </a:lnTo>
                              <a:lnTo>
                                <a:pt x="226" y="33"/>
                              </a:lnTo>
                              <a:lnTo>
                                <a:pt x="228" y="33"/>
                              </a:lnTo>
                              <a:lnTo>
                                <a:pt x="229" y="33"/>
                              </a:lnTo>
                              <a:lnTo>
                                <a:pt x="230" y="33"/>
                              </a:lnTo>
                              <a:lnTo>
                                <a:pt x="232" y="33"/>
                              </a:lnTo>
                              <a:lnTo>
                                <a:pt x="233" y="34"/>
                              </a:lnTo>
                              <a:lnTo>
                                <a:pt x="235" y="34"/>
                              </a:lnTo>
                              <a:lnTo>
                                <a:pt x="237" y="34"/>
                              </a:lnTo>
                              <a:lnTo>
                                <a:pt x="238" y="34"/>
                              </a:lnTo>
                              <a:lnTo>
                                <a:pt x="238" y="34"/>
                              </a:lnTo>
                              <a:lnTo>
                                <a:pt x="239" y="34"/>
                              </a:lnTo>
                              <a:lnTo>
                                <a:pt x="240" y="34"/>
                              </a:lnTo>
                              <a:lnTo>
                                <a:pt x="240" y="34"/>
                              </a:lnTo>
                              <a:lnTo>
                                <a:pt x="241" y="34"/>
                              </a:lnTo>
                              <a:lnTo>
                                <a:pt x="242" y="35"/>
                              </a:lnTo>
                              <a:lnTo>
                                <a:pt x="243" y="35"/>
                              </a:lnTo>
                              <a:lnTo>
                                <a:pt x="245" y="35"/>
                              </a:lnTo>
                              <a:lnTo>
                                <a:pt x="246" y="35"/>
                              </a:lnTo>
                              <a:lnTo>
                                <a:pt x="247" y="35"/>
                              </a:lnTo>
                              <a:lnTo>
                                <a:pt x="248" y="35"/>
                              </a:lnTo>
                              <a:lnTo>
                                <a:pt x="249" y="35"/>
                              </a:lnTo>
                              <a:lnTo>
                                <a:pt x="251" y="36"/>
                              </a:lnTo>
                              <a:lnTo>
                                <a:pt x="252" y="36"/>
                              </a:lnTo>
                              <a:lnTo>
                                <a:pt x="253" y="36"/>
                              </a:lnTo>
                              <a:lnTo>
                                <a:pt x="255" y="37"/>
                              </a:lnTo>
                              <a:lnTo>
                                <a:pt x="256" y="37"/>
                              </a:lnTo>
                              <a:lnTo>
                                <a:pt x="259" y="38"/>
                              </a:lnTo>
                              <a:lnTo>
                                <a:pt x="261" y="38"/>
                              </a:lnTo>
                              <a:lnTo>
                                <a:pt x="263" y="38"/>
                              </a:lnTo>
                              <a:lnTo>
                                <a:pt x="264" y="39"/>
                              </a:lnTo>
                              <a:lnTo>
                                <a:pt x="266" y="39"/>
                              </a:lnTo>
                              <a:lnTo>
                                <a:pt x="267" y="39"/>
                              </a:lnTo>
                              <a:lnTo>
                                <a:pt x="269" y="40"/>
                              </a:lnTo>
                              <a:lnTo>
                                <a:pt x="270" y="40"/>
                              </a:lnTo>
                              <a:lnTo>
                                <a:pt x="271" y="40"/>
                              </a:lnTo>
                              <a:lnTo>
                                <a:pt x="273" y="40"/>
                              </a:lnTo>
                              <a:lnTo>
                                <a:pt x="274" y="40"/>
                              </a:lnTo>
                              <a:lnTo>
                                <a:pt x="275" y="41"/>
                              </a:lnTo>
                              <a:lnTo>
                                <a:pt x="276" y="41"/>
                              </a:lnTo>
                              <a:lnTo>
                                <a:pt x="277" y="41"/>
                              </a:lnTo>
                              <a:lnTo>
                                <a:pt x="278" y="41"/>
                              </a:lnTo>
                              <a:lnTo>
                                <a:pt x="280" y="41"/>
                              </a:lnTo>
                              <a:lnTo>
                                <a:pt x="282" y="41"/>
                              </a:lnTo>
                              <a:lnTo>
                                <a:pt x="284" y="41"/>
                              </a:lnTo>
                              <a:lnTo>
                                <a:pt x="287" y="41"/>
                              </a:lnTo>
                              <a:lnTo>
                                <a:pt x="290" y="42"/>
                              </a:lnTo>
                              <a:lnTo>
                                <a:pt x="294" y="42"/>
                              </a:lnTo>
                              <a:lnTo>
                                <a:pt x="300" y="42"/>
                              </a:lnTo>
                              <a:lnTo>
                                <a:pt x="305" y="43"/>
                              </a:lnTo>
                              <a:lnTo>
                                <a:pt x="307" y="43"/>
                              </a:lnTo>
                              <a:lnTo>
                                <a:pt x="308" y="43"/>
                              </a:lnTo>
                              <a:lnTo>
                                <a:pt x="310" y="43"/>
                              </a:lnTo>
                              <a:lnTo>
                                <a:pt x="311" y="43"/>
                              </a:lnTo>
                              <a:lnTo>
                                <a:pt x="313" y="43"/>
                              </a:lnTo>
                              <a:lnTo>
                                <a:pt x="318" y="43"/>
                              </a:lnTo>
                              <a:lnTo>
                                <a:pt x="322" y="44"/>
                              </a:lnTo>
                              <a:lnTo>
                                <a:pt x="326" y="44"/>
                              </a:lnTo>
                              <a:lnTo>
                                <a:pt x="333" y="44"/>
                              </a:lnTo>
                              <a:lnTo>
                                <a:pt x="339" y="45"/>
                              </a:lnTo>
                              <a:lnTo>
                                <a:pt x="341" y="45"/>
                              </a:lnTo>
                              <a:lnTo>
                                <a:pt x="342" y="45"/>
                              </a:lnTo>
                              <a:lnTo>
                                <a:pt x="343" y="45"/>
                              </a:lnTo>
                              <a:lnTo>
                                <a:pt x="344" y="45"/>
                              </a:lnTo>
                              <a:lnTo>
                                <a:pt x="346" y="45"/>
                              </a:lnTo>
                              <a:lnTo>
                                <a:pt x="349" y="45"/>
                              </a:lnTo>
                              <a:lnTo>
                                <a:pt x="352" y="45"/>
                              </a:lnTo>
                              <a:lnTo>
                                <a:pt x="356" y="46"/>
                              </a:lnTo>
                              <a:lnTo>
                                <a:pt x="360" y="46"/>
                              </a:lnTo>
                              <a:lnTo>
                                <a:pt x="365" y="46"/>
                              </a:lnTo>
                              <a:lnTo>
                                <a:pt x="370" y="47"/>
                              </a:lnTo>
                              <a:lnTo>
                                <a:pt x="374" y="47"/>
                              </a:lnTo>
                              <a:lnTo>
                                <a:pt x="376" y="47"/>
                              </a:lnTo>
                              <a:lnTo>
                                <a:pt x="377" y="47"/>
                              </a:lnTo>
                              <a:lnTo>
                                <a:pt x="378" y="47"/>
                              </a:lnTo>
                              <a:lnTo>
                                <a:pt x="379" y="47"/>
                              </a:lnTo>
                              <a:lnTo>
                                <a:pt x="380" y="47"/>
                              </a:lnTo>
                              <a:lnTo>
                                <a:pt x="380" y="47"/>
                              </a:lnTo>
                              <a:lnTo>
                                <a:pt x="382" y="47"/>
                              </a:lnTo>
                              <a:lnTo>
                                <a:pt x="386" y="48"/>
                              </a:lnTo>
                              <a:lnTo>
                                <a:pt x="389" y="48"/>
                              </a:lnTo>
                              <a:lnTo>
                                <a:pt x="393" y="48"/>
                              </a:lnTo>
                              <a:lnTo>
                                <a:pt x="396" y="48"/>
                              </a:lnTo>
                              <a:lnTo>
                                <a:pt x="400" y="49"/>
                              </a:lnTo>
                              <a:lnTo>
                                <a:pt x="404" y="49"/>
                              </a:lnTo>
                              <a:lnTo>
                                <a:pt x="407" y="49"/>
                              </a:lnTo>
                              <a:lnTo>
                                <a:pt x="410" y="49"/>
                              </a:lnTo>
                              <a:lnTo>
                                <a:pt x="411" y="49"/>
                              </a:lnTo>
                              <a:lnTo>
                                <a:pt x="412" y="49"/>
                              </a:lnTo>
                              <a:lnTo>
                                <a:pt x="413" y="49"/>
                              </a:lnTo>
                              <a:lnTo>
                                <a:pt x="414" y="49"/>
                              </a:lnTo>
                              <a:lnTo>
                                <a:pt x="414" y="49"/>
                              </a:lnTo>
                              <a:lnTo>
                                <a:pt x="415" y="50"/>
                              </a:lnTo>
                              <a:lnTo>
                                <a:pt x="417" y="50"/>
                              </a:lnTo>
                              <a:lnTo>
                                <a:pt x="421" y="50"/>
                              </a:lnTo>
                              <a:lnTo>
                                <a:pt x="425" y="50"/>
                              </a:lnTo>
                              <a:lnTo>
                                <a:pt x="428" y="50"/>
                              </a:lnTo>
                              <a:lnTo>
                                <a:pt x="431" y="50"/>
                              </a:lnTo>
                              <a:lnTo>
                                <a:pt x="434" y="50"/>
                              </a:lnTo>
                              <a:lnTo>
                                <a:pt x="437" y="50"/>
                              </a:lnTo>
                              <a:lnTo>
                                <a:pt x="441" y="51"/>
                              </a:lnTo>
                              <a:lnTo>
                                <a:pt x="445" y="51"/>
                              </a:lnTo>
                              <a:lnTo>
                                <a:pt x="446" y="51"/>
                              </a:lnTo>
                              <a:lnTo>
                                <a:pt x="447" y="51"/>
                              </a:lnTo>
                              <a:lnTo>
                                <a:pt x="448" y="51"/>
                              </a:lnTo>
                              <a:lnTo>
                                <a:pt x="448" y="51"/>
                              </a:lnTo>
                              <a:lnTo>
                                <a:pt x="449" y="51"/>
                              </a:lnTo>
                              <a:lnTo>
                                <a:pt x="451" y="51"/>
                              </a:lnTo>
                              <a:lnTo>
                                <a:pt x="452" y="51"/>
                              </a:lnTo>
                              <a:lnTo>
                                <a:pt x="454" y="51"/>
                              </a:lnTo>
                              <a:lnTo>
                                <a:pt x="457" y="51"/>
                              </a:lnTo>
                              <a:lnTo>
                                <a:pt x="461" y="51"/>
                              </a:lnTo>
                              <a:lnTo>
                                <a:pt x="465" y="51"/>
                              </a:lnTo>
                              <a:lnTo>
                                <a:pt x="470" y="52"/>
                              </a:lnTo>
                              <a:lnTo>
                                <a:pt x="474" y="52"/>
                              </a:lnTo>
                              <a:lnTo>
                                <a:pt x="478" y="52"/>
                              </a:lnTo>
                              <a:lnTo>
                                <a:pt x="480" y="52"/>
                              </a:lnTo>
                              <a:lnTo>
                                <a:pt x="482" y="52"/>
                              </a:lnTo>
                              <a:lnTo>
                                <a:pt x="483" y="52"/>
                              </a:lnTo>
                              <a:lnTo>
                                <a:pt x="484" y="52"/>
                              </a:lnTo>
                              <a:lnTo>
                                <a:pt x="485" y="52"/>
                              </a:lnTo>
                              <a:lnTo>
                                <a:pt x="487" y="52"/>
                              </a:lnTo>
                              <a:lnTo>
                                <a:pt x="490" y="52"/>
                              </a:lnTo>
                              <a:lnTo>
                                <a:pt x="491" y="52"/>
                              </a:lnTo>
                              <a:lnTo>
                                <a:pt x="493" y="52"/>
                              </a:lnTo>
                              <a:lnTo>
                                <a:pt x="496" y="52"/>
                              </a:lnTo>
                              <a:lnTo>
                                <a:pt x="499" y="52"/>
                              </a:lnTo>
                              <a:lnTo>
                                <a:pt x="502" y="52"/>
                              </a:lnTo>
                              <a:lnTo>
                                <a:pt x="506" y="52"/>
                              </a:lnTo>
                              <a:lnTo>
                                <a:pt x="511" y="53"/>
                              </a:lnTo>
                              <a:lnTo>
                                <a:pt x="516" y="53"/>
                              </a:lnTo>
                              <a:lnTo>
                                <a:pt x="518" y="53"/>
                              </a:lnTo>
                              <a:lnTo>
                                <a:pt x="519" y="53"/>
                              </a:lnTo>
                              <a:lnTo>
                                <a:pt x="519" y="53"/>
                              </a:lnTo>
                              <a:lnTo>
                                <a:pt x="521" y="53"/>
                              </a:lnTo>
                              <a:lnTo>
                                <a:pt x="523" y="53"/>
                              </a:lnTo>
                              <a:lnTo>
                                <a:pt x="524" y="53"/>
                              </a:lnTo>
                              <a:lnTo>
                                <a:pt x="526" y="53"/>
                              </a:lnTo>
                              <a:lnTo>
                                <a:pt x="529" y="53"/>
                              </a:lnTo>
                              <a:lnTo>
                                <a:pt x="533" y="53"/>
                              </a:lnTo>
                              <a:lnTo>
                                <a:pt x="538" y="53"/>
                              </a:lnTo>
                              <a:lnTo>
                                <a:pt x="542" y="53"/>
                              </a:lnTo>
                              <a:lnTo>
                                <a:pt x="546" y="53"/>
                              </a:lnTo>
                              <a:lnTo>
                                <a:pt x="549" y="53"/>
                              </a:lnTo>
                              <a:lnTo>
                                <a:pt x="551" y="53"/>
                              </a:lnTo>
                              <a:lnTo>
                                <a:pt x="553" y="53"/>
                              </a:lnTo>
                              <a:lnTo>
                                <a:pt x="554" y="53"/>
                              </a:lnTo>
                              <a:lnTo>
                                <a:pt x="556" y="53"/>
                              </a:lnTo>
                              <a:lnTo>
                                <a:pt x="558" y="53"/>
                              </a:lnTo>
                              <a:lnTo>
                                <a:pt x="560" y="53"/>
                              </a:lnTo>
                              <a:lnTo>
                                <a:pt x="565" y="53"/>
                              </a:lnTo>
                              <a:lnTo>
                                <a:pt x="571" y="53"/>
                              </a:lnTo>
                              <a:lnTo>
                                <a:pt x="579" y="54"/>
                              </a:lnTo>
                              <a:lnTo>
                                <a:pt x="584" y="54"/>
                              </a:lnTo>
                              <a:lnTo>
                                <a:pt x="587" y="54"/>
                              </a:lnTo>
                              <a:lnTo>
                                <a:pt x="589" y="54"/>
                              </a:lnTo>
                              <a:lnTo>
                                <a:pt x="590" y="54"/>
                              </a:lnTo>
                              <a:lnTo>
                                <a:pt x="592" y="54"/>
                              </a:lnTo>
                              <a:lnTo>
                                <a:pt x="595" y="54"/>
                              </a:lnTo>
                              <a:lnTo>
                                <a:pt x="597" y="54"/>
                              </a:lnTo>
                              <a:lnTo>
                                <a:pt x="599" y="54"/>
                              </a:lnTo>
                              <a:lnTo>
                                <a:pt x="602" y="54"/>
                              </a:lnTo>
                              <a:lnTo>
                                <a:pt x="605" y="54"/>
                              </a:lnTo>
                              <a:lnTo>
                                <a:pt x="609" y="54"/>
                              </a:lnTo>
                              <a:lnTo>
                                <a:pt x="613" y="54"/>
                              </a:lnTo>
                              <a:lnTo>
                                <a:pt x="617" y="54"/>
                              </a:lnTo>
                              <a:lnTo>
                                <a:pt x="621" y="54"/>
                              </a:lnTo>
                              <a:lnTo>
                                <a:pt x="622" y="54"/>
                              </a:lnTo>
                              <a:lnTo>
                                <a:pt x="624" y="54"/>
                              </a:lnTo>
                              <a:lnTo>
                                <a:pt x="625" y="54"/>
                              </a:lnTo>
                              <a:lnTo>
                                <a:pt x="626" y="54"/>
                              </a:lnTo>
                              <a:lnTo>
                                <a:pt x="628" y="54"/>
                              </a:lnTo>
                              <a:lnTo>
                                <a:pt x="630" y="54"/>
                              </a:lnTo>
                              <a:lnTo>
                                <a:pt x="632" y="54"/>
                              </a:lnTo>
                              <a:lnTo>
                                <a:pt x="634" y="54"/>
                              </a:lnTo>
                              <a:lnTo>
                                <a:pt x="637" y="54"/>
                              </a:lnTo>
                              <a:lnTo>
                                <a:pt x="640" y="54"/>
                              </a:lnTo>
                              <a:lnTo>
                                <a:pt x="643" y="54"/>
                              </a:lnTo>
                              <a:lnTo>
                                <a:pt x="647" y="54"/>
                              </a:lnTo>
                              <a:lnTo>
                                <a:pt x="651" y="54"/>
                              </a:lnTo>
                              <a:lnTo>
                                <a:pt x="655" y="54"/>
                              </a:lnTo>
                              <a:lnTo>
                                <a:pt x="657" y="54"/>
                              </a:lnTo>
                              <a:lnTo>
                                <a:pt x="659" y="54"/>
                              </a:lnTo>
                              <a:lnTo>
                                <a:pt x="662" y="54"/>
                              </a:lnTo>
                              <a:lnTo>
                                <a:pt x="667" y="54"/>
                              </a:lnTo>
                              <a:lnTo>
                                <a:pt x="672" y="55"/>
                              </a:lnTo>
                              <a:lnTo>
                                <a:pt x="676" y="55"/>
                              </a:lnTo>
                              <a:lnTo>
                                <a:pt x="679" y="55"/>
                              </a:lnTo>
                              <a:lnTo>
                                <a:pt x="683" y="55"/>
                              </a:lnTo>
                              <a:lnTo>
                                <a:pt x="687" y="55"/>
                              </a:lnTo>
                              <a:lnTo>
                                <a:pt x="691" y="55"/>
                              </a:lnTo>
                              <a:lnTo>
                                <a:pt x="695" y="55"/>
                              </a:lnTo>
                              <a:lnTo>
                                <a:pt x="700" y="55"/>
                              </a:lnTo>
                              <a:lnTo>
                                <a:pt x="704" y="55"/>
                              </a:lnTo>
                              <a:lnTo>
                                <a:pt x="708" y="55"/>
                              </a:lnTo>
                              <a:lnTo>
                                <a:pt x="711" y="55"/>
                              </a:lnTo>
                              <a:lnTo>
                                <a:pt x="715" y="55"/>
                              </a:lnTo>
                              <a:lnTo>
                                <a:pt x="719" y="55"/>
                              </a:lnTo>
                              <a:lnTo>
                                <a:pt x="723" y="55"/>
                              </a:lnTo>
                              <a:lnTo>
                                <a:pt x="726" y="55"/>
                              </a:lnTo>
                              <a:lnTo>
                                <a:pt x="728" y="55"/>
                              </a:lnTo>
                              <a:lnTo>
                                <a:pt x="731" y="55"/>
                              </a:lnTo>
                              <a:lnTo>
                                <a:pt x="734" y="55"/>
                              </a:lnTo>
                              <a:lnTo>
                                <a:pt x="737" y="55"/>
                              </a:lnTo>
                              <a:lnTo>
                                <a:pt x="742" y="55"/>
                              </a:lnTo>
                              <a:lnTo>
                                <a:pt x="749" y="55"/>
                              </a:lnTo>
                              <a:lnTo>
                                <a:pt x="754" y="55"/>
                              </a:lnTo>
                              <a:lnTo>
                                <a:pt x="758" y="55"/>
                              </a:lnTo>
                              <a:lnTo>
                                <a:pt x="761" y="55"/>
                              </a:lnTo>
                              <a:lnTo>
                                <a:pt x="764" y="55"/>
                              </a:lnTo>
                              <a:lnTo>
                                <a:pt x="767" y="55"/>
                              </a:lnTo>
                              <a:lnTo>
                                <a:pt x="769" y="55"/>
                              </a:lnTo>
                              <a:lnTo>
                                <a:pt x="772" y="55"/>
                              </a:lnTo>
                              <a:lnTo>
                                <a:pt x="774" y="55"/>
                              </a:lnTo>
                              <a:lnTo>
                                <a:pt x="776" y="55"/>
                              </a:lnTo>
                              <a:lnTo>
                                <a:pt x="780" y="55"/>
                              </a:lnTo>
                              <a:lnTo>
                                <a:pt x="785" y="55"/>
                              </a:lnTo>
                              <a:lnTo>
                                <a:pt x="791" y="55"/>
                              </a:lnTo>
                              <a:lnTo>
                                <a:pt x="797" y="55"/>
                              </a:lnTo>
                              <a:lnTo>
                                <a:pt x="800" y="55"/>
                              </a:lnTo>
                              <a:lnTo>
                                <a:pt x="804" y="55"/>
                              </a:lnTo>
                              <a:lnTo>
                                <a:pt x="809" y="55"/>
                              </a:lnTo>
                              <a:lnTo>
                                <a:pt x="816" y="55"/>
                              </a:lnTo>
                              <a:lnTo>
                                <a:pt x="823" y="55"/>
                              </a:lnTo>
                              <a:lnTo>
                                <a:pt x="829" y="55"/>
                              </a:lnTo>
                              <a:lnTo>
                                <a:pt x="834" y="55"/>
                              </a:lnTo>
                              <a:lnTo>
                                <a:pt x="840" y="55"/>
                              </a:lnTo>
                              <a:lnTo>
                                <a:pt x="846" y="55"/>
                              </a:lnTo>
                              <a:lnTo>
                                <a:pt x="850" y="56"/>
                              </a:lnTo>
                              <a:lnTo>
                                <a:pt x="854" y="56"/>
                              </a:lnTo>
                              <a:lnTo>
                                <a:pt x="860" y="56"/>
                              </a:lnTo>
                              <a:lnTo>
                                <a:pt x="864" y="56"/>
                              </a:lnTo>
                              <a:lnTo>
                                <a:pt x="868" y="56"/>
                              </a:lnTo>
                              <a:lnTo>
                                <a:pt x="871" y="56"/>
                              </a:lnTo>
                              <a:lnTo>
                                <a:pt x="873" y="56"/>
                              </a:lnTo>
                              <a:lnTo>
                                <a:pt x="876" y="56"/>
                              </a:lnTo>
                              <a:lnTo>
                                <a:pt x="878" y="56"/>
                              </a:lnTo>
                              <a:lnTo>
                                <a:pt x="881" y="56"/>
                              </a:lnTo>
                              <a:lnTo>
                                <a:pt x="884" y="56"/>
                              </a:lnTo>
                              <a:lnTo>
                                <a:pt x="888" y="56"/>
                              </a:lnTo>
                              <a:lnTo>
                                <a:pt x="892" y="56"/>
                              </a:lnTo>
                              <a:lnTo>
                                <a:pt x="897" y="56"/>
                              </a:lnTo>
                              <a:lnTo>
                                <a:pt x="901" y="56"/>
                              </a:lnTo>
                              <a:lnTo>
                                <a:pt x="904" y="56"/>
                              </a:lnTo>
                              <a:lnTo>
                                <a:pt x="906" y="56"/>
                              </a:lnTo>
                              <a:lnTo>
                                <a:pt x="909" y="56"/>
                              </a:lnTo>
                              <a:lnTo>
                                <a:pt x="912" y="56"/>
                              </a:lnTo>
                              <a:lnTo>
                                <a:pt x="914" y="56"/>
                              </a:lnTo>
                              <a:lnTo>
                                <a:pt x="918" y="56"/>
                              </a:lnTo>
                              <a:lnTo>
                                <a:pt x="921" y="56"/>
                              </a:lnTo>
                              <a:lnTo>
                                <a:pt x="925" y="56"/>
                              </a:lnTo>
                              <a:lnTo>
                                <a:pt x="930" y="56"/>
                              </a:lnTo>
                              <a:lnTo>
                                <a:pt x="936" y="56"/>
                              </a:lnTo>
                              <a:lnTo>
                                <a:pt x="943" y="56"/>
                              </a:lnTo>
                              <a:lnTo>
                                <a:pt x="949" y="56"/>
                              </a:lnTo>
                              <a:lnTo>
                                <a:pt x="956" y="56"/>
                              </a:lnTo>
                              <a:lnTo>
                                <a:pt x="963" y="56"/>
                              </a:lnTo>
                              <a:lnTo>
                                <a:pt x="970" y="56"/>
                              </a:lnTo>
                              <a:lnTo>
                                <a:pt x="978" y="56"/>
                              </a:lnTo>
                              <a:lnTo>
                                <a:pt x="986" y="56"/>
                              </a:lnTo>
                              <a:lnTo>
                                <a:pt x="992" y="56"/>
                              </a:lnTo>
                              <a:lnTo>
                                <a:pt x="997" y="56"/>
                              </a:lnTo>
                              <a:lnTo>
                                <a:pt x="1004" y="56"/>
                              </a:lnTo>
                              <a:lnTo>
                                <a:pt x="1011" y="56"/>
                              </a:lnTo>
                              <a:lnTo>
                                <a:pt x="1018" y="56"/>
                              </a:lnTo>
                              <a:lnTo>
                                <a:pt x="1024" y="56"/>
                              </a:lnTo>
                              <a:lnTo>
                                <a:pt x="1029" y="56"/>
                              </a:lnTo>
                              <a:lnTo>
                                <a:pt x="1035" y="56"/>
                              </a:lnTo>
                              <a:lnTo>
                                <a:pt x="1041" y="56"/>
                              </a:lnTo>
                              <a:lnTo>
                                <a:pt x="1045" y="56"/>
                              </a:lnTo>
                              <a:lnTo>
                                <a:pt x="1050" y="56"/>
                              </a:lnTo>
                              <a:lnTo>
                                <a:pt x="1054" y="56"/>
                              </a:lnTo>
                              <a:lnTo>
                                <a:pt x="1058" y="56"/>
                              </a:lnTo>
                              <a:lnTo>
                                <a:pt x="1064" y="56"/>
                              </a:lnTo>
                              <a:lnTo>
                                <a:pt x="1069" y="56"/>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37" name="Freeform 161"/>
                        <a:cNvSpPr>
                          <a:spLocks/>
                        </a:cNvSpPr>
                      </a:nvSpPr>
                      <a:spPr bwMode="auto">
                        <a:xfrm>
                          <a:off x="6626323" y="7335153"/>
                          <a:ext cx="1947667" cy="69623"/>
                        </a:xfrm>
                        <a:custGeom>
                          <a:avLst/>
                          <a:gdLst/>
                          <a:ahLst/>
                          <a:cxnLst>
                            <a:cxn ang="0">
                              <a:pos x="27" y="34"/>
                            </a:cxn>
                            <a:cxn ang="0">
                              <a:pos x="54" y="34"/>
                            </a:cxn>
                            <a:cxn ang="0">
                              <a:pos x="89" y="34"/>
                            </a:cxn>
                            <a:cxn ang="0">
                              <a:pos x="114" y="34"/>
                            </a:cxn>
                            <a:cxn ang="0">
                              <a:pos x="129" y="34"/>
                            </a:cxn>
                            <a:cxn ang="0">
                              <a:pos x="147" y="34"/>
                            </a:cxn>
                            <a:cxn ang="0">
                              <a:pos x="159" y="33"/>
                            </a:cxn>
                            <a:cxn ang="0">
                              <a:pos x="179" y="32"/>
                            </a:cxn>
                            <a:cxn ang="0">
                              <a:pos x="196" y="32"/>
                            </a:cxn>
                            <a:cxn ang="0">
                              <a:pos x="218" y="32"/>
                            </a:cxn>
                            <a:cxn ang="0">
                              <a:pos x="241" y="31"/>
                            </a:cxn>
                            <a:cxn ang="0">
                              <a:pos x="262" y="31"/>
                            </a:cxn>
                            <a:cxn ang="0">
                              <a:pos x="290" y="30"/>
                            </a:cxn>
                            <a:cxn ang="0">
                              <a:pos x="316" y="30"/>
                            </a:cxn>
                            <a:cxn ang="0">
                              <a:pos x="352" y="30"/>
                            </a:cxn>
                            <a:cxn ang="0">
                              <a:pos x="384" y="30"/>
                            </a:cxn>
                            <a:cxn ang="0">
                              <a:pos x="414" y="30"/>
                            </a:cxn>
                            <a:cxn ang="0">
                              <a:pos x="450" y="30"/>
                            </a:cxn>
                            <a:cxn ang="0">
                              <a:pos x="489" y="30"/>
                            </a:cxn>
                            <a:cxn ang="0">
                              <a:pos x="524" y="31"/>
                            </a:cxn>
                            <a:cxn ang="0">
                              <a:pos x="559" y="31"/>
                            </a:cxn>
                            <a:cxn ang="0">
                              <a:pos x="595" y="31"/>
                            </a:cxn>
                            <a:cxn ang="0">
                              <a:pos x="631" y="31"/>
                            </a:cxn>
                            <a:cxn ang="0">
                              <a:pos x="648" y="31"/>
                            </a:cxn>
                            <a:cxn ang="0">
                              <a:pos x="660" y="31"/>
                            </a:cxn>
                            <a:cxn ang="0">
                              <a:pos x="668" y="30"/>
                            </a:cxn>
                            <a:cxn ang="0">
                              <a:pos x="672" y="30"/>
                            </a:cxn>
                            <a:cxn ang="0">
                              <a:pos x="679" y="29"/>
                            </a:cxn>
                            <a:cxn ang="0">
                              <a:pos x="686" y="28"/>
                            </a:cxn>
                            <a:cxn ang="0">
                              <a:pos x="692" y="26"/>
                            </a:cxn>
                            <a:cxn ang="0">
                              <a:pos x="697" y="24"/>
                            </a:cxn>
                            <a:cxn ang="0">
                              <a:pos x="703" y="22"/>
                            </a:cxn>
                            <a:cxn ang="0">
                              <a:pos x="706" y="21"/>
                            </a:cxn>
                            <a:cxn ang="0">
                              <a:pos x="714" y="16"/>
                            </a:cxn>
                            <a:cxn ang="0">
                              <a:pos x="731" y="7"/>
                            </a:cxn>
                            <a:cxn ang="0">
                              <a:pos x="740" y="3"/>
                            </a:cxn>
                            <a:cxn ang="0">
                              <a:pos x="748" y="1"/>
                            </a:cxn>
                            <a:cxn ang="0">
                              <a:pos x="758" y="0"/>
                            </a:cxn>
                            <a:cxn ang="0">
                              <a:pos x="768" y="1"/>
                            </a:cxn>
                            <a:cxn ang="0">
                              <a:pos x="775" y="4"/>
                            </a:cxn>
                            <a:cxn ang="0">
                              <a:pos x="788" y="8"/>
                            </a:cxn>
                            <a:cxn ang="0">
                              <a:pos x="808" y="17"/>
                            </a:cxn>
                            <a:cxn ang="0">
                              <a:pos x="812" y="18"/>
                            </a:cxn>
                            <a:cxn ang="0">
                              <a:pos x="824" y="23"/>
                            </a:cxn>
                            <a:cxn ang="0">
                              <a:pos x="834" y="25"/>
                            </a:cxn>
                            <a:cxn ang="0">
                              <a:pos x="843" y="28"/>
                            </a:cxn>
                            <a:cxn ang="0">
                              <a:pos x="847" y="28"/>
                            </a:cxn>
                            <a:cxn ang="0">
                              <a:pos x="858" y="30"/>
                            </a:cxn>
                            <a:cxn ang="0">
                              <a:pos x="868" y="32"/>
                            </a:cxn>
                            <a:cxn ang="0">
                              <a:pos x="879" y="33"/>
                            </a:cxn>
                            <a:cxn ang="0">
                              <a:pos x="886" y="34"/>
                            </a:cxn>
                            <a:cxn ang="0">
                              <a:pos x="898" y="34"/>
                            </a:cxn>
                            <a:cxn ang="0">
                              <a:pos x="913" y="35"/>
                            </a:cxn>
                            <a:cxn ang="0">
                              <a:pos x="922" y="36"/>
                            </a:cxn>
                            <a:cxn ang="0">
                              <a:pos x="944" y="36"/>
                            </a:cxn>
                            <a:cxn ang="0">
                              <a:pos x="959" y="37"/>
                            </a:cxn>
                            <a:cxn ang="0">
                              <a:pos x="983" y="37"/>
                            </a:cxn>
                            <a:cxn ang="0">
                              <a:pos x="1002" y="37"/>
                            </a:cxn>
                            <a:cxn ang="0">
                              <a:pos x="1031" y="37"/>
                            </a:cxn>
                            <a:cxn ang="0">
                              <a:pos x="1057" y="37"/>
                            </a:cxn>
                            <a:cxn ang="0">
                              <a:pos x="1076" y="37"/>
                            </a:cxn>
                            <a:cxn ang="0">
                              <a:pos x="1110" y="37"/>
                            </a:cxn>
                            <a:cxn ang="0">
                              <a:pos x="1137" y="37"/>
                            </a:cxn>
                          </a:cxnLst>
                          <a:rect l="0" t="0" r="r" b="b"/>
                          <a:pathLst>
                            <a:path w="1149" h="37">
                              <a:moveTo>
                                <a:pt x="0" y="34"/>
                              </a:moveTo>
                              <a:lnTo>
                                <a:pt x="5" y="34"/>
                              </a:lnTo>
                              <a:lnTo>
                                <a:pt x="10" y="34"/>
                              </a:lnTo>
                              <a:lnTo>
                                <a:pt x="14" y="34"/>
                              </a:lnTo>
                              <a:lnTo>
                                <a:pt x="17" y="34"/>
                              </a:lnTo>
                              <a:lnTo>
                                <a:pt x="20" y="34"/>
                              </a:lnTo>
                              <a:lnTo>
                                <a:pt x="23" y="34"/>
                              </a:lnTo>
                              <a:lnTo>
                                <a:pt x="27" y="34"/>
                              </a:lnTo>
                              <a:lnTo>
                                <a:pt x="30" y="34"/>
                              </a:lnTo>
                              <a:lnTo>
                                <a:pt x="33" y="34"/>
                              </a:lnTo>
                              <a:lnTo>
                                <a:pt x="37" y="34"/>
                              </a:lnTo>
                              <a:lnTo>
                                <a:pt x="40" y="34"/>
                              </a:lnTo>
                              <a:lnTo>
                                <a:pt x="44" y="34"/>
                              </a:lnTo>
                              <a:lnTo>
                                <a:pt x="48" y="34"/>
                              </a:lnTo>
                              <a:lnTo>
                                <a:pt x="51" y="34"/>
                              </a:lnTo>
                              <a:lnTo>
                                <a:pt x="54" y="34"/>
                              </a:lnTo>
                              <a:lnTo>
                                <a:pt x="57" y="34"/>
                              </a:lnTo>
                              <a:lnTo>
                                <a:pt x="62" y="34"/>
                              </a:lnTo>
                              <a:lnTo>
                                <a:pt x="67" y="34"/>
                              </a:lnTo>
                              <a:lnTo>
                                <a:pt x="72" y="34"/>
                              </a:lnTo>
                              <a:lnTo>
                                <a:pt x="76" y="34"/>
                              </a:lnTo>
                              <a:lnTo>
                                <a:pt x="80" y="34"/>
                              </a:lnTo>
                              <a:lnTo>
                                <a:pt x="85" y="34"/>
                              </a:lnTo>
                              <a:lnTo>
                                <a:pt x="89" y="34"/>
                              </a:lnTo>
                              <a:lnTo>
                                <a:pt x="93" y="34"/>
                              </a:lnTo>
                              <a:lnTo>
                                <a:pt x="98" y="34"/>
                              </a:lnTo>
                              <a:lnTo>
                                <a:pt x="102" y="34"/>
                              </a:lnTo>
                              <a:lnTo>
                                <a:pt x="105" y="34"/>
                              </a:lnTo>
                              <a:lnTo>
                                <a:pt x="108" y="34"/>
                              </a:lnTo>
                              <a:lnTo>
                                <a:pt x="110" y="34"/>
                              </a:lnTo>
                              <a:lnTo>
                                <a:pt x="112" y="34"/>
                              </a:lnTo>
                              <a:lnTo>
                                <a:pt x="114" y="34"/>
                              </a:lnTo>
                              <a:lnTo>
                                <a:pt x="115" y="34"/>
                              </a:lnTo>
                              <a:lnTo>
                                <a:pt x="116" y="34"/>
                              </a:lnTo>
                              <a:lnTo>
                                <a:pt x="118" y="34"/>
                              </a:lnTo>
                              <a:lnTo>
                                <a:pt x="120" y="34"/>
                              </a:lnTo>
                              <a:lnTo>
                                <a:pt x="121" y="34"/>
                              </a:lnTo>
                              <a:lnTo>
                                <a:pt x="123" y="34"/>
                              </a:lnTo>
                              <a:lnTo>
                                <a:pt x="126" y="34"/>
                              </a:lnTo>
                              <a:lnTo>
                                <a:pt x="129" y="34"/>
                              </a:lnTo>
                              <a:lnTo>
                                <a:pt x="132" y="34"/>
                              </a:lnTo>
                              <a:lnTo>
                                <a:pt x="135" y="34"/>
                              </a:lnTo>
                              <a:lnTo>
                                <a:pt x="137" y="34"/>
                              </a:lnTo>
                              <a:lnTo>
                                <a:pt x="139" y="34"/>
                              </a:lnTo>
                              <a:lnTo>
                                <a:pt x="142" y="34"/>
                              </a:lnTo>
                              <a:lnTo>
                                <a:pt x="144" y="34"/>
                              </a:lnTo>
                              <a:lnTo>
                                <a:pt x="145" y="34"/>
                              </a:lnTo>
                              <a:lnTo>
                                <a:pt x="147" y="34"/>
                              </a:lnTo>
                              <a:lnTo>
                                <a:pt x="148" y="34"/>
                              </a:lnTo>
                              <a:lnTo>
                                <a:pt x="148" y="34"/>
                              </a:lnTo>
                              <a:lnTo>
                                <a:pt x="149" y="34"/>
                              </a:lnTo>
                              <a:lnTo>
                                <a:pt x="150" y="34"/>
                              </a:lnTo>
                              <a:lnTo>
                                <a:pt x="152" y="34"/>
                              </a:lnTo>
                              <a:lnTo>
                                <a:pt x="155" y="33"/>
                              </a:lnTo>
                              <a:lnTo>
                                <a:pt x="157" y="33"/>
                              </a:lnTo>
                              <a:lnTo>
                                <a:pt x="159" y="33"/>
                              </a:lnTo>
                              <a:lnTo>
                                <a:pt x="161" y="33"/>
                              </a:lnTo>
                              <a:lnTo>
                                <a:pt x="163" y="33"/>
                              </a:lnTo>
                              <a:lnTo>
                                <a:pt x="166" y="33"/>
                              </a:lnTo>
                              <a:lnTo>
                                <a:pt x="169" y="33"/>
                              </a:lnTo>
                              <a:lnTo>
                                <a:pt x="172" y="33"/>
                              </a:lnTo>
                              <a:lnTo>
                                <a:pt x="174" y="33"/>
                              </a:lnTo>
                              <a:lnTo>
                                <a:pt x="177" y="33"/>
                              </a:lnTo>
                              <a:lnTo>
                                <a:pt x="179" y="32"/>
                              </a:lnTo>
                              <a:lnTo>
                                <a:pt x="181" y="32"/>
                              </a:lnTo>
                              <a:lnTo>
                                <a:pt x="182" y="32"/>
                              </a:lnTo>
                              <a:lnTo>
                                <a:pt x="183" y="32"/>
                              </a:lnTo>
                              <a:lnTo>
                                <a:pt x="184" y="32"/>
                              </a:lnTo>
                              <a:lnTo>
                                <a:pt x="186" y="32"/>
                              </a:lnTo>
                              <a:lnTo>
                                <a:pt x="189" y="32"/>
                              </a:lnTo>
                              <a:lnTo>
                                <a:pt x="193" y="32"/>
                              </a:lnTo>
                              <a:lnTo>
                                <a:pt x="196" y="32"/>
                              </a:lnTo>
                              <a:lnTo>
                                <a:pt x="199" y="32"/>
                              </a:lnTo>
                              <a:lnTo>
                                <a:pt x="203" y="32"/>
                              </a:lnTo>
                              <a:lnTo>
                                <a:pt x="206" y="32"/>
                              </a:lnTo>
                              <a:lnTo>
                                <a:pt x="210" y="32"/>
                              </a:lnTo>
                              <a:lnTo>
                                <a:pt x="213" y="32"/>
                              </a:lnTo>
                              <a:lnTo>
                                <a:pt x="215" y="32"/>
                              </a:lnTo>
                              <a:lnTo>
                                <a:pt x="217" y="32"/>
                              </a:lnTo>
                              <a:lnTo>
                                <a:pt x="218" y="32"/>
                              </a:lnTo>
                              <a:lnTo>
                                <a:pt x="219" y="32"/>
                              </a:lnTo>
                              <a:lnTo>
                                <a:pt x="220" y="31"/>
                              </a:lnTo>
                              <a:lnTo>
                                <a:pt x="222" y="31"/>
                              </a:lnTo>
                              <a:lnTo>
                                <a:pt x="224" y="31"/>
                              </a:lnTo>
                              <a:lnTo>
                                <a:pt x="228" y="31"/>
                              </a:lnTo>
                              <a:lnTo>
                                <a:pt x="231" y="31"/>
                              </a:lnTo>
                              <a:lnTo>
                                <a:pt x="235" y="31"/>
                              </a:lnTo>
                              <a:lnTo>
                                <a:pt x="241" y="31"/>
                              </a:lnTo>
                              <a:lnTo>
                                <a:pt x="246" y="31"/>
                              </a:lnTo>
                              <a:lnTo>
                                <a:pt x="250" y="31"/>
                              </a:lnTo>
                              <a:lnTo>
                                <a:pt x="251" y="31"/>
                              </a:lnTo>
                              <a:lnTo>
                                <a:pt x="252" y="31"/>
                              </a:lnTo>
                              <a:lnTo>
                                <a:pt x="253" y="31"/>
                              </a:lnTo>
                              <a:lnTo>
                                <a:pt x="255" y="31"/>
                              </a:lnTo>
                              <a:lnTo>
                                <a:pt x="258" y="31"/>
                              </a:lnTo>
                              <a:lnTo>
                                <a:pt x="262" y="31"/>
                              </a:lnTo>
                              <a:lnTo>
                                <a:pt x="266" y="30"/>
                              </a:lnTo>
                              <a:lnTo>
                                <a:pt x="271" y="30"/>
                              </a:lnTo>
                              <a:lnTo>
                                <a:pt x="276" y="30"/>
                              </a:lnTo>
                              <a:lnTo>
                                <a:pt x="280" y="30"/>
                              </a:lnTo>
                              <a:lnTo>
                                <a:pt x="284" y="30"/>
                              </a:lnTo>
                              <a:lnTo>
                                <a:pt x="286" y="30"/>
                              </a:lnTo>
                              <a:lnTo>
                                <a:pt x="288" y="30"/>
                              </a:lnTo>
                              <a:lnTo>
                                <a:pt x="290" y="30"/>
                              </a:lnTo>
                              <a:lnTo>
                                <a:pt x="291" y="30"/>
                              </a:lnTo>
                              <a:lnTo>
                                <a:pt x="294" y="30"/>
                              </a:lnTo>
                              <a:lnTo>
                                <a:pt x="297" y="30"/>
                              </a:lnTo>
                              <a:lnTo>
                                <a:pt x="302" y="30"/>
                              </a:lnTo>
                              <a:lnTo>
                                <a:pt x="305" y="30"/>
                              </a:lnTo>
                              <a:lnTo>
                                <a:pt x="308" y="30"/>
                              </a:lnTo>
                              <a:lnTo>
                                <a:pt x="311" y="30"/>
                              </a:lnTo>
                              <a:lnTo>
                                <a:pt x="316" y="30"/>
                              </a:lnTo>
                              <a:lnTo>
                                <a:pt x="321" y="30"/>
                              </a:lnTo>
                              <a:lnTo>
                                <a:pt x="325" y="30"/>
                              </a:lnTo>
                              <a:lnTo>
                                <a:pt x="329" y="30"/>
                              </a:lnTo>
                              <a:lnTo>
                                <a:pt x="333" y="30"/>
                              </a:lnTo>
                              <a:lnTo>
                                <a:pt x="336" y="30"/>
                              </a:lnTo>
                              <a:lnTo>
                                <a:pt x="340" y="30"/>
                              </a:lnTo>
                              <a:lnTo>
                                <a:pt x="345" y="30"/>
                              </a:lnTo>
                              <a:lnTo>
                                <a:pt x="352" y="30"/>
                              </a:lnTo>
                              <a:lnTo>
                                <a:pt x="357" y="30"/>
                              </a:lnTo>
                              <a:lnTo>
                                <a:pt x="360" y="30"/>
                              </a:lnTo>
                              <a:lnTo>
                                <a:pt x="363" y="30"/>
                              </a:lnTo>
                              <a:lnTo>
                                <a:pt x="366" y="30"/>
                              </a:lnTo>
                              <a:lnTo>
                                <a:pt x="370" y="30"/>
                              </a:lnTo>
                              <a:lnTo>
                                <a:pt x="374" y="30"/>
                              </a:lnTo>
                              <a:lnTo>
                                <a:pt x="379" y="30"/>
                              </a:lnTo>
                              <a:lnTo>
                                <a:pt x="384" y="30"/>
                              </a:lnTo>
                              <a:lnTo>
                                <a:pt x="389" y="30"/>
                              </a:lnTo>
                              <a:lnTo>
                                <a:pt x="391" y="30"/>
                              </a:lnTo>
                              <a:lnTo>
                                <a:pt x="394" y="30"/>
                              </a:lnTo>
                              <a:lnTo>
                                <a:pt x="396" y="30"/>
                              </a:lnTo>
                              <a:lnTo>
                                <a:pt x="398" y="30"/>
                              </a:lnTo>
                              <a:lnTo>
                                <a:pt x="402" y="30"/>
                              </a:lnTo>
                              <a:lnTo>
                                <a:pt x="408" y="30"/>
                              </a:lnTo>
                              <a:lnTo>
                                <a:pt x="414" y="30"/>
                              </a:lnTo>
                              <a:lnTo>
                                <a:pt x="418" y="30"/>
                              </a:lnTo>
                              <a:lnTo>
                                <a:pt x="423" y="30"/>
                              </a:lnTo>
                              <a:lnTo>
                                <a:pt x="426" y="30"/>
                              </a:lnTo>
                              <a:lnTo>
                                <a:pt x="429" y="30"/>
                              </a:lnTo>
                              <a:lnTo>
                                <a:pt x="433" y="30"/>
                              </a:lnTo>
                              <a:lnTo>
                                <a:pt x="437" y="30"/>
                              </a:lnTo>
                              <a:lnTo>
                                <a:pt x="443" y="30"/>
                              </a:lnTo>
                              <a:lnTo>
                                <a:pt x="450" y="30"/>
                              </a:lnTo>
                              <a:lnTo>
                                <a:pt x="456" y="30"/>
                              </a:lnTo>
                              <a:lnTo>
                                <a:pt x="462" y="30"/>
                              </a:lnTo>
                              <a:lnTo>
                                <a:pt x="467" y="30"/>
                              </a:lnTo>
                              <a:lnTo>
                                <a:pt x="472" y="30"/>
                              </a:lnTo>
                              <a:lnTo>
                                <a:pt x="475" y="30"/>
                              </a:lnTo>
                              <a:lnTo>
                                <a:pt x="479" y="30"/>
                              </a:lnTo>
                              <a:lnTo>
                                <a:pt x="484" y="30"/>
                              </a:lnTo>
                              <a:lnTo>
                                <a:pt x="489" y="30"/>
                              </a:lnTo>
                              <a:lnTo>
                                <a:pt x="494" y="30"/>
                              </a:lnTo>
                              <a:lnTo>
                                <a:pt x="500" y="30"/>
                              </a:lnTo>
                              <a:lnTo>
                                <a:pt x="503" y="30"/>
                              </a:lnTo>
                              <a:lnTo>
                                <a:pt x="506" y="30"/>
                              </a:lnTo>
                              <a:lnTo>
                                <a:pt x="511" y="30"/>
                              </a:lnTo>
                              <a:lnTo>
                                <a:pt x="516" y="30"/>
                              </a:lnTo>
                              <a:lnTo>
                                <a:pt x="520" y="30"/>
                              </a:lnTo>
                              <a:lnTo>
                                <a:pt x="524" y="31"/>
                              </a:lnTo>
                              <a:lnTo>
                                <a:pt x="529" y="31"/>
                              </a:lnTo>
                              <a:lnTo>
                                <a:pt x="533" y="31"/>
                              </a:lnTo>
                              <a:lnTo>
                                <a:pt x="537" y="31"/>
                              </a:lnTo>
                              <a:lnTo>
                                <a:pt x="540" y="31"/>
                              </a:lnTo>
                              <a:lnTo>
                                <a:pt x="544" y="31"/>
                              </a:lnTo>
                              <a:lnTo>
                                <a:pt x="548" y="31"/>
                              </a:lnTo>
                              <a:lnTo>
                                <a:pt x="553" y="31"/>
                              </a:lnTo>
                              <a:lnTo>
                                <a:pt x="559" y="31"/>
                              </a:lnTo>
                              <a:lnTo>
                                <a:pt x="565" y="31"/>
                              </a:lnTo>
                              <a:lnTo>
                                <a:pt x="570" y="31"/>
                              </a:lnTo>
                              <a:lnTo>
                                <a:pt x="574" y="31"/>
                              </a:lnTo>
                              <a:lnTo>
                                <a:pt x="577" y="31"/>
                              </a:lnTo>
                              <a:lnTo>
                                <a:pt x="581" y="31"/>
                              </a:lnTo>
                              <a:lnTo>
                                <a:pt x="586" y="31"/>
                              </a:lnTo>
                              <a:lnTo>
                                <a:pt x="591" y="31"/>
                              </a:lnTo>
                              <a:lnTo>
                                <a:pt x="595" y="31"/>
                              </a:lnTo>
                              <a:lnTo>
                                <a:pt x="600" y="31"/>
                              </a:lnTo>
                              <a:lnTo>
                                <a:pt x="603" y="31"/>
                              </a:lnTo>
                              <a:lnTo>
                                <a:pt x="606" y="31"/>
                              </a:lnTo>
                              <a:lnTo>
                                <a:pt x="610" y="31"/>
                              </a:lnTo>
                              <a:lnTo>
                                <a:pt x="615" y="31"/>
                              </a:lnTo>
                              <a:lnTo>
                                <a:pt x="619" y="31"/>
                              </a:lnTo>
                              <a:lnTo>
                                <a:pt x="625" y="31"/>
                              </a:lnTo>
                              <a:lnTo>
                                <a:pt x="631" y="31"/>
                              </a:lnTo>
                              <a:lnTo>
                                <a:pt x="635" y="31"/>
                              </a:lnTo>
                              <a:lnTo>
                                <a:pt x="637" y="31"/>
                              </a:lnTo>
                              <a:lnTo>
                                <a:pt x="638" y="31"/>
                              </a:lnTo>
                              <a:lnTo>
                                <a:pt x="640" y="31"/>
                              </a:lnTo>
                              <a:lnTo>
                                <a:pt x="642" y="31"/>
                              </a:lnTo>
                              <a:lnTo>
                                <a:pt x="644" y="31"/>
                              </a:lnTo>
                              <a:lnTo>
                                <a:pt x="646" y="31"/>
                              </a:lnTo>
                              <a:lnTo>
                                <a:pt x="648" y="31"/>
                              </a:lnTo>
                              <a:lnTo>
                                <a:pt x="649" y="31"/>
                              </a:lnTo>
                              <a:lnTo>
                                <a:pt x="651" y="31"/>
                              </a:lnTo>
                              <a:lnTo>
                                <a:pt x="653" y="31"/>
                              </a:lnTo>
                              <a:lnTo>
                                <a:pt x="655" y="31"/>
                              </a:lnTo>
                              <a:lnTo>
                                <a:pt x="656" y="31"/>
                              </a:lnTo>
                              <a:lnTo>
                                <a:pt x="657" y="31"/>
                              </a:lnTo>
                              <a:lnTo>
                                <a:pt x="659" y="31"/>
                              </a:lnTo>
                              <a:lnTo>
                                <a:pt x="660" y="31"/>
                              </a:lnTo>
                              <a:lnTo>
                                <a:pt x="661" y="31"/>
                              </a:lnTo>
                              <a:lnTo>
                                <a:pt x="662" y="31"/>
                              </a:lnTo>
                              <a:lnTo>
                                <a:pt x="664" y="31"/>
                              </a:lnTo>
                              <a:lnTo>
                                <a:pt x="665" y="30"/>
                              </a:lnTo>
                              <a:lnTo>
                                <a:pt x="666" y="30"/>
                              </a:lnTo>
                              <a:lnTo>
                                <a:pt x="667" y="30"/>
                              </a:lnTo>
                              <a:lnTo>
                                <a:pt x="668" y="30"/>
                              </a:lnTo>
                              <a:lnTo>
                                <a:pt x="668" y="30"/>
                              </a:lnTo>
                              <a:lnTo>
                                <a:pt x="669" y="30"/>
                              </a:lnTo>
                              <a:lnTo>
                                <a:pt x="670" y="30"/>
                              </a:lnTo>
                              <a:lnTo>
                                <a:pt x="670" y="30"/>
                              </a:lnTo>
                              <a:lnTo>
                                <a:pt x="671" y="30"/>
                              </a:lnTo>
                              <a:lnTo>
                                <a:pt x="671" y="30"/>
                              </a:lnTo>
                              <a:lnTo>
                                <a:pt x="671" y="30"/>
                              </a:lnTo>
                              <a:lnTo>
                                <a:pt x="672" y="30"/>
                              </a:lnTo>
                              <a:lnTo>
                                <a:pt x="672" y="30"/>
                              </a:lnTo>
                              <a:lnTo>
                                <a:pt x="672" y="30"/>
                              </a:lnTo>
                              <a:lnTo>
                                <a:pt x="673" y="30"/>
                              </a:lnTo>
                              <a:lnTo>
                                <a:pt x="674" y="30"/>
                              </a:lnTo>
                              <a:lnTo>
                                <a:pt x="675" y="30"/>
                              </a:lnTo>
                              <a:lnTo>
                                <a:pt x="676" y="29"/>
                              </a:lnTo>
                              <a:lnTo>
                                <a:pt x="677" y="29"/>
                              </a:lnTo>
                              <a:lnTo>
                                <a:pt x="678" y="29"/>
                              </a:lnTo>
                              <a:lnTo>
                                <a:pt x="679" y="29"/>
                              </a:lnTo>
                              <a:lnTo>
                                <a:pt x="680" y="29"/>
                              </a:lnTo>
                              <a:lnTo>
                                <a:pt x="680" y="29"/>
                              </a:lnTo>
                              <a:lnTo>
                                <a:pt x="681" y="29"/>
                              </a:lnTo>
                              <a:lnTo>
                                <a:pt x="682" y="28"/>
                              </a:lnTo>
                              <a:lnTo>
                                <a:pt x="683" y="28"/>
                              </a:lnTo>
                              <a:lnTo>
                                <a:pt x="684" y="28"/>
                              </a:lnTo>
                              <a:lnTo>
                                <a:pt x="685" y="28"/>
                              </a:lnTo>
                              <a:lnTo>
                                <a:pt x="686" y="28"/>
                              </a:lnTo>
                              <a:lnTo>
                                <a:pt x="686" y="28"/>
                              </a:lnTo>
                              <a:lnTo>
                                <a:pt x="687" y="27"/>
                              </a:lnTo>
                              <a:lnTo>
                                <a:pt x="688" y="27"/>
                              </a:lnTo>
                              <a:lnTo>
                                <a:pt x="689" y="27"/>
                              </a:lnTo>
                              <a:lnTo>
                                <a:pt x="690" y="27"/>
                              </a:lnTo>
                              <a:lnTo>
                                <a:pt x="690" y="27"/>
                              </a:lnTo>
                              <a:lnTo>
                                <a:pt x="691" y="26"/>
                              </a:lnTo>
                              <a:lnTo>
                                <a:pt x="692" y="26"/>
                              </a:lnTo>
                              <a:lnTo>
                                <a:pt x="693" y="26"/>
                              </a:lnTo>
                              <a:lnTo>
                                <a:pt x="693" y="26"/>
                              </a:lnTo>
                              <a:lnTo>
                                <a:pt x="694" y="26"/>
                              </a:lnTo>
                              <a:lnTo>
                                <a:pt x="695" y="25"/>
                              </a:lnTo>
                              <a:lnTo>
                                <a:pt x="695" y="25"/>
                              </a:lnTo>
                              <a:lnTo>
                                <a:pt x="696" y="25"/>
                              </a:lnTo>
                              <a:lnTo>
                                <a:pt x="697" y="25"/>
                              </a:lnTo>
                              <a:lnTo>
                                <a:pt x="697" y="24"/>
                              </a:lnTo>
                              <a:lnTo>
                                <a:pt x="698" y="24"/>
                              </a:lnTo>
                              <a:lnTo>
                                <a:pt x="699" y="24"/>
                              </a:lnTo>
                              <a:lnTo>
                                <a:pt x="699" y="24"/>
                              </a:lnTo>
                              <a:lnTo>
                                <a:pt x="700" y="23"/>
                              </a:lnTo>
                              <a:lnTo>
                                <a:pt x="701" y="23"/>
                              </a:lnTo>
                              <a:lnTo>
                                <a:pt x="702" y="22"/>
                              </a:lnTo>
                              <a:lnTo>
                                <a:pt x="702" y="22"/>
                              </a:lnTo>
                              <a:lnTo>
                                <a:pt x="703" y="22"/>
                              </a:lnTo>
                              <a:lnTo>
                                <a:pt x="703" y="22"/>
                              </a:lnTo>
                              <a:lnTo>
                                <a:pt x="704" y="22"/>
                              </a:lnTo>
                              <a:lnTo>
                                <a:pt x="704" y="22"/>
                              </a:lnTo>
                              <a:lnTo>
                                <a:pt x="705" y="21"/>
                              </a:lnTo>
                              <a:lnTo>
                                <a:pt x="705" y="21"/>
                              </a:lnTo>
                              <a:lnTo>
                                <a:pt x="705" y="21"/>
                              </a:lnTo>
                              <a:lnTo>
                                <a:pt x="705" y="21"/>
                              </a:lnTo>
                              <a:lnTo>
                                <a:pt x="706" y="21"/>
                              </a:lnTo>
                              <a:lnTo>
                                <a:pt x="706" y="21"/>
                              </a:lnTo>
                              <a:lnTo>
                                <a:pt x="706" y="21"/>
                              </a:lnTo>
                              <a:lnTo>
                                <a:pt x="707" y="20"/>
                              </a:lnTo>
                              <a:lnTo>
                                <a:pt x="708" y="20"/>
                              </a:lnTo>
                              <a:lnTo>
                                <a:pt x="709" y="19"/>
                              </a:lnTo>
                              <a:lnTo>
                                <a:pt x="711" y="18"/>
                              </a:lnTo>
                              <a:lnTo>
                                <a:pt x="713" y="17"/>
                              </a:lnTo>
                              <a:lnTo>
                                <a:pt x="714" y="16"/>
                              </a:lnTo>
                              <a:lnTo>
                                <a:pt x="717" y="15"/>
                              </a:lnTo>
                              <a:lnTo>
                                <a:pt x="719" y="13"/>
                              </a:lnTo>
                              <a:lnTo>
                                <a:pt x="722" y="12"/>
                              </a:lnTo>
                              <a:lnTo>
                                <a:pt x="724" y="11"/>
                              </a:lnTo>
                              <a:lnTo>
                                <a:pt x="726" y="10"/>
                              </a:lnTo>
                              <a:lnTo>
                                <a:pt x="728" y="9"/>
                              </a:lnTo>
                              <a:lnTo>
                                <a:pt x="729" y="8"/>
                              </a:lnTo>
                              <a:lnTo>
                                <a:pt x="731" y="7"/>
                              </a:lnTo>
                              <a:lnTo>
                                <a:pt x="733" y="6"/>
                              </a:lnTo>
                              <a:lnTo>
                                <a:pt x="734" y="5"/>
                              </a:lnTo>
                              <a:lnTo>
                                <a:pt x="736" y="5"/>
                              </a:lnTo>
                              <a:lnTo>
                                <a:pt x="737" y="4"/>
                              </a:lnTo>
                              <a:lnTo>
                                <a:pt x="738" y="4"/>
                              </a:lnTo>
                              <a:lnTo>
                                <a:pt x="739" y="3"/>
                              </a:lnTo>
                              <a:lnTo>
                                <a:pt x="740" y="3"/>
                              </a:lnTo>
                              <a:lnTo>
                                <a:pt x="740" y="3"/>
                              </a:lnTo>
                              <a:lnTo>
                                <a:pt x="740" y="3"/>
                              </a:lnTo>
                              <a:lnTo>
                                <a:pt x="741" y="3"/>
                              </a:lnTo>
                              <a:lnTo>
                                <a:pt x="743" y="2"/>
                              </a:lnTo>
                              <a:lnTo>
                                <a:pt x="744" y="2"/>
                              </a:lnTo>
                              <a:lnTo>
                                <a:pt x="745" y="1"/>
                              </a:lnTo>
                              <a:lnTo>
                                <a:pt x="746" y="1"/>
                              </a:lnTo>
                              <a:lnTo>
                                <a:pt x="747" y="1"/>
                              </a:lnTo>
                              <a:lnTo>
                                <a:pt x="748" y="1"/>
                              </a:lnTo>
                              <a:lnTo>
                                <a:pt x="750" y="1"/>
                              </a:lnTo>
                              <a:lnTo>
                                <a:pt x="751" y="0"/>
                              </a:lnTo>
                              <a:lnTo>
                                <a:pt x="752" y="0"/>
                              </a:lnTo>
                              <a:lnTo>
                                <a:pt x="753" y="0"/>
                              </a:lnTo>
                              <a:lnTo>
                                <a:pt x="754" y="0"/>
                              </a:lnTo>
                              <a:lnTo>
                                <a:pt x="755" y="0"/>
                              </a:lnTo>
                              <a:lnTo>
                                <a:pt x="757" y="0"/>
                              </a:lnTo>
                              <a:lnTo>
                                <a:pt x="758" y="0"/>
                              </a:lnTo>
                              <a:lnTo>
                                <a:pt x="759" y="0"/>
                              </a:lnTo>
                              <a:lnTo>
                                <a:pt x="760" y="0"/>
                              </a:lnTo>
                              <a:lnTo>
                                <a:pt x="761" y="0"/>
                              </a:lnTo>
                              <a:lnTo>
                                <a:pt x="763" y="1"/>
                              </a:lnTo>
                              <a:lnTo>
                                <a:pt x="764" y="1"/>
                              </a:lnTo>
                              <a:lnTo>
                                <a:pt x="765" y="1"/>
                              </a:lnTo>
                              <a:lnTo>
                                <a:pt x="767" y="1"/>
                              </a:lnTo>
                              <a:lnTo>
                                <a:pt x="768" y="1"/>
                              </a:lnTo>
                              <a:lnTo>
                                <a:pt x="769" y="2"/>
                              </a:lnTo>
                              <a:lnTo>
                                <a:pt x="771" y="2"/>
                              </a:lnTo>
                              <a:lnTo>
                                <a:pt x="772" y="2"/>
                              </a:lnTo>
                              <a:lnTo>
                                <a:pt x="773" y="3"/>
                              </a:lnTo>
                              <a:lnTo>
                                <a:pt x="774" y="3"/>
                              </a:lnTo>
                              <a:lnTo>
                                <a:pt x="774" y="3"/>
                              </a:lnTo>
                              <a:lnTo>
                                <a:pt x="775" y="3"/>
                              </a:lnTo>
                              <a:lnTo>
                                <a:pt x="775" y="4"/>
                              </a:lnTo>
                              <a:lnTo>
                                <a:pt x="776" y="4"/>
                              </a:lnTo>
                              <a:lnTo>
                                <a:pt x="776" y="4"/>
                              </a:lnTo>
                              <a:lnTo>
                                <a:pt x="777" y="4"/>
                              </a:lnTo>
                              <a:lnTo>
                                <a:pt x="779" y="5"/>
                              </a:lnTo>
                              <a:lnTo>
                                <a:pt x="781" y="6"/>
                              </a:lnTo>
                              <a:lnTo>
                                <a:pt x="783" y="6"/>
                              </a:lnTo>
                              <a:lnTo>
                                <a:pt x="786" y="7"/>
                              </a:lnTo>
                              <a:lnTo>
                                <a:pt x="788" y="8"/>
                              </a:lnTo>
                              <a:lnTo>
                                <a:pt x="791" y="10"/>
                              </a:lnTo>
                              <a:lnTo>
                                <a:pt x="795" y="11"/>
                              </a:lnTo>
                              <a:lnTo>
                                <a:pt x="799" y="13"/>
                              </a:lnTo>
                              <a:lnTo>
                                <a:pt x="801" y="14"/>
                              </a:lnTo>
                              <a:lnTo>
                                <a:pt x="804" y="15"/>
                              </a:lnTo>
                              <a:lnTo>
                                <a:pt x="806" y="16"/>
                              </a:lnTo>
                              <a:lnTo>
                                <a:pt x="807" y="16"/>
                              </a:lnTo>
                              <a:lnTo>
                                <a:pt x="808" y="17"/>
                              </a:lnTo>
                              <a:lnTo>
                                <a:pt x="809" y="17"/>
                              </a:lnTo>
                              <a:lnTo>
                                <a:pt x="809" y="17"/>
                              </a:lnTo>
                              <a:lnTo>
                                <a:pt x="810" y="18"/>
                              </a:lnTo>
                              <a:lnTo>
                                <a:pt x="810" y="18"/>
                              </a:lnTo>
                              <a:lnTo>
                                <a:pt x="811" y="18"/>
                              </a:lnTo>
                              <a:lnTo>
                                <a:pt x="811" y="18"/>
                              </a:lnTo>
                              <a:lnTo>
                                <a:pt x="811" y="18"/>
                              </a:lnTo>
                              <a:lnTo>
                                <a:pt x="812" y="18"/>
                              </a:lnTo>
                              <a:lnTo>
                                <a:pt x="812" y="19"/>
                              </a:lnTo>
                              <a:lnTo>
                                <a:pt x="814" y="19"/>
                              </a:lnTo>
                              <a:lnTo>
                                <a:pt x="816" y="20"/>
                              </a:lnTo>
                              <a:lnTo>
                                <a:pt x="817" y="20"/>
                              </a:lnTo>
                              <a:lnTo>
                                <a:pt x="819" y="21"/>
                              </a:lnTo>
                              <a:lnTo>
                                <a:pt x="821" y="21"/>
                              </a:lnTo>
                              <a:lnTo>
                                <a:pt x="822" y="22"/>
                              </a:lnTo>
                              <a:lnTo>
                                <a:pt x="824" y="23"/>
                              </a:lnTo>
                              <a:lnTo>
                                <a:pt x="826" y="23"/>
                              </a:lnTo>
                              <a:lnTo>
                                <a:pt x="827" y="24"/>
                              </a:lnTo>
                              <a:lnTo>
                                <a:pt x="828" y="24"/>
                              </a:lnTo>
                              <a:lnTo>
                                <a:pt x="829" y="24"/>
                              </a:lnTo>
                              <a:lnTo>
                                <a:pt x="830" y="25"/>
                              </a:lnTo>
                              <a:lnTo>
                                <a:pt x="832" y="25"/>
                              </a:lnTo>
                              <a:lnTo>
                                <a:pt x="833" y="25"/>
                              </a:lnTo>
                              <a:lnTo>
                                <a:pt x="834" y="25"/>
                              </a:lnTo>
                              <a:lnTo>
                                <a:pt x="835" y="26"/>
                              </a:lnTo>
                              <a:lnTo>
                                <a:pt x="836" y="26"/>
                              </a:lnTo>
                              <a:lnTo>
                                <a:pt x="837" y="26"/>
                              </a:lnTo>
                              <a:lnTo>
                                <a:pt x="839" y="27"/>
                              </a:lnTo>
                              <a:lnTo>
                                <a:pt x="840" y="27"/>
                              </a:lnTo>
                              <a:lnTo>
                                <a:pt x="841" y="27"/>
                              </a:lnTo>
                              <a:lnTo>
                                <a:pt x="842" y="27"/>
                              </a:lnTo>
                              <a:lnTo>
                                <a:pt x="843" y="28"/>
                              </a:lnTo>
                              <a:lnTo>
                                <a:pt x="844" y="28"/>
                              </a:lnTo>
                              <a:lnTo>
                                <a:pt x="844" y="28"/>
                              </a:lnTo>
                              <a:lnTo>
                                <a:pt x="845" y="28"/>
                              </a:lnTo>
                              <a:lnTo>
                                <a:pt x="845" y="28"/>
                              </a:lnTo>
                              <a:lnTo>
                                <a:pt x="845" y="28"/>
                              </a:lnTo>
                              <a:lnTo>
                                <a:pt x="846" y="28"/>
                              </a:lnTo>
                              <a:lnTo>
                                <a:pt x="846" y="28"/>
                              </a:lnTo>
                              <a:lnTo>
                                <a:pt x="847" y="28"/>
                              </a:lnTo>
                              <a:lnTo>
                                <a:pt x="847" y="28"/>
                              </a:lnTo>
                              <a:lnTo>
                                <a:pt x="848" y="29"/>
                              </a:lnTo>
                              <a:lnTo>
                                <a:pt x="850" y="29"/>
                              </a:lnTo>
                              <a:lnTo>
                                <a:pt x="852" y="29"/>
                              </a:lnTo>
                              <a:lnTo>
                                <a:pt x="854" y="30"/>
                              </a:lnTo>
                              <a:lnTo>
                                <a:pt x="855" y="30"/>
                              </a:lnTo>
                              <a:lnTo>
                                <a:pt x="857" y="30"/>
                              </a:lnTo>
                              <a:lnTo>
                                <a:pt x="858" y="30"/>
                              </a:lnTo>
                              <a:lnTo>
                                <a:pt x="859" y="31"/>
                              </a:lnTo>
                              <a:lnTo>
                                <a:pt x="860" y="31"/>
                              </a:lnTo>
                              <a:lnTo>
                                <a:pt x="862" y="31"/>
                              </a:lnTo>
                              <a:lnTo>
                                <a:pt x="863" y="31"/>
                              </a:lnTo>
                              <a:lnTo>
                                <a:pt x="864" y="31"/>
                              </a:lnTo>
                              <a:lnTo>
                                <a:pt x="865" y="31"/>
                              </a:lnTo>
                              <a:lnTo>
                                <a:pt x="867" y="32"/>
                              </a:lnTo>
                              <a:lnTo>
                                <a:pt x="868" y="32"/>
                              </a:lnTo>
                              <a:lnTo>
                                <a:pt x="870" y="32"/>
                              </a:lnTo>
                              <a:lnTo>
                                <a:pt x="871" y="32"/>
                              </a:lnTo>
                              <a:lnTo>
                                <a:pt x="873" y="32"/>
                              </a:lnTo>
                              <a:lnTo>
                                <a:pt x="874" y="33"/>
                              </a:lnTo>
                              <a:lnTo>
                                <a:pt x="876" y="33"/>
                              </a:lnTo>
                              <a:lnTo>
                                <a:pt x="877" y="33"/>
                              </a:lnTo>
                              <a:lnTo>
                                <a:pt x="878" y="33"/>
                              </a:lnTo>
                              <a:lnTo>
                                <a:pt x="879" y="33"/>
                              </a:lnTo>
                              <a:lnTo>
                                <a:pt x="880" y="33"/>
                              </a:lnTo>
                              <a:lnTo>
                                <a:pt x="880" y="33"/>
                              </a:lnTo>
                              <a:lnTo>
                                <a:pt x="881" y="33"/>
                              </a:lnTo>
                              <a:lnTo>
                                <a:pt x="881" y="33"/>
                              </a:lnTo>
                              <a:lnTo>
                                <a:pt x="881" y="33"/>
                              </a:lnTo>
                              <a:lnTo>
                                <a:pt x="883" y="33"/>
                              </a:lnTo>
                              <a:lnTo>
                                <a:pt x="884" y="34"/>
                              </a:lnTo>
                              <a:lnTo>
                                <a:pt x="886" y="34"/>
                              </a:lnTo>
                              <a:lnTo>
                                <a:pt x="887" y="34"/>
                              </a:lnTo>
                              <a:lnTo>
                                <a:pt x="889" y="34"/>
                              </a:lnTo>
                              <a:lnTo>
                                <a:pt x="890" y="34"/>
                              </a:lnTo>
                              <a:lnTo>
                                <a:pt x="892" y="34"/>
                              </a:lnTo>
                              <a:lnTo>
                                <a:pt x="894" y="34"/>
                              </a:lnTo>
                              <a:lnTo>
                                <a:pt x="895" y="34"/>
                              </a:lnTo>
                              <a:lnTo>
                                <a:pt x="897" y="34"/>
                              </a:lnTo>
                              <a:lnTo>
                                <a:pt x="898" y="34"/>
                              </a:lnTo>
                              <a:lnTo>
                                <a:pt x="900" y="35"/>
                              </a:lnTo>
                              <a:lnTo>
                                <a:pt x="902" y="35"/>
                              </a:lnTo>
                              <a:lnTo>
                                <a:pt x="903" y="35"/>
                              </a:lnTo>
                              <a:lnTo>
                                <a:pt x="905" y="35"/>
                              </a:lnTo>
                              <a:lnTo>
                                <a:pt x="907" y="35"/>
                              </a:lnTo>
                              <a:lnTo>
                                <a:pt x="910" y="35"/>
                              </a:lnTo>
                              <a:lnTo>
                                <a:pt x="912" y="35"/>
                              </a:lnTo>
                              <a:lnTo>
                                <a:pt x="913" y="35"/>
                              </a:lnTo>
                              <a:lnTo>
                                <a:pt x="914" y="35"/>
                              </a:lnTo>
                              <a:lnTo>
                                <a:pt x="915" y="35"/>
                              </a:lnTo>
                              <a:lnTo>
                                <a:pt x="916" y="35"/>
                              </a:lnTo>
                              <a:lnTo>
                                <a:pt x="916" y="35"/>
                              </a:lnTo>
                              <a:lnTo>
                                <a:pt x="917" y="35"/>
                              </a:lnTo>
                              <a:lnTo>
                                <a:pt x="919" y="36"/>
                              </a:lnTo>
                              <a:lnTo>
                                <a:pt x="920" y="36"/>
                              </a:lnTo>
                              <a:lnTo>
                                <a:pt x="922" y="36"/>
                              </a:lnTo>
                              <a:lnTo>
                                <a:pt x="924" y="36"/>
                              </a:lnTo>
                              <a:lnTo>
                                <a:pt x="926" y="36"/>
                              </a:lnTo>
                              <a:lnTo>
                                <a:pt x="929" y="36"/>
                              </a:lnTo>
                              <a:lnTo>
                                <a:pt x="932" y="36"/>
                              </a:lnTo>
                              <a:lnTo>
                                <a:pt x="935" y="36"/>
                              </a:lnTo>
                              <a:lnTo>
                                <a:pt x="938" y="36"/>
                              </a:lnTo>
                              <a:lnTo>
                                <a:pt x="941" y="36"/>
                              </a:lnTo>
                              <a:lnTo>
                                <a:pt x="944" y="36"/>
                              </a:lnTo>
                              <a:lnTo>
                                <a:pt x="946" y="36"/>
                              </a:lnTo>
                              <a:lnTo>
                                <a:pt x="948" y="36"/>
                              </a:lnTo>
                              <a:lnTo>
                                <a:pt x="949" y="36"/>
                              </a:lnTo>
                              <a:lnTo>
                                <a:pt x="950" y="36"/>
                              </a:lnTo>
                              <a:lnTo>
                                <a:pt x="951" y="36"/>
                              </a:lnTo>
                              <a:lnTo>
                                <a:pt x="953" y="36"/>
                              </a:lnTo>
                              <a:lnTo>
                                <a:pt x="956" y="37"/>
                              </a:lnTo>
                              <a:lnTo>
                                <a:pt x="959" y="37"/>
                              </a:lnTo>
                              <a:lnTo>
                                <a:pt x="962" y="37"/>
                              </a:lnTo>
                              <a:lnTo>
                                <a:pt x="965" y="37"/>
                              </a:lnTo>
                              <a:lnTo>
                                <a:pt x="968" y="37"/>
                              </a:lnTo>
                              <a:lnTo>
                                <a:pt x="970" y="37"/>
                              </a:lnTo>
                              <a:lnTo>
                                <a:pt x="973" y="37"/>
                              </a:lnTo>
                              <a:lnTo>
                                <a:pt x="977" y="37"/>
                              </a:lnTo>
                              <a:lnTo>
                                <a:pt x="981" y="37"/>
                              </a:lnTo>
                              <a:lnTo>
                                <a:pt x="983" y="37"/>
                              </a:lnTo>
                              <a:lnTo>
                                <a:pt x="985" y="37"/>
                              </a:lnTo>
                              <a:lnTo>
                                <a:pt x="986" y="37"/>
                              </a:lnTo>
                              <a:lnTo>
                                <a:pt x="988" y="37"/>
                              </a:lnTo>
                              <a:lnTo>
                                <a:pt x="990" y="37"/>
                              </a:lnTo>
                              <a:lnTo>
                                <a:pt x="992" y="37"/>
                              </a:lnTo>
                              <a:lnTo>
                                <a:pt x="995" y="37"/>
                              </a:lnTo>
                              <a:lnTo>
                                <a:pt x="998" y="37"/>
                              </a:lnTo>
                              <a:lnTo>
                                <a:pt x="1002" y="37"/>
                              </a:lnTo>
                              <a:lnTo>
                                <a:pt x="1008" y="37"/>
                              </a:lnTo>
                              <a:lnTo>
                                <a:pt x="1013" y="37"/>
                              </a:lnTo>
                              <a:lnTo>
                                <a:pt x="1017" y="37"/>
                              </a:lnTo>
                              <a:lnTo>
                                <a:pt x="1020" y="37"/>
                              </a:lnTo>
                              <a:lnTo>
                                <a:pt x="1022" y="37"/>
                              </a:lnTo>
                              <a:lnTo>
                                <a:pt x="1025" y="37"/>
                              </a:lnTo>
                              <a:lnTo>
                                <a:pt x="1028" y="37"/>
                              </a:lnTo>
                              <a:lnTo>
                                <a:pt x="1031" y="37"/>
                              </a:lnTo>
                              <a:lnTo>
                                <a:pt x="1034" y="37"/>
                              </a:lnTo>
                              <a:lnTo>
                                <a:pt x="1039" y="37"/>
                              </a:lnTo>
                              <a:lnTo>
                                <a:pt x="1042" y="37"/>
                              </a:lnTo>
                              <a:lnTo>
                                <a:pt x="1047" y="37"/>
                              </a:lnTo>
                              <a:lnTo>
                                <a:pt x="1050" y="37"/>
                              </a:lnTo>
                              <a:lnTo>
                                <a:pt x="1053" y="37"/>
                              </a:lnTo>
                              <a:lnTo>
                                <a:pt x="1054" y="37"/>
                              </a:lnTo>
                              <a:lnTo>
                                <a:pt x="1057" y="37"/>
                              </a:lnTo>
                              <a:lnTo>
                                <a:pt x="1059" y="37"/>
                              </a:lnTo>
                              <a:lnTo>
                                <a:pt x="1060" y="37"/>
                              </a:lnTo>
                              <a:lnTo>
                                <a:pt x="1063" y="37"/>
                              </a:lnTo>
                              <a:lnTo>
                                <a:pt x="1065" y="37"/>
                              </a:lnTo>
                              <a:lnTo>
                                <a:pt x="1068" y="37"/>
                              </a:lnTo>
                              <a:lnTo>
                                <a:pt x="1070" y="37"/>
                              </a:lnTo>
                              <a:lnTo>
                                <a:pt x="1073" y="37"/>
                              </a:lnTo>
                              <a:lnTo>
                                <a:pt x="1076" y="37"/>
                              </a:lnTo>
                              <a:lnTo>
                                <a:pt x="1079" y="37"/>
                              </a:lnTo>
                              <a:lnTo>
                                <a:pt x="1083" y="37"/>
                              </a:lnTo>
                              <a:lnTo>
                                <a:pt x="1087" y="37"/>
                              </a:lnTo>
                              <a:lnTo>
                                <a:pt x="1092" y="37"/>
                              </a:lnTo>
                              <a:lnTo>
                                <a:pt x="1096" y="37"/>
                              </a:lnTo>
                              <a:lnTo>
                                <a:pt x="1101" y="37"/>
                              </a:lnTo>
                              <a:lnTo>
                                <a:pt x="1105" y="37"/>
                              </a:lnTo>
                              <a:lnTo>
                                <a:pt x="1110" y="37"/>
                              </a:lnTo>
                              <a:lnTo>
                                <a:pt x="1114" y="37"/>
                              </a:lnTo>
                              <a:lnTo>
                                <a:pt x="1120" y="37"/>
                              </a:lnTo>
                              <a:lnTo>
                                <a:pt x="1125" y="37"/>
                              </a:lnTo>
                              <a:lnTo>
                                <a:pt x="1128" y="37"/>
                              </a:lnTo>
                              <a:lnTo>
                                <a:pt x="1131" y="37"/>
                              </a:lnTo>
                              <a:lnTo>
                                <a:pt x="1133" y="37"/>
                              </a:lnTo>
                              <a:lnTo>
                                <a:pt x="1135" y="37"/>
                              </a:lnTo>
                              <a:lnTo>
                                <a:pt x="1137" y="37"/>
                              </a:lnTo>
                              <a:lnTo>
                                <a:pt x="1139" y="37"/>
                              </a:lnTo>
                              <a:lnTo>
                                <a:pt x="1140" y="37"/>
                              </a:lnTo>
                              <a:lnTo>
                                <a:pt x="1142" y="37"/>
                              </a:lnTo>
                              <a:lnTo>
                                <a:pt x="1144" y="37"/>
                              </a:lnTo>
                              <a:lnTo>
                                <a:pt x="1146" y="37"/>
                              </a:lnTo>
                              <a:lnTo>
                                <a:pt x="1147" y="37"/>
                              </a:lnTo>
                              <a:lnTo>
                                <a:pt x="1149" y="37"/>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38" name="Freeform 162"/>
                        <a:cNvSpPr>
                          <a:spLocks/>
                        </a:cNvSpPr>
                      </a:nvSpPr>
                      <a:spPr bwMode="auto">
                        <a:xfrm>
                          <a:off x="8573990" y="7404777"/>
                          <a:ext cx="22036" cy="1881"/>
                        </a:xfrm>
                        <a:custGeom>
                          <a:avLst/>
                          <a:gdLst/>
                          <a:ahLst/>
                          <a:cxnLst>
                            <a:cxn ang="0">
                              <a:pos x="0" y="0"/>
                            </a:cxn>
                            <a:cxn ang="0">
                              <a:pos x="2" y="0"/>
                            </a:cxn>
                            <a:cxn ang="0">
                              <a:pos x="4" y="0"/>
                            </a:cxn>
                            <a:cxn ang="0">
                              <a:pos x="6" y="0"/>
                            </a:cxn>
                            <a:cxn ang="0">
                              <a:pos x="7" y="0"/>
                            </a:cxn>
                            <a:cxn ang="0">
                              <a:pos x="9" y="0"/>
                            </a:cxn>
                            <a:cxn ang="0">
                              <a:pos x="11" y="0"/>
                            </a:cxn>
                            <a:cxn ang="0">
                              <a:pos x="13" y="0"/>
                            </a:cxn>
                            <a:cxn ang="0">
                              <a:pos x="13" y="0"/>
                            </a:cxn>
                          </a:cxnLst>
                          <a:rect l="0" t="0" r="r" b="b"/>
                          <a:pathLst>
                            <a:path w="13">
                              <a:moveTo>
                                <a:pt x="0" y="0"/>
                              </a:moveTo>
                              <a:lnTo>
                                <a:pt x="2" y="0"/>
                              </a:lnTo>
                              <a:lnTo>
                                <a:pt x="4" y="0"/>
                              </a:lnTo>
                              <a:lnTo>
                                <a:pt x="6" y="0"/>
                              </a:lnTo>
                              <a:lnTo>
                                <a:pt x="7" y="0"/>
                              </a:lnTo>
                              <a:lnTo>
                                <a:pt x="9" y="0"/>
                              </a:lnTo>
                              <a:lnTo>
                                <a:pt x="11" y="0"/>
                              </a:lnTo>
                              <a:lnTo>
                                <a:pt x="13" y="0"/>
                              </a:lnTo>
                              <a:lnTo>
                                <a:pt x="13" y="0"/>
                              </a:lnTo>
                            </a:path>
                          </a:pathLst>
                        </a:custGeom>
                        <a:noFill/>
                        <a:ln w="3175">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40" name="Freeform 164"/>
                        <a:cNvSpPr>
                          <a:spLocks/>
                        </a:cNvSpPr>
                      </a:nvSpPr>
                      <a:spPr bwMode="auto">
                        <a:xfrm>
                          <a:off x="1666467" y="7500746"/>
                          <a:ext cx="572943" cy="69623"/>
                        </a:xfrm>
                        <a:custGeom>
                          <a:avLst/>
                          <a:gdLst/>
                          <a:ahLst/>
                          <a:cxnLst>
                            <a:cxn ang="0">
                              <a:pos x="11" y="36"/>
                            </a:cxn>
                            <a:cxn ang="0">
                              <a:pos x="27" y="36"/>
                            </a:cxn>
                            <a:cxn ang="0">
                              <a:pos x="40" y="36"/>
                            </a:cxn>
                            <a:cxn ang="0">
                              <a:pos x="61" y="36"/>
                            </a:cxn>
                            <a:cxn ang="0">
                              <a:pos x="86" y="36"/>
                            </a:cxn>
                            <a:cxn ang="0">
                              <a:pos x="115" y="36"/>
                            </a:cxn>
                            <a:cxn ang="0">
                              <a:pos x="141" y="37"/>
                            </a:cxn>
                            <a:cxn ang="0">
                              <a:pos x="147" y="37"/>
                            </a:cxn>
                            <a:cxn ang="0">
                              <a:pos x="153" y="37"/>
                            </a:cxn>
                            <a:cxn ang="0">
                              <a:pos x="157" y="36"/>
                            </a:cxn>
                            <a:cxn ang="0">
                              <a:pos x="159" y="36"/>
                            </a:cxn>
                            <a:cxn ang="0">
                              <a:pos x="162" y="36"/>
                            </a:cxn>
                            <a:cxn ang="0">
                              <a:pos x="164" y="35"/>
                            </a:cxn>
                            <a:cxn ang="0">
                              <a:pos x="166" y="34"/>
                            </a:cxn>
                            <a:cxn ang="0">
                              <a:pos x="168" y="33"/>
                            </a:cxn>
                            <a:cxn ang="0">
                              <a:pos x="171" y="30"/>
                            </a:cxn>
                            <a:cxn ang="0">
                              <a:pos x="175" y="26"/>
                            </a:cxn>
                            <a:cxn ang="0">
                              <a:pos x="177" y="25"/>
                            </a:cxn>
                            <a:cxn ang="0">
                              <a:pos x="178" y="24"/>
                            </a:cxn>
                            <a:cxn ang="0">
                              <a:pos x="180" y="24"/>
                            </a:cxn>
                            <a:cxn ang="0">
                              <a:pos x="183" y="23"/>
                            </a:cxn>
                            <a:cxn ang="0">
                              <a:pos x="185" y="23"/>
                            </a:cxn>
                            <a:cxn ang="0">
                              <a:pos x="189" y="24"/>
                            </a:cxn>
                            <a:cxn ang="0">
                              <a:pos x="191" y="24"/>
                            </a:cxn>
                            <a:cxn ang="0">
                              <a:pos x="193" y="24"/>
                            </a:cxn>
                            <a:cxn ang="0">
                              <a:pos x="194" y="23"/>
                            </a:cxn>
                            <a:cxn ang="0">
                              <a:pos x="195" y="22"/>
                            </a:cxn>
                            <a:cxn ang="0">
                              <a:pos x="197" y="21"/>
                            </a:cxn>
                            <a:cxn ang="0">
                              <a:pos x="198" y="18"/>
                            </a:cxn>
                            <a:cxn ang="0">
                              <a:pos x="201" y="12"/>
                            </a:cxn>
                            <a:cxn ang="0">
                              <a:pos x="204" y="5"/>
                            </a:cxn>
                            <a:cxn ang="0">
                              <a:pos x="206" y="1"/>
                            </a:cxn>
                            <a:cxn ang="0">
                              <a:pos x="208" y="0"/>
                            </a:cxn>
                            <a:cxn ang="0">
                              <a:pos x="210" y="1"/>
                            </a:cxn>
                            <a:cxn ang="0">
                              <a:pos x="213" y="4"/>
                            </a:cxn>
                            <a:cxn ang="0">
                              <a:pos x="218" y="12"/>
                            </a:cxn>
                            <a:cxn ang="0">
                              <a:pos x="221" y="16"/>
                            </a:cxn>
                            <a:cxn ang="0">
                              <a:pos x="224" y="18"/>
                            </a:cxn>
                            <a:cxn ang="0">
                              <a:pos x="227" y="20"/>
                            </a:cxn>
                            <a:cxn ang="0">
                              <a:pos x="230" y="22"/>
                            </a:cxn>
                            <a:cxn ang="0">
                              <a:pos x="233" y="22"/>
                            </a:cxn>
                            <a:cxn ang="0">
                              <a:pos x="238" y="23"/>
                            </a:cxn>
                            <a:cxn ang="0">
                              <a:pos x="245" y="24"/>
                            </a:cxn>
                            <a:cxn ang="0">
                              <a:pos x="251" y="25"/>
                            </a:cxn>
                            <a:cxn ang="0">
                              <a:pos x="254" y="26"/>
                            </a:cxn>
                            <a:cxn ang="0">
                              <a:pos x="257" y="26"/>
                            </a:cxn>
                            <a:cxn ang="0">
                              <a:pos x="261" y="26"/>
                            </a:cxn>
                            <a:cxn ang="0">
                              <a:pos x="264" y="25"/>
                            </a:cxn>
                            <a:cxn ang="0">
                              <a:pos x="267" y="24"/>
                            </a:cxn>
                            <a:cxn ang="0">
                              <a:pos x="270" y="24"/>
                            </a:cxn>
                            <a:cxn ang="0">
                              <a:pos x="272" y="22"/>
                            </a:cxn>
                            <a:cxn ang="0">
                              <a:pos x="274" y="20"/>
                            </a:cxn>
                            <a:cxn ang="0">
                              <a:pos x="278" y="15"/>
                            </a:cxn>
                            <a:cxn ang="0">
                              <a:pos x="281" y="13"/>
                            </a:cxn>
                            <a:cxn ang="0">
                              <a:pos x="283" y="13"/>
                            </a:cxn>
                            <a:cxn ang="0">
                              <a:pos x="286" y="13"/>
                            </a:cxn>
                            <a:cxn ang="0">
                              <a:pos x="290" y="15"/>
                            </a:cxn>
                            <a:cxn ang="0">
                              <a:pos x="300" y="20"/>
                            </a:cxn>
                            <a:cxn ang="0">
                              <a:pos x="307" y="23"/>
                            </a:cxn>
                            <a:cxn ang="0">
                              <a:pos x="313" y="25"/>
                            </a:cxn>
                            <a:cxn ang="0">
                              <a:pos x="317" y="26"/>
                            </a:cxn>
                            <a:cxn ang="0">
                              <a:pos x="324" y="28"/>
                            </a:cxn>
                            <a:cxn ang="0">
                              <a:pos x="332" y="29"/>
                            </a:cxn>
                          </a:cxnLst>
                          <a:rect l="0" t="0" r="r" b="b"/>
                          <a:pathLst>
                            <a:path w="338" h="37">
                              <a:moveTo>
                                <a:pt x="0" y="36"/>
                              </a:moveTo>
                              <a:lnTo>
                                <a:pt x="1" y="36"/>
                              </a:lnTo>
                              <a:lnTo>
                                <a:pt x="2" y="36"/>
                              </a:lnTo>
                              <a:lnTo>
                                <a:pt x="4" y="36"/>
                              </a:lnTo>
                              <a:lnTo>
                                <a:pt x="6" y="36"/>
                              </a:lnTo>
                              <a:lnTo>
                                <a:pt x="7" y="36"/>
                              </a:lnTo>
                              <a:lnTo>
                                <a:pt x="9" y="36"/>
                              </a:lnTo>
                              <a:lnTo>
                                <a:pt x="11" y="36"/>
                              </a:lnTo>
                              <a:lnTo>
                                <a:pt x="12" y="36"/>
                              </a:lnTo>
                              <a:lnTo>
                                <a:pt x="14" y="36"/>
                              </a:lnTo>
                              <a:lnTo>
                                <a:pt x="16" y="36"/>
                              </a:lnTo>
                              <a:lnTo>
                                <a:pt x="18" y="36"/>
                              </a:lnTo>
                              <a:lnTo>
                                <a:pt x="20" y="36"/>
                              </a:lnTo>
                              <a:lnTo>
                                <a:pt x="22" y="36"/>
                              </a:lnTo>
                              <a:lnTo>
                                <a:pt x="24" y="36"/>
                              </a:lnTo>
                              <a:lnTo>
                                <a:pt x="27" y="36"/>
                              </a:lnTo>
                              <a:lnTo>
                                <a:pt x="30" y="36"/>
                              </a:lnTo>
                              <a:lnTo>
                                <a:pt x="32" y="35"/>
                              </a:lnTo>
                              <a:lnTo>
                                <a:pt x="33" y="35"/>
                              </a:lnTo>
                              <a:lnTo>
                                <a:pt x="35" y="35"/>
                              </a:lnTo>
                              <a:lnTo>
                                <a:pt x="36" y="35"/>
                              </a:lnTo>
                              <a:lnTo>
                                <a:pt x="38" y="35"/>
                              </a:lnTo>
                              <a:lnTo>
                                <a:pt x="39" y="36"/>
                              </a:lnTo>
                              <a:lnTo>
                                <a:pt x="40" y="36"/>
                              </a:lnTo>
                              <a:lnTo>
                                <a:pt x="42" y="36"/>
                              </a:lnTo>
                              <a:lnTo>
                                <a:pt x="44" y="36"/>
                              </a:lnTo>
                              <a:lnTo>
                                <a:pt x="46" y="36"/>
                              </a:lnTo>
                              <a:lnTo>
                                <a:pt x="49" y="36"/>
                              </a:lnTo>
                              <a:lnTo>
                                <a:pt x="53" y="36"/>
                              </a:lnTo>
                              <a:lnTo>
                                <a:pt x="56" y="36"/>
                              </a:lnTo>
                              <a:lnTo>
                                <a:pt x="58" y="36"/>
                              </a:lnTo>
                              <a:lnTo>
                                <a:pt x="61" y="36"/>
                              </a:lnTo>
                              <a:lnTo>
                                <a:pt x="65" y="36"/>
                              </a:lnTo>
                              <a:lnTo>
                                <a:pt x="68" y="36"/>
                              </a:lnTo>
                              <a:lnTo>
                                <a:pt x="71" y="36"/>
                              </a:lnTo>
                              <a:lnTo>
                                <a:pt x="74" y="36"/>
                              </a:lnTo>
                              <a:lnTo>
                                <a:pt x="78" y="36"/>
                              </a:lnTo>
                              <a:lnTo>
                                <a:pt x="81" y="36"/>
                              </a:lnTo>
                              <a:lnTo>
                                <a:pt x="84" y="36"/>
                              </a:lnTo>
                              <a:lnTo>
                                <a:pt x="86" y="36"/>
                              </a:lnTo>
                              <a:lnTo>
                                <a:pt x="90" y="36"/>
                              </a:lnTo>
                              <a:lnTo>
                                <a:pt x="95" y="36"/>
                              </a:lnTo>
                              <a:lnTo>
                                <a:pt x="98" y="36"/>
                              </a:lnTo>
                              <a:lnTo>
                                <a:pt x="101" y="36"/>
                              </a:lnTo>
                              <a:lnTo>
                                <a:pt x="104" y="36"/>
                              </a:lnTo>
                              <a:lnTo>
                                <a:pt x="108" y="36"/>
                              </a:lnTo>
                              <a:lnTo>
                                <a:pt x="112" y="36"/>
                              </a:lnTo>
                              <a:lnTo>
                                <a:pt x="115" y="36"/>
                              </a:lnTo>
                              <a:lnTo>
                                <a:pt x="118" y="36"/>
                              </a:lnTo>
                              <a:lnTo>
                                <a:pt x="124" y="36"/>
                              </a:lnTo>
                              <a:lnTo>
                                <a:pt x="129" y="36"/>
                              </a:lnTo>
                              <a:lnTo>
                                <a:pt x="132" y="36"/>
                              </a:lnTo>
                              <a:lnTo>
                                <a:pt x="136" y="36"/>
                              </a:lnTo>
                              <a:lnTo>
                                <a:pt x="138" y="37"/>
                              </a:lnTo>
                              <a:lnTo>
                                <a:pt x="140" y="37"/>
                              </a:lnTo>
                              <a:lnTo>
                                <a:pt x="141" y="37"/>
                              </a:lnTo>
                              <a:lnTo>
                                <a:pt x="142" y="37"/>
                              </a:lnTo>
                              <a:lnTo>
                                <a:pt x="143" y="37"/>
                              </a:lnTo>
                              <a:lnTo>
                                <a:pt x="143" y="37"/>
                              </a:lnTo>
                              <a:lnTo>
                                <a:pt x="144" y="37"/>
                              </a:lnTo>
                              <a:lnTo>
                                <a:pt x="144" y="37"/>
                              </a:lnTo>
                              <a:lnTo>
                                <a:pt x="145" y="37"/>
                              </a:lnTo>
                              <a:lnTo>
                                <a:pt x="146" y="37"/>
                              </a:lnTo>
                              <a:lnTo>
                                <a:pt x="147" y="37"/>
                              </a:lnTo>
                              <a:lnTo>
                                <a:pt x="148" y="37"/>
                              </a:lnTo>
                              <a:lnTo>
                                <a:pt x="149" y="37"/>
                              </a:lnTo>
                              <a:lnTo>
                                <a:pt x="150" y="37"/>
                              </a:lnTo>
                              <a:lnTo>
                                <a:pt x="150" y="37"/>
                              </a:lnTo>
                              <a:lnTo>
                                <a:pt x="151" y="37"/>
                              </a:lnTo>
                              <a:lnTo>
                                <a:pt x="152" y="37"/>
                              </a:lnTo>
                              <a:lnTo>
                                <a:pt x="153" y="37"/>
                              </a:lnTo>
                              <a:lnTo>
                                <a:pt x="153" y="37"/>
                              </a:lnTo>
                              <a:lnTo>
                                <a:pt x="154" y="37"/>
                              </a:lnTo>
                              <a:lnTo>
                                <a:pt x="154" y="37"/>
                              </a:lnTo>
                              <a:lnTo>
                                <a:pt x="155" y="36"/>
                              </a:lnTo>
                              <a:lnTo>
                                <a:pt x="155" y="36"/>
                              </a:lnTo>
                              <a:lnTo>
                                <a:pt x="156" y="36"/>
                              </a:lnTo>
                              <a:lnTo>
                                <a:pt x="156" y="36"/>
                              </a:lnTo>
                              <a:lnTo>
                                <a:pt x="156" y="36"/>
                              </a:lnTo>
                              <a:lnTo>
                                <a:pt x="157" y="36"/>
                              </a:lnTo>
                              <a:lnTo>
                                <a:pt x="157" y="36"/>
                              </a:lnTo>
                              <a:lnTo>
                                <a:pt x="157" y="36"/>
                              </a:lnTo>
                              <a:lnTo>
                                <a:pt x="158" y="36"/>
                              </a:lnTo>
                              <a:lnTo>
                                <a:pt x="158" y="36"/>
                              </a:lnTo>
                              <a:lnTo>
                                <a:pt x="159" y="36"/>
                              </a:lnTo>
                              <a:lnTo>
                                <a:pt x="159" y="36"/>
                              </a:lnTo>
                              <a:lnTo>
                                <a:pt x="159" y="36"/>
                              </a:lnTo>
                              <a:lnTo>
                                <a:pt x="159" y="36"/>
                              </a:lnTo>
                              <a:lnTo>
                                <a:pt x="160" y="36"/>
                              </a:lnTo>
                              <a:lnTo>
                                <a:pt x="160" y="36"/>
                              </a:lnTo>
                              <a:lnTo>
                                <a:pt x="160" y="36"/>
                              </a:lnTo>
                              <a:lnTo>
                                <a:pt x="161" y="36"/>
                              </a:lnTo>
                              <a:lnTo>
                                <a:pt x="161" y="36"/>
                              </a:lnTo>
                              <a:lnTo>
                                <a:pt x="161" y="36"/>
                              </a:lnTo>
                              <a:lnTo>
                                <a:pt x="162" y="36"/>
                              </a:lnTo>
                              <a:lnTo>
                                <a:pt x="162" y="36"/>
                              </a:lnTo>
                              <a:lnTo>
                                <a:pt x="162" y="36"/>
                              </a:lnTo>
                              <a:lnTo>
                                <a:pt x="162" y="35"/>
                              </a:lnTo>
                              <a:lnTo>
                                <a:pt x="163" y="35"/>
                              </a:lnTo>
                              <a:lnTo>
                                <a:pt x="163" y="35"/>
                              </a:lnTo>
                              <a:lnTo>
                                <a:pt x="163" y="35"/>
                              </a:lnTo>
                              <a:lnTo>
                                <a:pt x="163" y="35"/>
                              </a:lnTo>
                              <a:lnTo>
                                <a:pt x="164" y="35"/>
                              </a:lnTo>
                              <a:lnTo>
                                <a:pt x="164" y="35"/>
                              </a:lnTo>
                              <a:lnTo>
                                <a:pt x="164" y="35"/>
                              </a:lnTo>
                              <a:lnTo>
                                <a:pt x="164" y="35"/>
                              </a:lnTo>
                              <a:lnTo>
                                <a:pt x="165" y="34"/>
                              </a:lnTo>
                              <a:lnTo>
                                <a:pt x="165" y="34"/>
                              </a:lnTo>
                              <a:lnTo>
                                <a:pt x="165" y="34"/>
                              </a:lnTo>
                              <a:lnTo>
                                <a:pt x="165" y="34"/>
                              </a:lnTo>
                              <a:lnTo>
                                <a:pt x="165" y="34"/>
                              </a:lnTo>
                              <a:lnTo>
                                <a:pt x="166" y="34"/>
                              </a:lnTo>
                              <a:lnTo>
                                <a:pt x="166" y="34"/>
                              </a:lnTo>
                              <a:lnTo>
                                <a:pt x="166" y="33"/>
                              </a:lnTo>
                              <a:lnTo>
                                <a:pt x="166" y="33"/>
                              </a:lnTo>
                              <a:lnTo>
                                <a:pt x="167" y="33"/>
                              </a:lnTo>
                              <a:lnTo>
                                <a:pt x="167" y="33"/>
                              </a:lnTo>
                              <a:lnTo>
                                <a:pt x="167" y="33"/>
                              </a:lnTo>
                              <a:lnTo>
                                <a:pt x="167" y="33"/>
                              </a:lnTo>
                              <a:lnTo>
                                <a:pt x="168" y="33"/>
                              </a:lnTo>
                              <a:lnTo>
                                <a:pt x="168" y="32"/>
                              </a:lnTo>
                              <a:lnTo>
                                <a:pt x="168" y="32"/>
                              </a:lnTo>
                              <a:lnTo>
                                <a:pt x="169" y="32"/>
                              </a:lnTo>
                              <a:lnTo>
                                <a:pt x="169" y="31"/>
                              </a:lnTo>
                              <a:lnTo>
                                <a:pt x="169" y="31"/>
                              </a:lnTo>
                              <a:lnTo>
                                <a:pt x="170" y="31"/>
                              </a:lnTo>
                              <a:lnTo>
                                <a:pt x="170" y="30"/>
                              </a:lnTo>
                              <a:lnTo>
                                <a:pt x="171" y="30"/>
                              </a:lnTo>
                              <a:lnTo>
                                <a:pt x="172" y="29"/>
                              </a:lnTo>
                              <a:lnTo>
                                <a:pt x="172" y="28"/>
                              </a:lnTo>
                              <a:lnTo>
                                <a:pt x="173" y="28"/>
                              </a:lnTo>
                              <a:lnTo>
                                <a:pt x="173" y="28"/>
                              </a:lnTo>
                              <a:lnTo>
                                <a:pt x="174" y="27"/>
                              </a:lnTo>
                              <a:lnTo>
                                <a:pt x="174" y="27"/>
                              </a:lnTo>
                              <a:lnTo>
                                <a:pt x="175" y="27"/>
                              </a:lnTo>
                              <a:lnTo>
                                <a:pt x="175" y="26"/>
                              </a:lnTo>
                              <a:lnTo>
                                <a:pt x="175" y="26"/>
                              </a:lnTo>
                              <a:lnTo>
                                <a:pt x="175" y="26"/>
                              </a:lnTo>
                              <a:lnTo>
                                <a:pt x="176" y="26"/>
                              </a:lnTo>
                              <a:lnTo>
                                <a:pt x="176" y="26"/>
                              </a:lnTo>
                              <a:lnTo>
                                <a:pt x="176" y="26"/>
                              </a:lnTo>
                              <a:lnTo>
                                <a:pt x="176" y="25"/>
                              </a:lnTo>
                              <a:lnTo>
                                <a:pt x="176" y="25"/>
                              </a:lnTo>
                              <a:lnTo>
                                <a:pt x="177" y="25"/>
                              </a:lnTo>
                              <a:lnTo>
                                <a:pt x="177" y="25"/>
                              </a:lnTo>
                              <a:lnTo>
                                <a:pt x="177" y="25"/>
                              </a:lnTo>
                              <a:lnTo>
                                <a:pt x="177" y="25"/>
                              </a:lnTo>
                              <a:lnTo>
                                <a:pt x="177" y="25"/>
                              </a:lnTo>
                              <a:lnTo>
                                <a:pt x="177" y="25"/>
                              </a:lnTo>
                              <a:lnTo>
                                <a:pt x="177" y="25"/>
                              </a:lnTo>
                              <a:lnTo>
                                <a:pt x="178" y="24"/>
                              </a:lnTo>
                              <a:lnTo>
                                <a:pt x="178" y="24"/>
                              </a:lnTo>
                              <a:lnTo>
                                <a:pt x="178" y="24"/>
                              </a:lnTo>
                              <a:lnTo>
                                <a:pt x="179" y="24"/>
                              </a:lnTo>
                              <a:lnTo>
                                <a:pt x="179" y="24"/>
                              </a:lnTo>
                              <a:lnTo>
                                <a:pt x="179" y="24"/>
                              </a:lnTo>
                              <a:lnTo>
                                <a:pt x="179" y="24"/>
                              </a:lnTo>
                              <a:lnTo>
                                <a:pt x="180" y="24"/>
                              </a:lnTo>
                              <a:lnTo>
                                <a:pt x="180" y="24"/>
                              </a:lnTo>
                              <a:lnTo>
                                <a:pt x="180" y="24"/>
                              </a:lnTo>
                              <a:lnTo>
                                <a:pt x="180" y="23"/>
                              </a:lnTo>
                              <a:lnTo>
                                <a:pt x="181" y="23"/>
                              </a:lnTo>
                              <a:lnTo>
                                <a:pt x="181" y="23"/>
                              </a:lnTo>
                              <a:lnTo>
                                <a:pt x="181" y="23"/>
                              </a:lnTo>
                              <a:lnTo>
                                <a:pt x="182" y="23"/>
                              </a:lnTo>
                              <a:lnTo>
                                <a:pt x="182" y="23"/>
                              </a:lnTo>
                              <a:lnTo>
                                <a:pt x="182" y="23"/>
                              </a:lnTo>
                              <a:lnTo>
                                <a:pt x="183" y="23"/>
                              </a:lnTo>
                              <a:lnTo>
                                <a:pt x="183" y="23"/>
                              </a:lnTo>
                              <a:lnTo>
                                <a:pt x="183" y="23"/>
                              </a:lnTo>
                              <a:lnTo>
                                <a:pt x="183" y="23"/>
                              </a:lnTo>
                              <a:lnTo>
                                <a:pt x="184" y="23"/>
                              </a:lnTo>
                              <a:lnTo>
                                <a:pt x="184" y="23"/>
                              </a:lnTo>
                              <a:lnTo>
                                <a:pt x="184" y="23"/>
                              </a:lnTo>
                              <a:lnTo>
                                <a:pt x="185" y="23"/>
                              </a:lnTo>
                              <a:lnTo>
                                <a:pt x="185" y="23"/>
                              </a:lnTo>
                              <a:lnTo>
                                <a:pt x="186" y="23"/>
                              </a:lnTo>
                              <a:lnTo>
                                <a:pt x="186" y="23"/>
                              </a:lnTo>
                              <a:lnTo>
                                <a:pt x="186" y="23"/>
                              </a:lnTo>
                              <a:lnTo>
                                <a:pt x="187" y="23"/>
                              </a:lnTo>
                              <a:lnTo>
                                <a:pt x="188" y="23"/>
                              </a:lnTo>
                              <a:lnTo>
                                <a:pt x="188" y="23"/>
                              </a:lnTo>
                              <a:lnTo>
                                <a:pt x="189" y="23"/>
                              </a:lnTo>
                              <a:lnTo>
                                <a:pt x="189" y="24"/>
                              </a:lnTo>
                              <a:lnTo>
                                <a:pt x="189" y="24"/>
                              </a:lnTo>
                              <a:lnTo>
                                <a:pt x="190" y="24"/>
                              </a:lnTo>
                              <a:lnTo>
                                <a:pt x="190" y="24"/>
                              </a:lnTo>
                              <a:lnTo>
                                <a:pt x="190" y="24"/>
                              </a:lnTo>
                              <a:lnTo>
                                <a:pt x="191" y="24"/>
                              </a:lnTo>
                              <a:lnTo>
                                <a:pt x="191" y="24"/>
                              </a:lnTo>
                              <a:lnTo>
                                <a:pt x="191" y="24"/>
                              </a:lnTo>
                              <a:lnTo>
                                <a:pt x="191" y="24"/>
                              </a:lnTo>
                              <a:lnTo>
                                <a:pt x="191" y="24"/>
                              </a:lnTo>
                              <a:lnTo>
                                <a:pt x="192" y="24"/>
                              </a:lnTo>
                              <a:lnTo>
                                <a:pt x="192" y="24"/>
                              </a:lnTo>
                              <a:lnTo>
                                <a:pt x="192" y="24"/>
                              </a:lnTo>
                              <a:lnTo>
                                <a:pt x="192" y="24"/>
                              </a:lnTo>
                              <a:lnTo>
                                <a:pt x="192" y="24"/>
                              </a:lnTo>
                              <a:lnTo>
                                <a:pt x="192" y="24"/>
                              </a:lnTo>
                              <a:lnTo>
                                <a:pt x="193" y="24"/>
                              </a:lnTo>
                              <a:lnTo>
                                <a:pt x="193" y="24"/>
                              </a:lnTo>
                              <a:lnTo>
                                <a:pt x="193" y="24"/>
                              </a:lnTo>
                              <a:lnTo>
                                <a:pt x="193" y="23"/>
                              </a:lnTo>
                              <a:lnTo>
                                <a:pt x="193" y="23"/>
                              </a:lnTo>
                              <a:lnTo>
                                <a:pt x="194" y="23"/>
                              </a:lnTo>
                              <a:lnTo>
                                <a:pt x="194" y="23"/>
                              </a:lnTo>
                              <a:lnTo>
                                <a:pt x="194" y="23"/>
                              </a:lnTo>
                              <a:lnTo>
                                <a:pt x="194" y="23"/>
                              </a:lnTo>
                              <a:lnTo>
                                <a:pt x="194" y="23"/>
                              </a:lnTo>
                              <a:lnTo>
                                <a:pt x="194" y="23"/>
                              </a:lnTo>
                              <a:lnTo>
                                <a:pt x="195" y="23"/>
                              </a:lnTo>
                              <a:lnTo>
                                <a:pt x="195" y="23"/>
                              </a:lnTo>
                              <a:lnTo>
                                <a:pt x="195" y="23"/>
                              </a:lnTo>
                              <a:lnTo>
                                <a:pt x="195" y="22"/>
                              </a:lnTo>
                              <a:lnTo>
                                <a:pt x="195" y="22"/>
                              </a:lnTo>
                              <a:lnTo>
                                <a:pt x="195" y="22"/>
                              </a:lnTo>
                              <a:lnTo>
                                <a:pt x="195" y="22"/>
                              </a:lnTo>
                              <a:lnTo>
                                <a:pt x="195" y="22"/>
                              </a:lnTo>
                              <a:lnTo>
                                <a:pt x="195" y="22"/>
                              </a:lnTo>
                              <a:lnTo>
                                <a:pt x="196" y="22"/>
                              </a:lnTo>
                              <a:lnTo>
                                <a:pt x="196" y="21"/>
                              </a:lnTo>
                              <a:lnTo>
                                <a:pt x="196" y="21"/>
                              </a:lnTo>
                              <a:lnTo>
                                <a:pt x="196" y="21"/>
                              </a:lnTo>
                              <a:lnTo>
                                <a:pt x="197" y="21"/>
                              </a:lnTo>
                              <a:lnTo>
                                <a:pt x="197" y="20"/>
                              </a:lnTo>
                              <a:lnTo>
                                <a:pt x="197" y="20"/>
                              </a:lnTo>
                              <a:lnTo>
                                <a:pt x="197" y="20"/>
                              </a:lnTo>
                              <a:lnTo>
                                <a:pt x="197" y="19"/>
                              </a:lnTo>
                              <a:lnTo>
                                <a:pt x="198" y="19"/>
                              </a:lnTo>
                              <a:lnTo>
                                <a:pt x="198" y="18"/>
                              </a:lnTo>
                              <a:lnTo>
                                <a:pt x="198" y="18"/>
                              </a:lnTo>
                              <a:lnTo>
                                <a:pt x="198" y="18"/>
                              </a:lnTo>
                              <a:lnTo>
                                <a:pt x="198" y="17"/>
                              </a:lnTo>
                              <a:lnTo>
                                <a:pt x="199" y="17"/>
                              </a:lnTo>
                              <a:lnTo>
                                <a:pt x="199" y="16"/>
                              </a:lnTo>
                              <a:lnTo>
                                <a:pt x="199" y="15"/>
                              </a:lnTo>
                              <a:lnTo>
                                <a:pt x="200" y="15"/>
                              </a:lnTo>
                              <a:lnTo>
                                <a:pt x="200" y="14"/>
                              </a:lnTo>
                              <a:lnTo>
                                <a:pt x="200" y="13"/>
                              </a:lnTo>
                              <a:lnTo>
                                <a:pt x="201" y="12"/>
                              </a:lnTo>
                              <a:lnTo>
                                <a:pt x="201" y="11"/>
                              </a:lnTo>
                              <a:lnTo>
                                <a:pt x="202" y="9"/>
                              </a:lnTo>
                              <a:lnTo>
                                <a:pt x="202" y="9"/>
                              </a:lnTo>
                              <a:lnTo>
                                <a:pt x="202" y="8"/>
                              </a:lnTo>
                              <a:lnTo>
                                <a:pt x="203" y="7"/>
                              </a:lnTo>
                              <a:lnTo>
                                <a:pt x="203" y="6"/>
                              </a:lnTo>
                              <a:lnTo>
                                <a:pt x="204" y="5"/>
                              </a:lnTo>
                              <a:lnTo>
                                <a:pt x="204" y="5"/>
                              </a:lnTo>
                              <a:lnTo>
                                <a:pt x="204" y="4"/>
                              </a:lnTo>
                              <a:lnTo>
                                <a:pt x="204" y="4"/>
                              </a:lnTo>
                              <a:lnTo>
                                <a:pt x="205" y="3"/>
                              </a:lnTo>
                              <a:lnTo>
                                <a:pt x="205" y="3"/>
                              </a:lnTo>
                              <a:lnTo>
                                <a:pt x="205" y="2"/>
                              </a:lnTo>
                              <a:lnTo>
                                <a:pt x="205" y="2"/>
                              </a:lnTo>
                              <a:lnTo>
                                <a:pt x="206" y="2"/>
                              </a:lnTo>
                              <a:lnTo>
                                <a:pt x="206" y="1"/>
                              </a:lnTo>
                              <a:lnTo>
                                <a:pt x="206" y="1"/>
                              </a:lnTo>
                              <a:lnTo>
                                <a:pt x="206" y="1"/>
                              </a:lnTo>
                              <a:lnTo>
                                <a:pt x="207" y="1"/>
                              </a:lnTo>
                              <a:lnTo>
                                <a:pt x="207" y="0"/>
                              </a:lnTo>
                              <a:lnTo>
                                <a:pt x="207" y="0"/>
                              </a:lnTo>
                              <a:lnTo>
                                <a:pt x="207" y="0"/>
                              </a:lnTo>
                              <a:lnTo>
                                <a:pt x="208" y="0"/>
                              </a:lnTo>
                              <a:lnTo>
                                <a:pt x="208" y="0"/>
                              </a:lnTo>
                              <a:lnTo>
                                <a:pt x="208" y="0"/>
                              </a:lnTo>
                              <a:lnTo>
                                <a:pt x="208" y="0"/>
                              </a:lnTo>
                              <a:lnTo>
                                <a:pt x="209" y="0"/>
                              </a:lnTo>
                              <a:lnTo>
                                <a:pt x="209" y="0"/>
                              </a:lnTo>
                              <a:lnTo>
                                <a:pt x="209" y="0"/>
                              </a:lnTo>
                              <a:lnTo>
                                <a:pt x="210" y="0"/>
                              </a:lnTo>
                              <a:lnTo>
                                <a:pt x="210" y="1"/>
                              </a:lnTo>
                              <a:lnTo>
                                <a:pt x="210" y="1"/>
                              </a:lnTo>
                              <a:lnTo>
                                <a:pt x="210" y="1"/>
                              </a:lnTo>
                              <a:lnTo>
                                <a:pt x="211" y="1"/>
                              </a:lnTo>
                              <a:lnTo>
                                <a:pt x="211" y="2"/>
                              </a:lnTo>
                              <a:lnTo>
                                <a:pt x="212" y="2"/>
                              </a:lnTo>
                              <a:lnTo>
                                <a:pt x="212" y="3"/>
                              </a:lnTo>
                              <a:lnTo>
                                <a:pt x="212" y="3"/>
                              </a:lnTo>
                              <a:lnTo>
                                <a:pt x="213" y="3"/>
                              </a:lnTo>
                              <a:lnTo>
                                <a:pt x="213" y="4"/>
                              </a:lnTo>
                              <a:lnTo>
                                <a:pt x="213" y="5"/>
                              </a:lnTo>
                              <a:lnTo>
                                <a:pt x="214" y="6"/>
                              </a:lnTo>
                              <a:lnTo>
                                <a:pt x="215" y="7"/>
                              </a:lnTo>
                              <a:lnTo>
                                <a:pt x="216" y="8"/>
                              </a:lnTo>
                              <a:lnTo>
                                <a:pt x="216" y="9"/>
                              </a:lnTo>
                              <a:lnTo>
                                <a:pt x="217" y="10"/>
                              </a:lnTo>
                              <a:lnTo>
                                <a:pt x="217" y="11"/>
                              </a:lnTo>
                              <a:lnTo>
                                <a:pt x="218" y="12"/>
                              </a:lnTo>
                              <a:lnTo>
                                <a:pt x="218" y="12"/>
                              </a:lnTo>
                              <a:lnTo>
                                <a:pt x="219" y="13"/>
                              </a:lnTo>
                              <a:lnTo>
                                <a:pt x="219" y="13"/>
                              </a:lnTo>
                              <a:lnTo>
                                <a:pt x="219" y="14"/>
                              </a:lnTo>
                              <a:lnTo>
                                <a:pt x="220" y="14"/>
                              </a:lnTo>
                              <a:lnTo>
                                <a:pt x="220" y="15"/>
                              </a:lnTo>
                              <a:lnTo>
                                <a:pt x="221" y="15"/>
                              </a:lnTo>
                              <a:lnTo>
                                <a:pt x="221" y="16"/>
                              </a:lnTo>
                              <a:lnTo>
                                <a:pt x="221" y="16"/>
                              </a:lnTo>
                              <a:lnTo>
                                <a:pt x="222" y="16"/>
                              </a:lnTo>
                              <a:lnTo>
                                <a:pt x="222" y="17"/>
                              </a:lnTo>
                              <a:lnTo>
                                <a:pt x="222" y="17"/>
                              </a:lnTo>
                              <a:lnTo>
                                <a:pt x="223" y="17"/>
                              </a:lnTo>
                              <a:lnTo>
                                <a:pt x="223" y="18"/>
                              </a:lnTo>
                              <a:lnTo>
                                <a:pt x="223" y="18"/>
                              </a:lnTo>
                              <a:lnTo>
                                <a:pt x="224" y="18"/>
                              </a:lnTo>
                              <a:lnTo>
                                <a:pt x="224" y="19"/>
                              </a:lnTo>
                              <a:lnTo>
                                <a:pt x="224" y="19"/>
                              </a:lnTo>
                              <a:lnTo>
                                <a:pt x="225" y="19"/>
                              </a:lnTo>
                              <a:lnTo>
                                <a:pt x="225" y="19"/>
                              </a:lnTo>
                              <a:lnTo>
                                <a:pt x="226" y="20"/>
                              </a:lnTo>
                              <a:lnTo>
                                <a:pt x="226" y="20"/>
                              </a:lnTo>
                              <a:lnTo>
                                <a:pt x="226" y="20"/>
                              </a:lnTo>
                              <a:lnTo>
                                <a:pt x="227" y="20"/>
                              </a:lnTo>
                              <a:lnTo>
                                <a:pt x="227" y="21"/>
                              </a:lnTo>
                              <a:lnTo>
                                <a:pt x="227" y="21"/>
                              </a:lnTo>
                              <a:lnTo>
                                <a:pt x="228" y="21"/>
                              </a:lnTo>
                              <a:lnTo>
                                <a:pt x="228" y="21"/>
                              </a:lnTo>
                              <a:lnTo>
                                <a:pt x="229" y="21"/>
                              </a:lnTo>
                              <a:lnTo>
                                <a:pt x="229" y="21"/>
                              </a:lnTo>
                              <a:lnTo>
                                <a:pt x="230" y="21"/>
                              </a:lnTo>
                              <a:lnTo>
                                <a:pt x="230" y="22"/>
                              </a:lnTo>
                              <a:lnTo>
                                <a:pt x="231" y="22"/>
                              </a:lnTo>
                              <a:lnTo>
                                <a:pt x="231" y="22"/>
                              </a:lnTo>
                              <a:lnTo>
                                <a:pt x="231" y="22"/>
                              </a:lnTo>
                              <a:lnTo>
                                <a:pt x="232" y="22"/>
                              </a:lnTo>
                              <a:lnTo>
                                <a:pt x="232" y="22"/>
                              </a:lnTo>
                              <a:lnTo>
                                <a:pt x="233" y="22"/>
                              </a:lnTo>
                              <a:lnTo>
                                <a:pt x="233" y="22"/>
                              </a:lnTo>
                              <a:lnTo>
                                <a:pt x="233" y="22"/>
                              </a:lnTo>
                              <a:lnTo>
                                <a:pt x="234" y="22"/>
                              </a:lnTo>
                              <a:lnTo>
                                <a:pt x="234" y="23"/>
                              </a:lnTo>
                              <a:lnTo>
                                <a:pt x="235" y="23"/>
                              </a:lnTo>
                              <a:lnTo>
                                <a:pt x="236" y="23"/>
                              </a:lnTo>
                              <a:lnTo>
                                <a:pt x="236" y="23"/>
                              </a:lnTo>
                              <a:lnTo>
                                <a:pt x="237" y="23"/>
                              </a:lnTo>
                              <a:lnTo>
                                <a:pt x="237" y="23"/>
                              </a:lnTo>
                              <a:lnTo>
                                <a:pt x="238" y="23"/>
                              </a:lnTo>
                              <a:lnTo>
                                <a:pt x="240" y="23"/>
                              </a:lnTo>
                              <a:lnTo>
                                <a:pt x="241" y="23"/>
                              </a:lnTo>
                              <a:lnTo>
                                <a:pt x="242" y="23"/>
                              </a:lnTo>
                              <a:lnTo>
                                <a:pt x="242" y="23"/>
                              </a:lnTo>
                              <a:lnTo>
                                <a:pt x="243" y="23"/>
                              </a:lnTo>
                              <a:lnTo>
                                <a:pt x="244" y="23"/>
                              </a:lnTo>
                              <a:lnTo>
                                <a:pt x="244" y="23"/>
                              </a:lnTo>
                              <a:lnTo>
                                <a:pt x="245" y="24"/>
                              </a:lnTo>
                              <a:lnTo>
                                <a:pt x="246" y="24"/>
                              </a:lnTo>
                              <a:lnTo>
                                <a:pt x="247" y="24"/>
                              </a:lnTo>
                              <a:lnTo>
                                <a:pt x="247" y="24"/>
                              </a:lnTo>
                              <a:lnTo>
                                <a:pt x="248" y="24"/>
                              </a:lnTo>
                              <a:lnTo>
                                <a:pt x="248" y="24"/>
                              </a:lnTo>
                              <a:lnTo>
                                <a:pt x="249" y="25"/>
                              </a:lnTo>
                              <a:lnTo>
                                <a:pt x="250" y="25"/>
                              </a:lnTo>
                              <a:lnTo>
                                <a:pt x="251" y="25"/>
                              </a:lnTo>
                              <a:lnTo>
                                <a:pt x="251" y="25"/>
                              </a:lnTo>
                              <a:lnTo>
                                <a:pt x="252" y="25"/>
                              </a:lnTo>
                              <a:lnTo>
                                <a:pt x="252" y="25"/>
                              </a:lnTo>
                              <a:lnTo>
                                <a:pt x="253" y="26"/>
                              </a:lnTo>
                              <a:lnTo>
                                <a:pt x="253" y="26"/>
                              </a:lnTo>
                              <a:lnTo>
                                <a:pt x="254" y="26"/>
                              </a:lnTo>
                              <a:lnTo>
                                <a:pt x="254" y="26"/>
                              </a:lnTo>
                              <a:lnTo>
                                <a:pt x="254" y="26"/>
                              </a:lnTo>
                              <a:lnTo>
                                <a:pt x="255" y="26"/>
                              </a:lnTo>
                              <a:lnTo>
                                <a:pt x="255" y="26"/>
                              </a:lnTo>
                              <a:lnTo>
                                <a:pt x="256" y="26"/>
                              </a:lnTo>
                              <a:lnTo>
                                <a:pt x="256" y="26"/>
                              </a:lnTo>
                              <a:lnTo>
                                <a:pt x="256" y="26"/>
                              </a:lnTo>
                              <a:lnTo>
                                <a:pt x="257" y="26"/>
                              </a:lnTo>
                              <a:lnTo>
                                <a:pt x="257" y="26"/>
                              </a:lnTo>
                              <a:lnTo>
                                <a:pt x="257" y="26"/>
                              </a:lnTo>
                              <a:lnTo>
                                <a:pt x="258" y="26"/>
                              </a:lnTo>
                              <a:lnTo>
                                <a:pt x="258" y="26"/>
                              </a:lnTo>
                              <a:lnTo>
                                <a:pt x="259" y="26"/>
                              </a:lnTo>
                              <a:lnTo>
                                <a:pt x="259" y="26"/>
                              </a:lnTo>
                              <a:lnTo>
                                <a:pt x="260" y="26"/>
                              </a:lnTo>
                              <a:lnTo>
                                <a:pt x="260" y="26"/>
                              </a:lnTo>
                              <a:lnTo>
                                <a:pt x="260" y="26"/>
                              </a:lnTo>
                              <a:lnTo>
                                <a:pt x="261" y="26"/>
                              </a:lnTo>
                              <a:lnTo>
                                <a:pt x="261" y="26"/>
                              </a:lnTo>
                              <a:lnTo>
                                <a:pt x="262" y="26"/>
                              </a:lnTo>
                              <a:lnTo>
                                <a:pt x="262" y="26"/>
                              </a:lnTo>
                              <a:lnTo>
                                <a:pt x="263" y="26"/>
                              </a:lnTo>
                              <a:lnTo>
                                <a:pt x="263" y="25"/>
                              </a:lnTo>
                              <a:lnTo>
                                <a:pt x="263" y="25"/>
                              </a:lnTo>
                              <a:lnTo>
                                <a:pt x="264" y="25"/>
                              </a:lnTo>
                              <a:lnTo>
                                <a:pt x="264" y="25"/>
                              </a:lnTo>
                              <a:lnTo>
                                <a:pt x="265" y="25"/>
                              </a:lnTo>
                              <a:lnTo>
                                <a:pt x="265" y="25"/>
                              </a:lnTo>
                              <a:lnTo>
                                <a:pt x="266" y="25"/>
                              </a:lnTo>
                              <a:lnTo>
                                <a:pt x="266" y="25"/>
                              </a:lnTo>
                              <a:lnTo>
                                <a:pt x="266" y="25"/>
                              </a:lnTo>
                              <a:lnTo>
                                <a:pt x="267" y="25"/>
                              </a:lnTo>
                              <a:lnTo>
                                <a:pt x="267" y="24"/>
                              </a:lnTo>
                              <a:lnTo>
                                <a:pt x="267" y="24"/>
                              </a:lnTo>
                              <a:lnTo>
                                <a:pt x="268" y="24"/>
                              </a:lnTo>
                              <a:lnTo>
                                <a:pt x="268" y="24"/>
                              </a:lnTo>
                              <a:lnTo>
                                <a:pt x="268" y="24"/>
                              </a:lnTo>
                              <a:lnTo>
                                <a:pt x="269" y="24"/>
                              </a:lnTo>
                              <a:lnTo>
                                <a:pt x="269" y="24"/>
                              </a:lnTo>
                              <a:lnTo>
                                <a:pt x="269" y="24"/>
                              </a:lnTo>
                              <a:lnTo>
                                <a:pt x="269" y="24"/>
                              </a:lnTo>
                              <a:lnTo>
                                <a:pt x="270" y="24"/>
                              </a:lnTo>
                              <a:lnTo>
                                <a:pt x="270" y="23"/>
                              </a:lnTo>
                              <a:lnTo>
                                <a:pt x="270" y="23"/>
                              </a:lnTo>
                              <a:lnTo>
                                <a:pt x="271" y="23"/>
                              </a:lnTo>
                              <a:lnTo>
                                <a:pt x="271" y="23"/>
                              </a:lnTo>
                              <a:lnTo>
                                <a:pt x="271" y="23"/>
                              </a:lnTo>
                              <a:lnTo>
                                <a:pt x="271" y="23"/>
                              </a:lnTo>
                              <a:lnTo>
                                <a:pt x="272" y="23"/>
                              </a:lnTo>
                              <a:lnTo>
                                <a:pt x="272" y="22"/>
                              </a:lnTo>
                              <a:lnTo>
                                <a:pt x="272" y="22"/>
                              </a:lnTo>
                              <a:lnTo>
                                <a:pt x="272" y="22"/>
                              </a:lnTo>
                              <a:lnTo>
                                <a:pt x="272" y="22"/>
                              </a:lnTo>
                              <a:lnTo>
                                <a:pt x="273" y="21"/>
                              </a:lnTo>
                              <a:lnTo>
                                <a:pt x="273" y="21"/>
                              </a:lnTo>
                              <a:lnTo>
                                <a:pt x="273" y="21"/>
                              </a:lnTo>
                              <a:lnTo>
                                <a:pt x="274" y="20"/>
                              </a:lnTo>
                              <a:lnTo>
                                <a:pt x="274" y="20"/>
                              </a:lnTo>
                              <a:lnTo>
                                <a:pt x="275" y="19"/>
                              </a:lnTo>
                              <a:lnTo>
                                <a:pt x="275" y="19"/>
                              </a:lnTo>
                              <a:lnTo>
                                <a:pt x="276" y="18"/>
                              </a:lnTo>
                              <a:lnTo>
                                <a:pt x="277" y="17"/>
                              </a:lnTo>
                              <a:lnTo>
                                <a:pt x="277" y="17"/>
                              </a:lnTo>
                              <a:lnTo>
                                <a:pt x="278" y="16"/>
                              </a:lnTo>
                              <a:lnTo>
                                <a:pt x="278" y="16"/>
                              </a:lnTo>
                              <a:lnTo>
                                <a:pt x="278" y="15"/>
                              </a:lnTo>
                              <a:lnTo>
                                <a:pt x="279" y="15"/>
                              </a:lnTo>
                              <a:lnTo>
                                <a:pt x="279" y="15"/>
                              </a:lnTo>
                              <a:lnTo>
                                <a:pt x="280" y="14"/>
                              </a:lnTo>
                              <a:lnTo>
                                <a:pt x="280" y="14"/>
                              </a:lnTo>
                              <a:lnTo>
                                <a:pt x="281" y="14"/>
                              </a:lnTo>
                              <a:lnTo>
                                <a:pt x="281" y="13"/>
                              </a:lnTo>
                              <a:lnTo>
                                <a:pt x="281" y="13"/>
                              </a:lnTo>
                              <a:lnTo>
                                <a:pt x="281" y="13"/>
                              </a:lnTo>
                              <a:lnTo>
                                <a:pt x="281" y="13"/>
                              </a:lnTo>
                              <a:lnTo>
                                <a:pt x="282" y="13"/>
                              </a:lnTo>
                              <a:lnTo>
                                <a:pt x="282" y="13"/>
                              </a:lnTo>
                              <a:lnTo>
                                <a:pt x="282" y="13"/>
                              </a:lnTo>
                              <a:lnTo>
                                <a:pt x="283" y="13"/>
                              </a:lnTo>
                              <a:lnTo>
                                <a:pt x="283" y="13"/>
                              </a:lnTo>
                              <a:lnTo>
                                <a:pt x="283" y="13"/>
                              </a:lnTo>
                              <a:lnTo>
                                <a:pt x="283" y="13"/>
                              </a:lnTo>
                              <a:lnTo>
                                <a:pt x="284" y="13"/>
                              </a:lnTo>
                              <a:lnTo>
                                <a:pt x="284" y="13"/>
                              </a:lnTo>
                              <a:lnTo>
                                <a:pt x="284" y="13"/>
                              </a:lnTo>
                              <a:lnTo>
                                <a:pt x="284" y="13"/>
                              </a:lnTo>
                              <a:lnTo>
                                <a:pt x="285" y="13"/>
                              </a:lnTo>
                              <a:lnTo>
                                <a:pt x="285" y="13"/>
                              </a:lnTo>
                              <a:lnTo>
                                <a:pt x="286" y="13"/>
                              </a:lnTo>
                              <a:lnTo>
                                <a:pt x="286" y="13"/>
                              </a:lnTo>
                              <a:lnTo>
                                <a:pt x="286" y="13"/>
                              </a:lnTo>
                              <a:lnTo>
                                <a:pt x="287" y="14"/>
                              </a:lnTo>
                              <a:lnTo>
                                <a:pt x="287" y="14"/>
                              </a:lnTo>
                              <a:lnTo>
                                <a:pt x="288" y="14"/>
                              </a:lnTo>
                              <a:lnTo>
                                <a:pt x="288" y="14"/>
                              </a:lnTo>
                              <a:lnTo>
                                <a:pt x="289" y="14"/>
                              </a:lnTo>
                              <a:lnTo>
                                <a:pt x="289" y="15"/>
                              </a:lnTo>
                              <a:lnTo>
                                <a:pt x="290" y="15"/>
                              </a:lnTo>
                              <a:lnTo>
                                <a:pt x="291" y="15"/>
                              </a:lnTo>
                              <a:lnTo>
                                <a:pt x="292" y="16"/>
                              </a:lnTo>
                              <a:lnTo>
                                <a:pt x="293" y="17"/>
                              </a:lnTo>
                              <a:lnTo>
                                <a:pt x="295" y="18"/>
                              </a:lnTo>
                              <a:lnTo>
                                <a:pt x="296" y="18"/>
                              </a:lnTo>
                              <a:lnTo>
                                <a:pt x="297" y="19"/>
                              </a:lnTo>
                              <a:lnTo>
                                <a:pt x="299" y="19"/>
                              </a:lnTo>
                              <a:lnTo>
                                <a:pt x="300" y="20"/>
                              </a:lnTo>
                              <a:lnTo>
                                <a:pt x="301" y="21"/>
                              </a:lnTo>
                              <a:lnTo>
                                <a:pt x="302" y="21"/>
                              </a:lnTo>
                              <a:lnTo>
                                <a:pt x="303" y="22"/>
                              </a:lnTo>
                              <a:lnTo>
                                <a:pt x="304" y="22"/>
                              </a:lnTo>
                              <a:lnTo>
                                <a:pt x="305" y="22"/>
                              </a:lnTo>
                              <a:lnTo>
                                <a:pt x="306" y="23"/>
                              </a:lnTo>
                              <a:lnTo>
                                <a:pt x="306" y="23"/>
                              </a:lnTo>
                              <a:lnTo>
                                <a:pt x="307" y="23"/>
                              </a:lnTo>
                              <a:lnTo>
                                <a:pt x="308" y="23"/>
                              </a:lnTo>
                              <a:lnTo>
                                <a:pt x="308" y="24"/>
                              </a:lnTo>
                              <a:lnTo>
                                <a:pt x="309" y="24"/>
                              </a:lnTo>
                              <a:lnTo>
                                <a:pt x="310" y="24"/>
                              </a:lnTo>
                              <a:lnTo>
                                <a:pt x="311" y="24"/>
                              </a:lnTo>
                              <a:lnTo>
                                <a:pt x="311" y="25"/>
                              </a:lnTo>
                              <a:lnTo>
                                <a:pt x="312" y="25"/>
                              </a:lnTo>
                              <a:lnTo>
                                <a:pt x="313" y="25"/>
                              </a:lnTo>
                              <a:lnTo>
                                <a:pt x="314" y="25"/>
                              </a:lnTo>
                              <a:lnTo>
                                <a:pt x="314" y="25"/>
                              </a:lnTo>
                              <a:lnTo>
                                <a:pt x="315" y="26"/>
                              </a:lnTo>
                              <a:lnTo>
                                <a:pt x="316" y="26"/>
                              </a:lnTo>
                              <a:lnTo>
                                <a:pt x="316" y="26"/>
                              </a:lnTo>
                              <a:lnTo>
                                <a:pt x="317" y="26"/>
                              </a:lnTo>
                              <a:lnTo>
                                <a:pt x="317" y="26"/>
                              </a:lnTo>
                              <a:lnTo>
                                <a:pt x="317" y="26"/>
                              </a:lnTo>
                              <a:lnTo>
                                <a:pt x="318" y="26"/>
                              </a:lnTo>
                              <a:lnTo>
                                <a:pt x="318" y="26"/>
                              </a:lnTo>
                              <a:lnTo>
                                <a:pt x="318" y="27"/>
                              </a:lnTo>
                              <a:lnTo>
                                <a:pt x="320" y="27"/>
                              </a:lnTo>
                              <a:lnTo>
                                <a:pt x="320" y="27"/>
                              </a:lnTo>
                              <a:lnTo>
                                <a:pt x="322" y="27"/>
                              </a:lnTo>
                              <a:lnTo>
                                <a:pt x="323" y="27"/>
                              </a:lnTo>
                              <a:lnTo>
                                <a:pt x="324" y="28"/>
                              </a:lnTo>
                              <a:lnTo>
                                <a:pt x="326" y="28"/>
                              </a:lnTo>
                              <a:lnTo>
                                <a:pt x="327" y="28"/>
                              </a:lnTo>
                              <a:lnTo>
                                <a:pt x="328" y="28"/>
                              </a:lnTo>
                              <a:lnTo>
                                <a:pt x="329" y="29"/>
                              </a:lnTo>
                              <a:lnTo>
                                <a:pt x="330" y="29"/>
                              </a:lnTo>
                              <a:lnTo>
                                <a:pt x="331" y="29"/>
                              </a:lnTo>
                              <a:lnTo>
                                <a:pt x="332" y="29"/>
                              </a:lnTo>
                              <a:lnTo>
                                <a:pt x="332" y="29"/>
                              </a:lnTo>
                              <a:lnTo>
                                <a:pt x="333" y="29"/>
                              </a:lnTo>
                              <a:lnTo>
                                <a:pt x="334" y="29"/>
                              </a:lnTo>
                              <a:lnTo>
                                <a:pt x="335" y="30"/>
                              </a:lnTo>
                              <a:lnTo>
                                <a:pt x="336" y="30"/>
                              </a:lnTo>
                              <a:lnTo>
                                <a:pt x="337" y="30"/>
                              </a:lnTo>
                              <a:lnTo>
                                <a:pt x="337" y="30"/>
                              </a:lnTo>
                              <a:lnTo>
                                <a:pt x="338" y="30"/>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41" name="Freeform 165"/>
                        <a:cNvSpPr>
                          <a:spLocks/>
                        </a:cNvSpPr>
                      </a:nvSpPr>
                      <a:spPr bwMode="auto">
                        <a:xfrm>
                          <a:off x="2239410" y="7547788"/>
                          <a:ext cx="956035" cy="22580"/>
                        </a:xfrm>
                        <a:custGeom>
                          <a:avLst/>
                          <a:gdLst/>
                          <a:ahLst/>
                          <a:cxnLst>
                            <a:cxn ang="0">
                              <a:pos x="7" y="5"/>
                            </a:cxn>
                            <a:cxn ang="0">
                              <a:pos x="15" y="6"/>
                            </a:cxn>
                            <a:cxn ang="0">
                              <a:pos x="23" y="6"/>
                            </a:cxn>
                            <a:cxn ang="0">
                              <a:pos x="46" y="8"/>
                            </a:cxn>
                            <a:cxn ang="0">
                              <a:pos x="52" y="9"/>
                            </a:cxn>
                            <a:cxn ang="0">
                              <a:pos x="63" y="10"/>
                            </a:cxn>
                            <a:cxn ang="0">
                              <a:pos x="84" y="11"/>
                            </a:cxn>
                            <a:cxn ang="0">
                              <a:pos x="101" y="11"/>
                            </a:cxn>
                            <a:cxn ang="0">
                              <a:pos x="115" y="12"/>
                            </a:cxn>
                            <a:cxn ang="0">
                              <a:pos x="121" y="12"/>
                            </a:cxn>
                            <a:cxn ang="0">
                              <a:pos x="128" y="12"/>
                            </a:cxn>
                            <a:cxn ang="0">
                              <a:pos x="135" y="12"/>
                            </a:cxn>
                            <a:cxn ang="0">
                              <a:pos x="143" y="11"/>
                            </a:cxn>
                            <a:cxn ang="0">
                              <a:pos x="152" y="10"/>
                            </a:cxn>
                            <a:cxn ang="0">
                              <a:pos x="155" y="9"/>
                            </a:cxn>
                            <a:cxn ang="0">
                              <a:pos x="164" y="8"/>
                            </a:cxn>
                            <a:cxn ang="0">
                              <a:pos x="169" y="8"/>
                            </a:cxn>
                            <a:cxn ang="0">
                              <a:pos x="174" y="7"/>
                            </a:cxn>
                            <a:cxn ang="0">
                              <a:pos x="178" y="5"/>
                            </a:cxn>
                            <a:cxn ang="0">
                              <a:pos x="185" y="2"/>
                            </a:cxn>
                            <a:cxn ang="0">
                              <a:pos x="189" y="1"/>
                            </a:cxn>
                            <a:cxn ang="0">
                              <a:pos x="193" y="1"/>
                            </a:cxn>
                            <a:cxn ang="0">
                              <a:pos x="196" y="0"/>
                            </a:cxn>
                            <a:cxn ang="0">
                              <a:pos x="200" y="1"/>
                            </a:cxn>
                            <a:cxn ang="0">
                              <a:pos x="205" y="2"/>
                            </a:cxn>
                            <a:cxn ang="0">
                              <a:pos x="214" y="4"/>
                            </a:cxn>
                            <a:cxn ang="0">
                              <a:pos x="220" y="5"/>
                            </a:cxn>
                            <a:cxn ang="0">
                              <a:pos x="224" y="6"/>
                            </a:cxn>
                            <a:cxn ang="0">
                              <a:pos x="228" y="6"/>
                            </a:cxn>
                            <a:cxn ang="0">
                              <a:pos x="234" y="7"/>
                            </a:cxn>
                            <a:cxn ang="0">
                              <a:pos x="241" y="6"/>
                            </a:cxn>
                            <a:cxn ang="0">
                              <a:pos x="248" y="7"/>
                            </a:cxn>
                            <a:cxn ang="0">
                              <a:pos x="256" y="8"/>
                            </a:cxn>
                            <a:cxn ang="0">
                              <a:pos x="262" y="8"/>
                            </a:cxn>
                            <a:cxn ang="0">
                              <a:pos x="280" y="10"/>
                            </a:cxn>
                            <a:cxn ang="0">
                              <a:pos x="289" y="11"/>
                            </a:cxn>
                            <a:cxn ang="0">
                              <a:pos x="300" y="11"/>
                            </a:cxn>
                            <a:cxn ang="0">
                              <a:pos x="319" y="11"/>
                            </a:cxn>
                            <a:cxn ang="0">
                              <a:pos x="335" y="11"/>
                            </a:cxn>
                            <a:cxn ang="0">
                              <a:pos x="347" y="11"/>
                            </a:cxn>
                            <a:cxn ang="0">
                              <a:pos x="357" y="11"/>
                            </a:cxn>
                            <a:cxn ang="0">
                              <a:pos x="363" y="11"/>
                            </a:cxn>
                            <a:cxn ang="0">
                              <a:pos x="369" y="11"/>
                            </a:cxn>
                            <a:cxn ang="0">
                              <a:pos x="380" y="11"/>
                            </a:cxn>
                            <a:cxn ang="0">
                              <a:pos x="390" y="12"/>
                            </a:cxn>
                            <a:cxn ang="0">
                              <a:pos x="398" y="12"/>
                            </a:cxn>
                            <a:cxn ang="0">
                              <a:pos x="409" y="11"/>
                            </a:cxn>
                            <a:cxn ang="0">
                              <a:pos x="421" y="11"/>
                            </a:cxn>
                            <a:cxn ang="0">
                              <a:pos x="434" y="11"/>
                            </a:cxn>
                            <a:cxn ang="0">
                              <a:pos x="444" y="12"/>
                            </a:cxn>
                            <a:cxn ang="0">
                              <a:pos x="454" y="11"/>
                            </a:cxn>
                            <a:cxn ang="0">
                              <a:pos x="467" y="11"/>
                            </a:cxn>
                            <a:cxn ang="0">
                              <a:pos x="475" y="11"/>
                            </a:cxn>
                            <a:cxn ang="0">
                              <a:pos x="483" y="11"/>
                            </a:cxn>
                            <a:cxn ang="0">
                              <a:pos x="494" y="10"/>
                            </a:cxn>
                            <a:cxn ang="0">
                              <a:pos x="501" y="10"/>
                            </a:cxn>
                            <a:cxn ang="0">
                              <a:pos x="506" y="10"/>
                            </a:cxn>
                            <a:cxn ang="0">
                              <a:pos x="516" y="11"/>
                            </a:cxn>
                            <a:cxn ang="0">
                              <a:pos x="529" y="11"/>
                            </a:cxn>
                            <a:cxn ang="0">
                              <a:pos x="536" y="11"/>
                            </a:cxn>
                            <a:cxn ang="0">
                              <a:pos x="542" y="11"/>
                            </a:cxn>
                            <a:cxn ang="0">
                              <a:pos x="549" y="11"/>
                            </a:cxn>
                            <a:cxn ang="0">
                              <a:pos x="558" y="10"/>
                            </a:cxn>
                          </a:cxnLst>
                          <a:rect l="0" t="0" r="r" b="b"/>
                          <a:pathLst>
                            <a:path w="564" h="12">
                              <a:moveTo>
                                <a:pt x="0" y="5"/>
                              </a:moveTo>
                              <a:lnTo>
                                <a:pt x="1" y="5"/>
                              </a:lnTo>
                              <a:lnTo>
                                <a:pt x="2" y="5"/>
                              </a:lnTo>
                              <a:lnTo>
                                <a:pt x="3" y="5"/>
                              </a:lnTo>
                              <a:lnTo>
                                <a:pt x="4" y="5"/>
                              </a:lnTo>
                              <a:lnTo>
                                <a:pt x="5" y="5"/>
                              </a:lnTo>
                              <a:lnTo>
                                <a:pt x="6" y="5"/>
                              </a:lnTo>
                              <a:lnTo>
                                <a:pt x="7" y="5"/>
                              </a:lnTo>
                              <a:lnTo>
                                <a:pt x="8" y="5"/>
                              </a:lnTo>
                              <a:lnTo>
                                <a:pt x="10" y="5"/>
                              </a:lnTo>
                              <a:lnTo>
                                <a:pt x="11" y="5"/>
                              </a:lnTo>
                              <a:lnTo>
                                <a:pt x="12" y="6"/>
                              </a:lnTo>
                              <a:lnTo>
                                <a:pt x="13" y="6"/>
                              </a:lnTo>
                              <a:lnTo>
                                <a:pt x="14" y="6"/>
                              </a:lnTo>
                              <a:lnTo>
                                <a:pt x="14" y="6"/>
                              </a:lnTo>
                              <a:lnTo>
                                <a:pt x="15" y="6"/>
                              </a:lnTo>
                              <a:lnTo>
                                <a:pt x="15" y="6"/>
                              </a:lnTo>
                              <a:lnTo>
                                <a:pt x="16" y="6"/>
                              </a:lnTo>
                              <a:lnTo>
                                <a:pt x="17" y="6"/>
                              </a:lnTo>
                              <a:lnTo>
                                <a:pt x="18" y="6"/>
                              </a:lnTo>
                              <a:lnTo>
                                <a:pt x="19" y="6"/>
                              </a:lnTo>
                              <a:lnTo>
                                <a:pt x="20" y="6"/>
                              </a:lnTo>
                              <a:lnTo>
                                <a:pt x="21" y="6"/>
                              </a:lnTo>
                              <a:lnTo>
                                <a:pt x="23" y="6"/>
                              </a:lnTo>
                              <a:lnTo>
                                <a:pt x="26" y="7"/>
                              </a:lnTo>
                              <a:lnTo>
                                <a:pt x="30" y="7"/>
                              </a:lnTo>
                              <a:lnTo>
                                <a:pt x="34" y="7"/>
                              </a:lnTo>
                              <a:lnTo>
                                <a:pt x="37" y="8"/>
                              </a:lnTo>
                              <a:lnTo>
                                <a:pt x="40" y="8"/>
                              </a:lnTo>
                              <a:lnTo>
                                <a:pt x="43" y="8"/>
                              </a:lnTo>
                              <a:lnTo>
                                <a:pt x="45" y="8"/>
                              </a:lnTo>
                              <a:lnTo>
                                <a:pt x="46" y="8"/>
                              </a:lnTo>
                              <a:lnTo>
                                <a:pt x="47" y="8"/>
                              </a:lnTo>
                              <a:lnTo>
                                <a:pt x="48" y="8"/>
                              </a:lnTo>
                              <a:lnTo>
                                <a:pt x="49" y="8"/>
                              </a:lnTo>
                              <a:lnTo>
                                <a:pt x="49" y="9"/>
                              </a:lnTo>
                              <a:lnTo>
                                <a:pt x="50" y="9"/>
                              </a:lnTo>
                              <a:lnTo>
                                <a:pt x="50" y="9"/>
                              </a:lnTo>
                              <a:lnTo>
                                <a:pt x="51" y="9"/>
                              </a:lnTo>
                              <a:lnTo>
                                <a:pt x="52" y="9"/>
                              </a:lnTo>
                              <a:lnTo>
                                <a:pt x="53" y="9"/>
                              </a:lnTo>
                              <a:lnTo>
                                <a:pt x="55" y="9"/>
                              </a:lnTo>
                              <a:lnTo>
                                <a:pt x="56" y="9"/>
                              </a:lnTo>
                              <a:lnTo>
                                <a:pt x="57" y="9"/>
                              </a:lnTo>
                              <a:lnTo>
                                <a:pt x="59" y="9"/>
                              </a:lnTo>
                              <a:lnTo>
                                <a:pt x="60" y="9"/>
                              </a:lnTo>
                              <a:lnTo>
                                <a:pt x="62" y="9"/>
                              </a:lnTo>
                              <a:lnTo>
                                <a:pt x="63" y="10"/>
                              </a:lnTo>
                              <a:lnTo>
                                <a:pt x="65" y="10"/>
                              </a:lnTo>
                              <a:lnTo>
                                <a:pt x="68" y="10"/>
                              </a:lnTo>
                              <a:lnTo>
                                <a:pt x="72" y="10"/>
                              </a:lnTo>
                              <a:lnTo>
                                <a:pt x="77" y="10"/>
                              </a:lnTo>
                              <a:lnTo>
                                <a:pt x="81" y="11"/>
                              </a:lnTo>
                              <a:lnTo>
                                <a:pt x="82" y="11"/>
                              </a:lnTo>
                              <a:lnTo>
                                <a:pt x="83" y="11"/>
                              </a:lnTo>
                              <a:lnTo>
                                <a:pt x="84" y="11"/>
                              </a:lnTo>
                              <a:lnTo>
                                <a:pt x="85" y="11"/>
                              </a:lnTo>
                              <a:lnTo>
                                <a:pt x="85" y="11"/>
                              </a:lnTo>
                              <a:lnTo>
                                <a:pt x="85" y="11"/>
                              </a:lnTo>
                              <a:lnTo>
                                <a:pt x="87" y="11"/>
                              </a:lnTo>
                              <a:lnTo>
                                <a:pt x="90" y="11"/>
                              </a:lnTo>
                              <a:lnTo>
                                <a:pt x="93" y="11"/>
                              </a:lnTo>
                              <a:lnTo>
                                <a:pt x="97" y="11"/>
                              </a:lnTo>
                              <a:lnTo>
                                <a:pt x="101" y="11"/>
                              </a:lnTo>
                              <a:lnTo>
                                <a:pt x="104" y="12"/>
                              </a:lnTo>
                              <a:lnTo>
                                <a:pt x="107" y="12"/>
                              </a:lnTo>
                              <a:lnTo>
                                <a:pt x="108" y="12"/>
                              </a:lnTo>
                              <a:lnTo>
                                <a:pt x="110" y="12"/>
                              </a:lnTo>
                              <a:lnTo>
                                <a:pt x="111" y="12"/>
                              </a:lnTo>
                              <a:lnTo>
                                <a:pt x="112" y="12"/>
                              </a:lnTo>
                              <a:lnTo>
                                <a:pt x="114" y="12"/>
                              </a:lnTo>
                              <a:lnTo>
                                <a:pt x="115" y="12"/>
                              </a:lnTo>
                              <a:lnTo>
                                <a:pt x="116" y="12"/>
                              </a:lnTo>
                              <a:lnTo>
                                <a:pt x="117" y="12"/>
                              </a:lnTo>
                              <a:lnTo>
                                <a:pt x="118" y="12"/>
                              </a:lnTo>
                              <a:lnTo>
                                <a:pt x="119" y="12"/>
                              </a:lnTo>
                              <a:lnTo>
                                <a:pt x="119" y="12"/>
                              </a:lnTo>
                              <a:lnTo>
                                <a:pt x="120" y="12"/>
                              </a:lnTo>
                              <a:lnTo>
                                <a:pt x="120" y="12"/>
                              </a:lnTo>
                              <a:lnTo>
                                <a:pt x="121" y="12"/>
                              </a:lnTo>
                              <a:lnTo>
                                <a:pt x="122" y="12"/>
                              </a:lnTo>
                              <a:lnTo>
                                <a:pt x="123" y="12"/>
                              </a:lnTo>
                              <a:lnTo>
                                <a:pt x="124" y="12"/>
                              </a:lnTo>
                              <a:lnTo>
                                <a:pt x="125" y="12"/>
                              </a:lnTo>
                              <a:lnTo>
                                <a:pt x="126" y="12"/>
                              </a:lnTo>
                              <a:lnTo>
                                <a:pt x="127" y="12"/>
                              </a:lnTo>
                              <a:lnTo>
                                <a:pt x="128" y="12"/>
                              </a:lnTo>
                              <a:lnTo>
                                <a:pt x="128" y="12"/>
                              </a:lnTo>
                              <a:lnTo>
                                <a:pt x="129" y="12"/>
                              </a:lnTo>
                              <a:lnTo>
                                <a:pt x="130" y="12"/>
                              </a:lnTo>
                              <a:lnTo>
                                <a:pt x="131" y="12"/>
                              </a:lnTo>
                              <a:lnTo>
                                <a:pt x="132" y="12"/>
                              </a:lnTo>
                              <a:lnTo>
                                <a:pt x="132" y="12"/>
                              </a:lnTo>
                              <a:lnTo>
                                <a:pt x="133" y="12"/>
                              </a:lnTo>
                              <a:lnTo>
                                <a:pt x="134" y="12"/>
                              </a:lnTo>
                              <a:lnTo>
                                <a:pt x="135" y="12"/>
                              </a:lnTo>
                              <a:lnTo>
                                <a:pt x="136" y="12"/>
                              </a:lnTo>
                              <a:lnTo>
                                <a:pt x="136" y="12"/>
                              </a:lnTo>
                              <a:lnTo>
                                <a:pt x="137" y="12"/>
                              </a:lnTo>
                              <a:lnTo>
                                <a:pt x="138" y="11"/>
                              </a:lnTo>
                              <a:lnTo>
                                <a:pt x="139" y="11"/>
                              </a:lnTo>
                              <a:lnTo>
                                <a:pt x="140" y="11"/>
                              </a:lnTo>
                              <a:lnTo>
                                <a:pt x="141" y="11"/>
                              </a:lnTo>
                              <a:lnTo>
                                <a:pt x="143" y="11"/>
                              </a:lnTo>
                              <a:lnTo>
                                <a:pt x="144" y="11"/>
                              </a:lnTo>
                              <a:lnTo>
                                <a:pt x="146" y="11"/>
                              </a:lnTo>
                              <a:lnTo>
                                <a:pt x="149" y="10"/>
                              </a:lnTo>
                              <a:lnTo>
                                <a:pt x="150" y="10"/>
                              </a:lnTo>
                              <a:lnTo>
                                <a:pt x="151" y="10"/>
                              </a:lnTo>
                              <a:lnTo>
                                <a:pt x="152" y="10"/>
                              </a:lnTo>
                              <a:lnTo>
                                <a:pt x="152" y="10"/>
                              </a:lnTo>
                              <a:lnTo>
                                <a:pt x="152" y="10"/>
                              </a:lnTo>
                              <a:lnTo>
                                <a:pt x="153" y="10"/>
                              </a:lnTo>
                              <a:lnTo>
                                <a:pt x="153" y="10"/>
                              </a:lnTo>
                              <a:lnTo>
                                <a:pt x="153" y="10"/>
                              </a:lnTo>
                              <a:lnTo>
                                <a:pt x="154" y="10"/>
                              </a:lnTo>
                              <a:lnTo>
                                <a:pt x="154" y="10"/>
                              </a:lnTo>
                              <a:lnTo>
                                <a:pt x="154" y="10"/>
                              </a:lnTo>
                              <a:lnTo>
                                <a:pt x="154" y="10"/>
                              </a:lnTo>
                              <a:lnTo>
                                <a:pt x="155" y="9"/>
                              </a:lnTo>
                              <a:lnTo>
                                <a:pt x="157" y="9"/>
                              </a:lnTo>
                              <a:lnTo>
                                <a:pt x="159" y="9"/>
                              </a:lnTo>
                              <a:lnTo>
                                <a:pt x="160" y="9"/>
                              </a:lnTo>
                              <a:lnTo>
                                <a:pt x="161" y="9"/>
                              </a:lnTo>
                              <a:lnTo>
                                <a:pt x="162" y="9"/>
                              </a:lnTo>
                              <a:lnTo>
                                <a:pt x="163" y="9"/>
                              </a:lnTo>
                              <a:lnTo>
                                <a:pt x="164" y="8"/>
                              </a:lnTo>
                              <a:lnTo>
                                <a:pt x="164" y="8"/>
                              </a:lnTo>
                              <a:lnTo>
                                <a:pt x="165" y="8"/>
                              </a:lnTo>
                              <a:lnTo>
                                <a:pt x="166" y="8"/>
                              </a:lnTo>
                              <a:lnTo>
                                <a:pt x="166" y="8"/>
                              </a:lnTo>
                              <a:lnTo>
                                <a:pt x="167" y="8"/>
                              </a:lnTo>
                              <a:lnTo>
                                <a:pt x="168" y="8"/>
                              </a:lnTo>
                              <a:lnTo>
                                <a:pt x="168" y="8"/>
                              </a:lnTo>
                              <a:lnTo>
                                <a:pt x="169" y="8"/>
                              </a:lnTo>
                              <a:lnTo>
                                <a:pt x="169" y="8"/>
                              </a:lnTo>
                              <a:lnTo>
                                <a:pt x="170" y="8"/>
                              </a:lnTo>
                              <a:lnTo>
                                <a:pt x="170" y="7"/>
                              </a:lnTo>
                              <a:lnTo>
                                <a:pt x="171" y="7"/>
                              </a:lnTo>
                              <a:lnTo>
                                <a:pt x="171" y="7"/>
                              </a:lnTo>
                              <a:lnTo>
                                <a:pt x="172" y="7"/>
                              </a:lnTo>
                              <a:lnTo>
                                <a:pt x="173" y="7"/>
                              </a:lnTo>
                              <a:lnTo>
                                <a:pt x="173" y="7"/>
                              </a:lnTo>
                              <a:lnTo>
                                <a:pt x="174" y="7"/>
                              </a:lnTo>
                              <a:lnTo>
                                <a:pt x="174" y="6"/>
                              </a:lnTo>
                              <a:lnTo>
                                <a:pt x="175" y="6"/>
                              </a:lnTo>
                              <a:lnTo>
                                <a:pt x="175" y="6"/>
                              </a:lnTo>
                              <a:lnTo>
                                <a:pt x="176" y="6"/>
                              </a:lnTo>
                              <a:lnTo>
                                <a:pt x="177" y="6"/>
                              </a:lnTo>
                              <a:lnTo>
                                <a:pt x="177" y="5"/>
                              </a:lnTo>
                              <a:lnTo>
                                <a:pt x="178" y="5"/>
                              </a:lnTo>
                              <a:lnTo>
                                <a:pt x="178" y="5"/>
                              </a:lnTo>
                              <a:lnTo>
                                <a:pt x="179" y="5"/>
                              </a:lnTo>
                              <a:lnTo>
                                <a:pt x="180" y="5"/>
                              </a:lnTo>
                              <a:lnTo>
                                <a:pt x="181" y="4"/>
                              </a:lnTo>
                              <a:lnTo>
                                <a:pt x="182" y="4"/>
                              </a:lnTo>
                              <a:lnTo>
                                <a:pt x="183" y="3"/>
                              </a:lnTo>
                              <a:lnTo>
                                <a:pt x="184" y="3"/>
                              </a:lnTo>
                              <a:lnTo>
                                <a:pt x="184" y="3"/>
                              </a:lnTo>
                              <a:lnTo>
                                <a:pt x="185" y="2"/>
                              </a:lnTo>
                              <a:lnTo>
                                <a:pt x="186" y="2"/>
                              </a:lnTo>
                              <a:lnTo>
                                <a:pt x="187" y="2"/>
                              </a:lnTo>
                              <a:lnTo>
                                <a:pt x="187" y="2"/>
                              </a:lnTo>
                              <a:lnTo>
                                <a:pt x="188" y="2"/>
                              </a:lnTo>
                              <a:lnTo>
                                <a:pt x="188" y="2"/>
                              </a:lnTo>
                              <a:lnTo>
                                <a:pt x="188" y="2"/>
                              </a:lnTo>
                              <a:lnTo>
                                <a:pt x="189" y="1"/>
                              </a:lnTo>
                              <a:lnTo>
                                <a:pt x="189" y="1"/>
                              </a:lnTo>
                              <a:lnTo>
                                <a:pt x="190" y="1"/>
                              </a:lnTo>
                              <a:lnTo>
                                <a:pt x="190" y="1"/>
                              </a:lnTo>
                              <a:lnTo>
                                <a:pt x="190" y="1"/>
                              </a:lnTo>
                              <a:lnTo>
                                <a:pt x="191" y="1"/>
                              </a:lnTo>
                              <a:lnTo>
                                <a:pt x="191" y="1"/>
                              </a:lnTo>
                              <a:lnTo>
                                <a:pt x="192" y="1"/>
                              </a:lnTo>
                              <a:lnTo>
                                <a:pt x="192" y="1"/>
                              </a:lnTo>
                              <a:lnTo>
                                <a:pt x="193" y="1"/>
                              </a:lnTo>
                              <a:lnTo>
                                <a:pt x="193" y="1"/>
                              </a:lnTo>
                              <a:lnTo>
                                <a:pt x="194" y="1"/>
                              </a:lnTo>
                              <a:lnTo>
                                <a:pt x="194" y="0"/>
                              </a:lnTo>
                              <a:lnTo>
                                <a:pt x="195" y="0"/>
                              </a:lnTo>
                              <a:lnTo>
                                <a:pt x="195" y="0"/>
                              </a:lnTo>
                              <a:lnTo>
                                <a:pt x="195" y="0"/>
                              </a:lnTo>
                              <a:lnTo>
                                <a:pt x="196" y="0"/>
                              </a:lnTo>
                              <a:lnTo>
                                <a:pt x="196" y="0"/>
                              </a:lnTo>
                              <a:lnTo>
                                <a:pt x="197" y="0"/>
                              </a:lnTo>
                              <a:lnTo>
                                <a:pt x="197" y="0"/>
                              </a:lnTo>
                              <a:lnTo>
                                <a:pt x="198" y="1"/>
                              </a:lnTo>
                              <a:lnTo>
                                <a:pt x="198" y="1"/>
                              </a:lnTo>
                              <a:lnTo>
                                <a:pt x="199" y="1"/>
                              </a:lnTo>
                              <a:lnTo>
                                <a:pt x="199" y="1"/>
                              </a:lnTo>
                              <a:lnTo>
                                <a:pt x="200" y="1"/>
                              </a:lnTo>
                              <a:lnTo>
                                <a:pt x="200" y="1"/>
                              </a:lnTo>
                              <a:lnTo>
                                <a:pt x="201" y="1"/>
                              </a:lnTo>
                              <a:lnTo>
                                <a:pt x="202" y="1"/>
                              </a:lnTo>
                              <a:lnTo>
                                <a:pt x="202" y="1"/>
                              </a:lnTo>
                              <a:lnTo>
                                <a:pt x="203" y="1"/>
                              </a:lnTo>
                              <a:lnTo>
                                <a:pt x="203" y="1"/>
                              </a:lnTo>
                              <a:lnTo>
                                <a:pt x="204" y="1"/>
                              </a:lnTo>
                              <a:lnTo>
                                <a:pt x="205" y="2"/>
                              </a:lnTo>
                              <a:lnTo>
                                <a:pt x="205" y="2"/>
                              </a:lnTo>
                              <a:lnTo>
                                <a:pt x="206" y="2"/>
                              </a:lnTo>
                              <a:lnTo>
                                <a:pt x="207" y="2"/>
                              </a:lnTo>
                              <a:lnTo>
                                <a:pt x="208" y="2"/>
                              </a:lnTo>
                              <a:lnTo>
                                <a:pt x="209" y="2"/>
                              </a:lnTo>
                              <a:lnTo>
                                <a:pt x="210" y="3"/>
                              </a:lnTo>
                              <a:lnTo>
                                <a:pt x="211" y="3"/>
                              </a:lnTo>
                              <a:lnTo>
                                <a:pt x="212" y="3"/>
                              </a:lnTo>
                              <a:lnTo>
                                <a:pt x="214" y="4"/>
                              </a:lnTo>
                              <a:lnTo>
                                <a:pt x="215" y="4"/>
                              </a:lnTo>
                              <a:lnTo>
                                <a:pt x="216" y="4"/>
                              </a:lnTo>
                              <a:lnTo>
                                <a:pt x="217" y="5"/>
                              </a:lnTo>
                              <a:lnTo>
                                <a:pt x="217" y="5"/>
                              </a:lnTo>
                              <a:lnTo>
                                <a:pt x="218" y="5"/>
                              </a:lnTo>
                              <a:lnTo>
                                <a:pt x="219" y="5"/>
                              </a:lnTo>
                              <a:lnTo>
                                <a:pt x="219" y="5"/>
                              </a:lnTo>
                              <a:lnTo>
                                <a:pt x="220" y="5"/>
                              </a:lnTo>
                              <a:lnTo>
                                <a:pt x="221" y="6"/>
                              </a:lnTo>
                              <a:lnTo>
                                <a:pt x="222" y="6"/>
                              </a:lnTo>
                              <a:lnTo>
                                <a:pt x="222" y="6"/>
                              </a:lnTo>
                              <a:lnTo>
                                <a:pt x="223" y="6"/>
                              </a:lnTo>
                              <a:lnTo>
                                <a:pt x="223" y="6"/>
                              </a:lnTo>
                              <a:lnTo>
                                <a:pt x="223" y="6"/>
                              </a:lnTo>
                              <a:lnTo>
                                <a:pt x="223" y="6"/>
                              </a:lnTo>
                              <a:lnTo>
                                <a:pt x="224" y="6"/>
                              </a:lnTo>
                              <a:lnTo>
                                <a:pt x="224" y="6"/>
                              </a:lnTo>
                              <a:lnTo>
                                <a:pt x="225" y="6"/>
                              </a:lnTo>
                              <a:lnTo>
                                <a:pt x="225" y="6"/>
                              </a:lnTo>
                              <a:lnTo>
                                <a:pt x="226" y="6"/>
                              </a:lnTo>
                              <a:lnTo>
                                <a:pt x="226" y="6"/>
                              </a:lnTo>
                              <a:lnTo>
                                <a:pt x="227" y="6"/>
                              </a:lnTo>
                              <a:lnTo>
                                <a:pt x="227" y="6"/>
                              </a:lnTo>
                              <a:lnTo>
                                <a:pt x="228" y="6"/>
                              </a:lnTo>
                              <a:lnTo>
                                <a:pt x="229" y="6"/>
                              </a:lnTo>
                              <a:lnTo>
                                <a:pt x="229" y="7"/>
                              </a:lnTo>
                              <a:lnTo>
                                <a:pt x="230" y="7"/>
                              </a:lnTo>
                              <a:lnTo>
                                <a:pt x="230" y="7"/>
                              </a:lnTo>
                              <a:lnTo>
                                <a:pt x="231" y="7"/>
                              </a:lnTo>
                              <a:lnTo>
                                <a:pt x="232" y="7"/>
                              </a:lnTo>
                              <a:lnTo>
                                <a:pt x="233" y="7"/>
                              </a:lnTo>
                              <a:lnTo>
                                <a:pt x="234" y="7"/>
                              </a:lnTo>
                              <a:lnTo>
                                <a:pt x="235" y="6"/>
                              </a:lnTo>
                              <a:lnTo>
                                <a:pt x="236" y="6"/>
                              </a:lnTo>
                              <a:lnTo>
                                <a:pt x="237" y="6"/>
                              </a:lnTo>
                              <a:lnTo>
                                <a:pt x="238" y="6"/>
                              </a:lnTo>
                              <a:lnTo>
                                <a:pt x="239" y="6"/>
                              </a:lnTo>
                              <a:lnTo>
                                <a:pt x="239" y="6"/>
                              </a:lnTo>
                              <a:lnTo>
                                <a:pt x="240" y="6"/>
                              </a:lnTo>
                              <a:lnTo>
                                <a:pt x="241" y="6"/>
                              </a:lnTo>
                              <a:lnTo>
                                <a:pt x="242" y="7"/>
                              </a:lnTo>
                              <a:lnTo>
                                <a:pt x="242" y="7"/>
                              </a:lnTo>
                              <a:lnTo>
                                <a:pt x="243" y="7"/>
                              </a:lnTo>
                              <a:lnTo>
                                <a:pt x="244" y="7"/>
                              </a:lnTo>
                              <a:lnTo>
                                <a:pt x="245" y="7"/>
                              </a:lnTo>
                              <a:lnTo>
                                <a:pt x="246" y="7"/>
                              </a:lnTo>
                              <a:lnTo>
                                <a:pt x="247" y="7"/>
                              </a:lnTo>
                              <a:lnTo>
                                <a:pt x="248" y="7"/>
                              </a:lnTo>
                              <a:lnTo>
                                <a:pt x="249" y="7"/>
                              </a:lnTo>
                              <a:lnTo>
                                <a:pt x="250" y="7"/>
                              </a:lnTo>
                              <a:lnTo>
                                <a:pt x="251" y="7"/>
                              </a:lnTo>
                              <a:lnTo>
                                <a:pt x="253" y="7"/>
                              </a:lnTo>
                              <a:lnTo>
                                <a:pt x="254" y="8"/>
                              </a:lnTo>
                              <a:lnTo>
                                <a:pt x="255" y="8"/>
                              </a:lnTo>
                              <a:lnTo>
                                <a:pt x="256" y="8"/>
                              </a:lnTo>
                              <a:lnTo>
                                <a:pt x="256" y="8"/>
                              </a:lnTo>
                              <a:lnTo>
                                <a:pt x="257" y="8"/>
                              </a:lnTo>
                              <a:lnTo>
                                <a:pt x="258" y="8"/>
                              </a:lnTo>
                              <a:lnTo>
                                <a:pt x="258" y="8"/>
                              </a:lnTo>
                              <a:lnTo>
                                <a:pt x="258" y="8"/>
                              </a:lnTo>
                              <a:lnTo>
                                <a:pt x="259" y="8"/>
                              </a:lnTo>
                              <a:lnTo>
                                <a:pt x="259" y="8"/>
                              </a:lnTo>
                              <a:lnTo>
                                <a:pt x="260" y="8"/>
                              </a:lnTo>
                              <a:lnTo>
                                <a:pt x="262" y="8"/>
                              </a:lnTo>
                              <a:lnTo>
                                <a:pt x="265" y="9"/>
                              </a:lnTo>
                              <a:lnTo>
                                <a:pt x="268" y="9"/>
                              </a:lnTo>
                              <a:lnTo>
                                <a:pt x="271" y="9"/>
                              </a:lnTo>
                              <a:lnTo>
                                <a:pt x="273" y="10"/>
                              </a:lnTo>
                              <a:lnTo>
                                <a:pt x="275" y="10"/>
                              </a:lnTo>
                              <a:lnTo>
                                <a:pt x="277" y="10"/>
                              </a:lnTo>
                              <a:lnTo>
                                <a:pt x="279" y="10"/>
                              </a:lnTo>
                              <a:lnTo>
                                <a:pt x="280" y="10"/>
                              </a:lnTo>
                              <a:lnTo>
                                <a:pt x="282" y="10"/>
                              </a:lnTo>
                              <a:lnTo>
                                <a:pt x="283" y="10"/>
                              </a:lnTo>
                              <a:lnTo>
                                <a:pt x="284" y="10"/>
                              </a:lnTo>
                              <a:lnTo>
                                <a:pt x="285" y="11"/>
                              </a:lnTo>
                              <a:lnTo>
                                <a:pt x="286" y="11"/>
                              </a:lnTo>
                              <a:lnTo>
                                <a:pt x="287" y="11"/>
                              </a:lnTo>
                              <a:lnTo>
                                <a:pt x="289" y="11"/>
                              </a:lnTo>
                              <a:lnTo>
                                <a:pt x="289" y="11"/>
                              </a:lnTo>
                              <a:lnTo>
                                <a:pt x="291" y="11"/>
                              </a:lnTo>
                              <a:lnTo>
                                <a:pt x="292" y="11"/>
                              </a:lnTo>
                              <a:lnTo>
                                <a:pt x="294" y="11"/>
                              </a:lnTo>
                              <a:lnTo>
                                <a:pt x="295" y="11"/>
                              </a:lnTo>
                              <a:lnTo>
                                <a:pt x="297" y="11"/>
                              </a:lnTo>
                              <a:lnTo>
                                <a:pt x="298" y="11"/>
                              </a:lnTo>
                              <a:lnTo>
                                <a:pt x="299" y="11"/>
                              </a:lnTo>
                              <a:lnTo>
                                <a:pt x="300" y="11"/>
                              </a:lnTo>
                              <a:lnTo>
                                <a:pt x="302" y="11"/>
                              </a:lnTo>
                              <a:lnTo>
                                <a:pt x="303" y="11"/>
                              </a:lnTo>
                              <a:lnTo>
                                <a:pt x="306" y="11"/>
                              </a:lnTo>
                              <a:lnTo>
                                <a:pt x="309" y="11"/>
                              </a:lnTo>
                              <a:lnTo>
                                <a:pt x="312" y="11"/>
                              </a:lnTo>
                              <a:lnTo>
                                <a:pt x="315" y="11"/>
                              </a:lnTo>
                              <a:lnTo>
                                <a:pt x="317" y="11"/>
                              </a:lnTo>
                              <a:lnTo>
                                <a:pt x="319" y="11"/>
                              </a:lnTo>
                              <a:lnTo>
                                <a:pt x="321" y="11"/>
                              </a:lnTo>
                              <a:lnTo>
                                <a:pt x="324" y="11"/>
                              </a:lnTo>
                              <a:lnTo>
                                <a:pt x="327" y="11"/>
                              </a:lnTo>
                              <a:lnTo>
                                <a:pt x="329" y="11"/>
                              </a:lnTo>
                              <a:lnTo>
                                <a:pt x="330" y="11"/>
                              </a:lnTo>
                              <a:lnTo>
                                <a:pt x="332" y="11"/>
                              </a:lnTo>
                              <a:lnTo>
                                <a:pt x="333" y="11"/>
                              </a:lnTo>
                              <a:lnTo>
                                <a:pt x="335" y="11"/>
                              </a:lnTo>
                              <a:lnTo>
                                <a:pt x="337" y="11"/>
                              </a:lnTo>
                              <a:lnTo>
                                <a:pt x="339" y="11"/>
                              </a:lnTo>
                              <a:lnTo>
                                <a:pt x="340" y="11"/>
                              </a:lnTo>
                              <a:lnTo>
                                <a:pt x="342" y="11"/>
                              </a:lnTo>
                              <a:lnTo>
                                <a:pt x="343" y="11"/>
                              </a:lnTo>
                              <a:lnTo>
                                <a:pt x="344" y="11"/>
                              </a:lnTo>
                              <a:lnTo>
                                <a:pt x="345" y="11"/>
                              </a:lnTo>
                              <a:lnTo>
                                <a:pt x="347" y="11"/>
                              </a:lnTo>
                              <a:lnTo>
                                <a:pt x="348" y="11"/>
                              </a:lnTo>
                              <a:lnTo>
                                <a:pt x="349" y="11"/>
                              </a:lnTo>
                              <a:lnTo>
                                <a:pt x="350" y="11"/>
                              </a:lnTo>
                              <a:lnTo>
                                <a:pt x="352" y="11"/>
                              </a:lnTo>
                              <a:lnTo>
                                <a:pt x="353" y="11"/>
                              </a:lnTo>
                              <a:lnTo>
                                <a:pt x="355" y="11"/>
                              </a:lnTo>
                              <a:lnTo>
                                <a:pt x="356" y="11"/>
                              </a:lnTo>
                              <a:lnTo>
                                <a:pt x="357" y="11"/>
                              </a:lnTo>
                              <a:lnTo>
                                <a:pt x="358" y="11"/>
                              </a:lnTo>
                              <a:lnTo>
                                <a:pt x="359" y="11"/>
                              </a:lnTo>
                              <a:lnTo>
                                <a:pt x="360" y="11"/>
                              </a:lnTo>
                              <a:lnTo>
                                <a:pt x="361" y="11"/>
                              </a:lnTo>
                              <a:lnTo>
                                <a:pt x="361" y="11"/>
                              </a:lnTo>
                              <a:lnTo>
                                <a:pt x="362" y="11"/>
                              </a:lnTo>
                              <a:lnTo>
                                <a:pt x="363" y="11"/>
                              </a:lnTo>
                              <a:lnTo>
                                <a:pt x="363" y="11"/>
                              </a:lnTo>
                              <a:lnTo>
                                <a:pt x="363" y="11"/>
                              </a:lnTo>
                              <a:lnTo>
                                <a:pt x="364" y="11"/>
                              </a:lnTo>
                              <a:lnTo>
                                <a:pt x="365" y="11"/>
                              </a:lnTo>
                              <a:lnTo>
                                <a:pt x="366" y="11"/>
                              </a:lnTo>
                              <a:lnTo>
                                <a:pt x="367" y="11"/>
                              </a:lnTo>
                              <a:lnTo>
                                <a:pt x="368" y="11"/>
                              </a:lnTo>
                              <a:lnTo>
                                <a:pt x="368" y="11"/>
                              </a:lnTo>
                              <a:lnTo>
                                <a:pt x="369" y="11"/>
                              </a:lnTo>
                              <a:lnTo>
                                <a:pt x="370" y="11"/>
                              </a:lnTo>
                              <a:lnTo>
                                <a:pt x="372" y="11"/>
                              </a:lnTo>
                              <a:lnTo>
                                <a:pt x="373" y="11"/>
                              </a:lnTo>
                              <a:lnTo>
                                <a:pt x="375" y="11"/>
                              </a:lnTo>
                              <a:lnTo>
                                <a:pt x="376" y="11"/>
                              </a:lnTo>
                              <a:lnTo>
                                <a:pt x="378" y="11"/>
                              </a:lnTo>
                              <a:lnTo>
                                <a:pt x="379" y="11"/>
                              </a:lnTo>
                              <a:lnTo>
                                <a:pt x="380" y="11"/>
                              </a:lnTo>
                              <a:lnTo>
                                <a:pt x="381" y="11"/>
                              </a:lnTo>
                              <a:lnTo>
                                <a:pt x="383" y="12"/>
                              </a:lnTo>
                              <a:lnTo>
                                <a:pt x="384" y="12"/>
                              </a:lnTo>
                              <a:lnTo>
                                <a:pt x="385" y="12"/>
                              </a:lnTo>
                              <a:lnTo>
                                <a:pt x="386" y="12"/>
                              </a:lnTo>
                              <a:lnTo>
                                <a:pt x="387" y="12"/>
                              </a:lnTo>
                              <a:lnTo>
                                <a:pt x="388" y="12"/>
                              </a:lnTo>
                              <a:lnTo>
                                <a:pt x="390" y="12"/>
                              </a:lnTo>
                              <a:lnTo>
                                <a:pt x="391" y="12"/>
                              </a:lnTo>
                              <a:lnTo>
                                <a:pt x="392" y="12"/>
                              </a:lnTo>
                              <a:lnTo>
                                <a:pt x="393" y="12"/>
                              </a:lnTo>
                              <a:lnTo>
                                <a:pt x="394" y="12"/>
                              </a:lnTo>
                              <a:lnTo>
                                <a:pt x="395" y="12"/>
                              </a:lnTo>
                              <a:lnTo>
                                <a:pt x="396" y="12"/>
                              </a:lnTo>
                              <a:lnTo>
                                <a:pt x="397" y="12"/>
                              </a:lnTo>
                              <a:lnTo>
                                <a:pt x="398" y="12"/>
                              </a:lnTo>
                              <a:lnTo>
                                <a:pt x="399" y="12"/>
                              </a:lnTo>
                              <a:lnTo>
                                <a:pt x="400" y="12"/>
                              </a:lnTo>
                              <a:lnTo>
                                <a:pt x="401" y="12"/>
                              </a:lnTo>
                              <a:lnTo>
                                <a:pt x="402" y="12"/>
                              </a:lnTo>
                              <a:lnTo>
                                <a:pt x="405" y="11"/>
                              </a:lnTo>
                              <a:lnTo>
                                <a:pt x="406" y="11"/>
                              </a:lnTo>
                              <a:lnTo>
                                <a:pt x="408" y="11"/>
                              </a:lnTo>
                              <a:lnTo>
                                <a:pt x="409" y="11"/>
                              </a:lnTo>
                              <a:lnTo>
                                <a:pt x="411" y="11"/>
                              </a:lnTo>
                              <a:lnTo>
                                <a:pt x="412" y="11"/>
                              </a:lnTo>
                              <a:lnTo>
                                <a:pt x="414" y="11"/>
                              </a:lnTo>
                              <a:lnTo>
                                <a:pt x="415" y="11"/>
                              </a:lnTo>
                              <a:lnTo>
                                <a:pt x="417" y="11"/>
                              </a:lnTo>
                              <a:lnTo>
                                <a:pt x="418" y="11"/>
                              </a:lnTo>
                              <a:lnTo>
                                <a:pt x="420" y="11"/>
                              </a:lnTo>
                              <a:lnTo>
                                <a:pt x="421" y="11"/>
                              </a:lnTo>
                              <a:lnTo>
                                <a:pt x="423" y="11"/>
                              </a:lnTo>
                              <a:lnTo>
                                <a:pt x="424" y="11"/>
                              </a:lnTo>
                              <a:lnTo>
                                <a:pt x="425" y="11"/>
                              </a:lnTo>
                              <a:lnTo>
                                <a:pt x="427" y="11"/>
                              </a:lnTo>
                              <a:lnTo>
                                <a:pt x="429" y="11"/>
                              </a:lnTo>
                              <a:lnTo>
                                <a:pt x="431" y="11"/>
                              </a:lnTo>
                              <a:lnTo>
                                <a:pt x="432" y="11"/>
                              </a:lnTo>
                              <a:lnTo>
                                <a:pt x="434" y="11"/>
                              </a:lnTo>
                              <a:lnTo>
                                <a:pt x="436" y="12"/>
                              </a:lnTo>
                              <a:lnTo>
                                <a:pt x="437" y="12"/>
                              </a:lnTo>
                              <a:lnTo>
                                <a:pt x="438" y="12"/>
                              </a:lnTo>
                              <a:lnTo>
                                <a:pt x="439" y="12"/>
                              </a:lnTo>
                              <a:lnTo>
                                <a:pt x="440" y="12"/>
                              </a:lnTo>
                              <a:lnTo>
                                <a:pt x="442" y="12"/>
                              </a:lnTo>
                              <a:lnTo>
                                <a:pt x="443" y="12"/>
                              </a:lnTo>
                              <a:lnTo>
                                <a:pt x="444" y="12"/>
                              </a:lnTo>
                              <a:lnTo>
                                <a:pt x="445" y="12"/>
                              </a:lnTo>
                              <a:lnTo>
                                <a:pt x="446" y="12"/>
                              </a:lnTo>
                              <a:lnTo>
                                <a:pt x="447" y="12"/>
                              </a:lnTo>
                              <a:lnTo>
                                <a:pt x="448" y="12"/>
                              </a:lnTo>
                              <a:lnTo>
                                <a:pt x="449" y="12"/>
                              </a:lnTo>
                              <a:lnTo>
                                <a:pt x="450" y="12"/>
                              </a:lnTo>
                              <a:lnTo>
                                <a:pt x="452" y="11"/>
                              </a:lnTo>
                              <a:lnTo>
                                <a:pt x="454" y="11"/>
                              </a:lnTo>
                              <a:lnTo>
                                <a:pt x="456" y="11"/>
                              </a:lnTo>
                              <a:lnTo>
                                <a:pt x="458" y="11"/>
                              </a:lnTo>
                              <a:lnTo>
                                <a:pt x="459" y="11"/>
                              </a:lnTo>
                              <a:lnTo>
                                <a:pt x="461" y="11"/>
                              </a:lnTo>
                              <a:lnTo>
                                <a:pt x="462" y="11"/>
                              </a:lnTo>
                              <a:lnTo>
                                <a:pt x="464" y="11"/>
                              </a:lnTo>
                              <a:lnTo>
                                <a:pt x="466" y="11"/>
                              </a:lnTo>
                              <a:lnTo>
                                <a:pt x="467" y="11"/>
                              </a:lnTo>
                              <a:lnTo>
                                <a:pt x="468" y="11"/>
                              </a:lnTo>
                              <a:lnTo>
                                <a:pt x="469" y="11"/>
                              </a:lnTo>
                              <a:lnTo>
                                <a:pt x="469" y="11"/>
                              </a:lnTo>
                              <a:lnTo>
                                <a:pt x="470" y="11"/>
                              </a:lnTo>
                              <a:lnTo>
                                <a:pt x="472" y="11"/>
                              </a:lnTo>
                              <a:lnTo>
                                <a:pt x="473" y="11"/>
                              </a:lnTo>
                              <a:lnTo>
                                <a:pt x="474" y="11"/>
                              </a:lnTo>
                              <a:lnTo>
                                <a:pt x="475" y="11"/>
                              </a:lnTo>
                              <a:lnTo>
                                <a:pt x="476" y="11"/>
                              </a:lnTo>
                              <a:lnTo>
                                <a:pt x="477" y="11"/>
                              </a:lnTo>
                              <a:lnTo>
                                <a:pt x="478" y="11"/>
                              </a:lnTo>
                              <a:lnTo>
                                <a:pt x="479" y="11"/>
                              </a:lnTo>
                              <a:lnTo>
                                <a:pt x="480" y="11"/>
                              </a:lnTo>
                              <a:lnTo>
                                <a:pt x="481" y="11"/>
                              </a:lnTo>
                              <a:lnTo>
                                <a:pt x="482" y="11"/>
                              </a:lnTo>
                              <a:lnTo>
                                <a:pt x="483" y="11"/>
                              </a:lnTo>
                              <a:lnTo>
                                <a:pt x="484" y="11"/>
                              </a:lnTo>
                              <a:lnTo>
                                <a:pt x="485" y="11"/>
                              </a:lnTo>
                              <a:lnTo>
                                <a:pt x="487" y="11"/>
                              </a:lnTo>
                              <a:lnTo>
                                <a:pt x="488" y="11"/>
                              </a:lnTo>
                              <a:lnTo>
                                <a:pt x="490" y="10"/>
                              </a:lnTo>
                              <a:lnTo>
                                <a:pt x="492" y="10"/>
                              </a:lnTo>
                              <a:lnTo>
                                <a:pt x="493" y="10"/>
                              </a:lnTo>
                              <a:lnTo>
                                <a:pt x="494" y="10"/>
                              </a:lnTo>
                              <a:lnTo>
                                <a:pt x="495" y="10"/>
                              </a:lnTo>
                              <a:lnTo>
                                <a:pt x="496" y="10"/>
                              </a:lnTo>
                              <a:lnTo>
                                <a:pt x="497" y="10"/>
                              </a:lnTo>
                              <a:lnTo>
                                <a:pt x="497" y="10"/>
                              </a:lnTo>
                              <a:lnTo>
                                <a:pt x="498" y="10"/>
                              </a:lnTo>
                              <a:lnTo>
                                <a:pt x="499" y="10"/>
                              </a:lnTo>
                              <a:lnTo>
                                <a:pt x="500" y="10"/>
                              </a:lnTo>
                              <a:lnTo>
                                <a:pt x="501" y="10"/>
                              </a:lnTo>
                              <a:lnTo>
                                <a:pt x="501" y="10"/>
                              </a:lnTo>
                              <a:lnTo>
                                <a:pt x="502" y="10"/>
                              </a:lnTo>
                              <a:lnTo>
                                <a:pt x="502" y="10"/>
                              </a:lnTo>
                              <a:lnTo>
                                <a:pt x="503" y="10"/>
                              </a:lnTo>
                              <a:lnTo>
                                <a:pt x="503" y="10"/>
                              </a:lnTo>
                              <a:lnTo>
                                <a:pt x="504" y="10"/>
                              </a:lnTo>
                              <a:lnTo>
                                <a:pt x="505" y="10"/>
                              </a:lnTo>
                              <a:lnTo>
                                <a:pt x="506" y="10"/>
                              </a:lnTo>
                              <a:lnTo>
                                <a:pt x="506" y="10"/>
                              </a:lnTo>
                              <a:lnTo>
                                <a:pt x="507" y="10"/>
                              </a:lnTo>
                              <a:lnTo>
                                <a:pt x="508" y="10"/>
                              </a:lnTo>
                              <a:lnTo>
                                <a:pt x="509" y="10"/>
                              </a:lnTo>
                              <a:lnTo>
                                <a:pt x="510" y="10"/>
                              </a:lnTo>
                              <a:lnTo>
                                <a:pt x="512" y="10"/>
                              </a:lnTo>
                              <a:lnTo>
                                <a:pt x="514" y="10"/>
                              </a:lnTo>
                              <a:lnTo>
                                <a:pt x="516" y="11"/>
                              </a:lnTo>
                              <a:lnTo>
                                <a:pt x="518" y="11"/>
                              </a:lnTo>
                              <a:lnTo>
                                <a:pt x="519" y="11"/>
                              </a:lnTo>
                              <a:lnTo>
                                <a:pt x="521" y="11"/>
                              </a:lnTo>
                              <a:lnTo>
                                <a:pt x="522" y="11"/>
                              </a:lnTo>
                              <a:lnTo>
                                <a:pt x="524" y="11"/>
                              </a:lnTo>
                              <a:lnTo>
                                <a:pt x="525" y="11"/>
                              </a:lnTo>
                              <a:lnTo>
                                <a:pt x="527" y="11"/>
                              </a:lnTo>
                              <a:lnTo>
                                <a:pt x="529" y="11"/>
                              </a:lnTo>
                              <a:lnTo>
                                <a:pt x="530" y="11"/>
                              </a:lnTo>
                              <a:lnTo>
                                <a:pt x="532" y="11"/>
                              </a:lnTo>
                              <a:lnTo>
                                <a:pt x="533" y="11"/>
                              </a:lnTo>
                              <a:lnTo>
                                <a:pt x="534" y="11"/>
                              </a:lnTo>
                              <a:lnTo>
                                <a:pt x="535" y="11"/>
                              </a:lnTo>
                              <a:lnTo>
                                <a:pt x="535" y="11"/>
                              </a:lnTo>
                              <a:lnTo>
                                <a:pt x="536" y="11"/>
                              </a:lnTo>
                              <a:lnTo>
                                <a:pt x="536" y="11"/>
                              </a:lnTo>
                              <a:lnTo>
                                <a:pt x="537" y="11"/>
                              </a:lnTo>
                              <a:lnTo>
                                <a:pt x="537" y="11"/>
                              </a:lnTo>
                              <a:lnTo>
                                <a:pt x="538" y="11"/>
                              </a:lnTo>
                              <a:lnTo>
                                <a:pt x="539" y="11"/>
                              </a:lnTo>
                              <a:lnTo>
                                <a:pt x="540" y="11"/>
                              </a:lnTo>
                              <a:lnTo>
                                <a:pt x="541" y="11"/>
                              </a:lnTo>
                              <a:lnTo>
                                <a:pt x="542" y="11"/>
                              </a:lnTo>
                              <a:lnTo>
                                <a:pt x="542" y="11"/>
                              </a:lnTo>
                              <a:lnTo>
                                <a:pt x="543" y="11"/>
                              </a:lnTo>
                              <a:lnTo>
                                <a:pt x="544" y="11"/>
                              </a:lnTo>
                              <a:lnTo>
                                <a:pt x="545" y="11"/>
                              </a:lnTo>
                              <a:lnTo>
                                <a:pt x="545" y="11"/>
                              </a:lnTo>
                              <a:lnTo>
                                <a:pt x="546" y="11"/>
                              </a:lnTo>
                              <a:lnTo>
                                <a:pt x="547" y="11"/>
                              </a:lnTo>
                              <a:lnTo>
                                <a:pt x="548" y="11"/>
                              </a:lnTo>
                              <a:lnTo>
                                <a:pt x="549" y="11"/>
                              </a:lnTo>
                              <a:lnTo>
                                <a:pt x="550" y="11"/>
                              </a:lnTo>
                              <a:lnTo>
                                <a:pt x="551" y="11"/>
                              </a:lnTo>
                              <a:lnTo>
                                <a:pt x="553" y="11"/>
                              </a:lnTo>
                              <a:lnTo>
                                <a:pt x="554" y="11"/>
                              </a:lnTo>
                              <a:lnTo>
                                <a:pt x="555" y="10"/>
                              </a:lnTo>
                              <a:lnTo>
                                <a:pt x="556" y="10"/>
                              </a:lnTo>
                              <a:lnTo>
                                <a:pt x="557" y="10"/>
                              </a:lnTo>
                              <a:lnTo>
                                <a:pt x="558" y="10"/>
                              </a:lnTo>
                              <a:lnTo>
                                <a:pt x="559" y="10"/>
                              </a:lnTo>
                              <a:lnTo>
                                <a:pt x="560" y="10"/>
                              </a:lnTo>
                              <a:lnTo>
                                <a:pt x="561" y="10"/>
                              </a:lnTo>
                              <a:lnTo>
                                <a:pt x="561" y="10"/>
                              </a:lnTo>
                              <a:lnTo>
                                <a:pt x="562" y="10"/>
                              </a:lnTo>
                              <a:lnTo>
                                <a:pt x="563" y="10"/>
                              </a:lnTo>
                              <a:lnTo>
                                <a:pt x="564" y="10"/>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42" name="Freeform 166"/>
                        <a:cNvSpPr>
                          <a:spLocks/>
                        </a:cNvSpPr>
                      </a:nvSpPr>
                      <a:spPr bwMode="auto">
                        <a:xfrm>
                          <a:off x="3195445" y="7562843"/>
                          <a:ext cx="1040790" cy="5645"/>
                        </a:xfrm>
                        <a:custGeom>
                          <a:avLst/>
                          <a:gdLst/>
                          <a:ahLst/>
                          <a:cxnLst>
                            <a:cxn ang="0">
                              <a:pos x="5" y="2"/>
                            </a:cxn>
                            <a:cxn ang="0">
                              <a:pos x="13" y="3"/>
                            </a:cxn>
                            <a:cxn ang="0">
                              <a:pos x="20" y="3"/>
                            </a:cxn>
                            <a:cxn ang="0">
                              <a:pos x="31" y="3"/>
                            </a:cxn>
                            <a:cxn ang="0">
                              <a:pos x="40" y="3"/>
                            </a:cxn>
                            <a:cxn ang="0">
                              <a:pos x="48" y="3"/>
                            </a:cxn>
                            <a:cxn ang="0">
                              <a:pos x="56" y="3"/>
                            </a:cxn>
                            <a:cxn ang="0">
                              <a:pos x="64" y="3"/>
                            </a:cxn>
                            <a:cxn ang="0">
                              <a:pos x="76" y="2"/>
                            </a:cxn>
                            <a:cxn ang="0">
                              <a:pos x="84" y="2"/>
                            </a:cxn>
                            <a:cxn ang="0">
                              <a:pos x="93" y="3"/>
                            </a:cxn>
                            <a:cxn ang="0">
                              <a:pos x="104" y="3"/>
                            </a:cxn>
                            <a:cxn ang="0">
                              <a:pos x="110" y="3"/>
                            </a:cxn>
                            <a:cxn ang="0">
                              <a:pos x="114" y="2"/>
                            </a:cxn>
                            <a:cxn ang="0">
                              <a:pos x="126" y="2"/>
                            </a:cxn>
                            <a:cxn ang="0">
                              <a:pos x="133" y="1"/>
                            </a:cxn>
                            <a:cxn ang="0">
                              <a:pos x="140" y="2"/>
                            </a:cxn>
                            <a:cxn ang="0">
                              <a:pos x="150" y="2"/>
                            </a:cxn>
                            <a:cxn ang="0">
                              <a:pos x="156" y="2"/>
                            </a:cxn>
                            <a:cxn ang="0">
                              <a:pos x="165" y="2"/>
                            </a:cxn>
                            <a:cxn ang="0">
                              <a:pos x="172" y="2"/>
                            </a:cxn>
                            <a:cxn ang="0">
                              <a:pos x="180" y="2"/>
                            </a:cxn>
                            <a:cxn ang="0">
                              <a:pos x="188" y="2"/>
                            </a:cxn>
                            <a:cxn ang="0">
                              <a:pos x="194" y="2"/>
                            </a:cxn>
                            <a:cxn ang="0">
                              <a:pos x="206" y="2"/>
                            </a:cxn>
                            <a:cxn ang="0">
                              <a:pos x="214" y="2"/>
                            </a:cxn>
                            <a:cxn ang="0">
                              <a:pos x="221" y="2"/>
                            </a:cxn>
                            <a:cxn ang="0">
                              <a:pos x="230" y="3"/>
                            </a:cxn>
                            <a:cxn ang="0">
                              <a:pos x="240" y="3"/>
                            </a:cxn>
                            <a:cxn ang="0">
                              <a:pos x="252" y="2"/>
                            </a:cxn>
                            <a:cxn ang="0">
                              <a:pos x="269" y="3"/>
                            </a:cxn>
                            <a:cxn ang="0">
                              <a:pos x="287" y="3"/>
                            </a:cxn>
                            <a:cxn ang="0">
                              <a:pos x="299" y="3"/>
                            </a:cxn>
                            <a:cxn ang="0">
                              <a:pos x="313" y="3"/>
                            </a:cxn>
                            <a:cxn ang="0">
                              <a:pos x="326" y="3"/>
                            </a:cxn>
                            <a:cxn ang="0">
                              <a:pos x="340" y="3"/>
                            </a:cxn>
                            <a:cxn ang="0">
                              <a:pos x="354" y="3"/>
                            </a:cxn>
                            <a:cxn ang="0">
                              <a:pos x="365" y="3"/>
                            </a:cxn>
                            <a:cxn ang="0">
                              <a:pos x="386" y="3"/>
                            </a:cxn>
                            <a:cxn ang="0">
                              <a:pos x="402" y="2"/>
                            </a:cxn>
                            <a:cxn ang="0">
                              <a:pos x="421" y="2"/>
                            </a:cxn>
                            <a:cxn ang="0">
                              <a:pos x="429" y="2"/>
                            </a:cxn>
                            <a:cxn ang="0">
                              <a:pos x="439" y="1"/>
                            </a:cxn>
                            <a:cxn ang="0">
                              <a:pos x="447" y="1"/>
                            </a:cxn>
                            <a:cxn ang="0">
                              <a:pos x="457" y="1"/>
                            </a:cxn>
                            <a:cxn ang="0">
                              <a:pos x="462" y="1"/>
                            </a:cxn>
                            <a:cxn ang="0">
                              <a:pos x="471" y="1"/>
                            </a:cxn>
                            <a:cxn ang="0">
                              <a:pos x="478" y="0"/>
                            </a:cxn>
                            <a:cxn ang="0">
                              <a:pos x="485" y="0"/>
                            </a:cxn>
                            <a:cxn ang="0">
                              <a:pos x="495" y="1"/>
                            </a:cxn>
                            <a:cxn ang="0">
                              <a:pos x="503" y="0"/>
                            </a:cxn>
                            <a:cxn ang="0">
                              <a:pos x="510" y="0"/>
                            </a:cxn>
                            <a:cxn ang="0">
                              <a:pos x="521" y="1"/>
                            </a:cxn>
                            <a:cxn ang="0">
                              <a:pos x="530" y="1"/>
                            </a:cxn>
                            <a:cxn ang="0">
                              <a:pos x="536" y="1"/>
                            </a:cxn>
                            <a:cxn ang="0">
                              <a:pos x="546" y="1"/>
                            </a:cxn>
                            <a:cxn ang="0">
                              <a:pos x="553" y="1"/>
                            </a:cxn>
                            <a:cxn ang="0">
                              <a:pos x="563" y="1"/>
                            </a:cxn>
                            <a:cxn ang="0">
                              <a:pos x="569" y="1"/>
                            </a:cxn>
                            <a:cxn ang="0">
                              <a:pos x="577" y="1"/>
                            </a:cxn>
                            <a:cxn ang="0">
                              <a:pos x="587" y="2"/>
                            </a:cxn>
                            <a:cxn ang="0">
                              <a:pos x="596" y="2"/>
                            </a:cxn>
                            <a:cxn ang="0">
                              <a:pos x="606" y="2"/>
                            </a:cxn>
                          </a:cxnLst>
                          <a:rect l="0" t="0" r="r" b="b"/>
                          <a:pathLst>
                            <a:path w="614" h="3">
                              <a:moveTo>
                                <a:pt x="0" y="2"/>
                              </a:moveTo>
                              <a:lnTo>
                                <a:pt x="0" y="2"/>
                              </a:lnTo>
                              <a:lnTo>
                                <a:pt x="1" y="2"/>
                              </a:lnTo>
                              <a:lnTo>
                                <a:pt x="2" y="2"/>
                              </a:lnTo>
                              <a:lnTo>
                                <a:pt x="3" y="2"/>
                              </a:lnTo>
                              <a:lnTo>
                                <a:pt x="3" y="2"/>
                              </a:lnTo>
                              <a:lnTo>
                                <a:pt x="4" y="2"/>
                              </a:lnTo>
                              <a:lnTo>
                                <a:pt x="5" y="2"/>
                              </a:lnTo>
                              <a:lnTo>
                                <a:pt x="6" y="2"/>
                              </a:lnTo>
                              <a:lnTo>
                                <a:pt x="7" y="2"/>
                              </a:lnTo>
                              <a:lnTo>
                                <a:pt x="7" y="2"/>
                              </a:lnTo>
                              <a:lnTo>
                                <a:pt x="8" y="2"/>
                              </a:lnTo>
                              <a:lnTo>
                                <a:pt x="9" y="2"/>
                              </a:lnTo>
                              <a:lnTo>
                                <a:pt x="10" y="2"/>
                              </a:lnTo>
                              <a:lnTo>
                                <a:pt x="12" y="3"/>
                              </a:lnTo>
                              <a:lnTo>
                                <a:pt x="13" y="3"/>
                              </a:lnTo>
                              <a:lnTo>
                                <a:pt x="13" y="3"/>
                              </a:lnTo>
                              <a:lnTo>
                                <a:pt x="14" y="3"/>
                              </a:lnTo>
                              <a:lnTo>
                                <a:pt x="15" y="3"/>
                              </a:lnTo>
                              <a:lnTo>
                                <a:pt x="16" y="3"/>
                              </a:lnTo>
                              <a:lnTo>
                                <a:pt x="17" y="3"/>
                              </a:lnTo>
                              <a:lnTo>
                                <a:pt x="18" y="3"/>
                              </a:lnTo>
                              <a:lnTo>
                                <a:pt x="19" y="3"/>
                              </a:lnTo>
                              <a:lnTo>
                                <a:pt x="20" y="3"/>
                              </a:lnTo>
                              <a:lnTo>
                                <a:pt x="22" y="3"/>
                              </a:lnTo>
                              <a:lnTo>
                                <a:pt x="24" y="3"/>
                              </a:lnTo>
                              <a:lnTo>
                                <a:pt x="25" y="3"/>
                              </a:lnTo>
                              <a:lnTo>
                                <a:pt x="27" y="3"/>
                              </a:lnTo>
                              <a:lnTo>
                                <a:pt x="28" y="3"/>
                              </a:lnTo>
                              <a:lnTo>
                                <a:pt x="29" y="3"/>
                              </a:lnTo>
                              <a:lnTo>
                                <a:pt x="30" y="3"/>
                              </a:lnTo>
                              <a:lnTo>
                                <a:pt x="31" y="3"/>
                              </a:lnTo>
                              <a:lnTo>
                                <a:pt x="32" y="3"/>
                              </a:lnTo>
                              <a:lnTo>
                                <a:pt x="33" y="3"/>
                              </a:lnTo>
                              <a:lnTo>
                                <a:pt x="34" y="3"/>
                              </a:lnTo>
                              <a:lnTo>
                                <a:pt x="35" y="3"/>
                              </a:lnTo>
                              <a:lnTo>
                                <a:pt x="36" y="3"/>
                              </a:lnTo>
                              <a:lnTo>
                                <a:pt x="37" y="3"/>
                              </a:lnTo>
                              <a:lnTo>
                                <a:pt x="39" y="3"/>
                              </a:lnTo>
                              <a:lnTo>
                                <a:pt x="40" y="3"/>
                              </a:lnTo>
                              <a:lnTo>
                                <a:pt x="42" y="3"/>
                              </a:lnTo>
                              <a:lnTo>
                                <a:pt x="43" y="3"/>
                              </a:lnTo>
                              <a:lnTo>
                                <a:pt x="44" y="3"/>
                              </a:lnTo>
                              <a:lnTo>
                                <a:pt x="45" y="3"/>
                              </a:lnTo>
                              <a:lnTo>
                                <a:pt x="46" y="3"/>
                              </a:lnTo>
                              <a:lnTo>
                                <a:pt x="46" y="3"/>
                              </a:lnTo>
                              <a:lnTo>
                                <a:pt x="47" y="3"/>
                              </a:lnTo>
                              <a:lnTo>
                                <a:pt x="48" y="3"/>
                              </a:lnTo>
                              <a:lnTo>
                                <a:pt x="49" y="3"/>
                              </a:lnTo>
                              <a:lnTo>
                                <a:pt x="50" y="3"/>
                              </a:lnTo>
                              <a:lnTo>
                                <a:pt x="51" y="3"/>
                              </a:lnTo>
                              <a:lnTo>
                                <a:pt x="52" y="3"/>
                              </a:lnTo>
                              <a:lnTo>
                                <a:pt x="53" y="3"/>
                              </a:lnTo>
                              <a:lnTo>
                                <a:pt x="54" y="3"/>
                              </a:lnTo>
                              <a:lnTo>
                                <a:pt x="55" y="3"/>
                              </a:lnTo>
                              <a:lnTo>
                                <a:pt x="56" y="3"/>
                              </a:lnTo>
                              <a:lnTo>
                                <a:pt x="57" y="3"/>
                              </a:lnTo>
                              <a:lnTo>
                                <a:pt x="58" y="3"/>
                              </a:lnTo>
                              <a:lnTo>
                                <a:pt x="59" y="3"/>
                              </a:lnTo>
                              <a:lnTo>
                                <a:pt x="60" y="3"/>
                              </a:lnTo>
                              <a:lnTo>
                                <a:pt x="61" y="3"/>
                              </a:lnTo>
                              <a:lnTo>
                                <a:pt x="62" y="3"/>
                              </a:lnTo>
                              <a:lnTo>
                                <a:pt x="63" y="3"/>
                              </a:lnTo>
                              <a:lnTo>
                                <a:pt x="64" y="3"/>
                              </a:lnTo>
                              <a:lnTo>
                                <a:pt x="65" y="3"/>
                              </a:lnTo>
                              <a:lnTo>
                                <a:pt x="67" y="3"/>
                              </a:lnTo>
                              <a:lnTo>
                                <a:pt x="69" y="3"/>
                              </a:lnTo>
                              <a:lnTo>
                                <a:pt x="71" y="3"/>
                              </a:lnTo>
                              <a:lnTo>
                                <a:pt x="72" y="3"/>
                              </a:lnTo>
                              <a:lnTo>
                                <a:pt x="74" y="3"/>
                              </a:lnTo>
                              <a:lnTo>
                                <a:pt x="75" y="3"/>
                              </a:lnTo>
                              <a:lnTo>
                                <a:pt x="76" y="2"/>
                              </a:lnTo>
                              <a:lnTo>
                                <a:pt x="77" y="2"/>
                              </a:lnTo>
                              <a:lnTo>
                                <a:pt x="78" y="2"/>
                              </a:lnTo>
                              <a:lnTo>
                                <a:pt x="79" y="2"/>
                              </a:lnTo>
                              <a:lnTo>
                                <a:pt x="80" y="2"/>
                              </a:lnTo>
                              <a:lnTo>
                                <a:pt x="81" y="2"/>
                              </a:lnTo>
                              <a:lnTo>
                                <a:pt x="82" y="2"/>
                              </a:lnTo>
                              <a:lnTo>
                                <a:pt x="83" y="2"/>
                              </a:lnTo>
                              <a:lnTo>
                                <a:pt x="84" y="2"/>
                              </a:lnTo>
                              <a:lnTo>
                                <a:pt x="85" y="2"/>
                              </a:lnTo>
                              <a:lnTo>
                                <a:pt x="86" y="2"/>
                              </a:lnTo>
                              <a:lnTo>
                                <a:pt x="87" y="2"/>
                              </a:lnTo>
                              <a:lnTo>
                                <a:pt x="88" y="2"/>
                              </a:lnTo>
                              <a:lnTo>
                                <a:pt x="89" y="2"/>
                              </a:lnTo>
                              <a:lnTo>
                                <a:pt x="90" y="2"/>
                              </a:lnTo>
                              <a:lnTo>
                                <a:pt x="92" y="2"/>
                              </a:lnTo>
                              <a:lnTo>
                                <a:pt x="93" y="3"/>
                              </a:lnTo>
                              <a:lnTo>
                                <a:pt x="95" y="3"/>
                              </a:lnTo>
                              <a:lnTo>
                                <a:pt x="97" y="3"/>
                              </a:lnTo>
                              <a:lnTo>
                                <a:pt x="99" y="3"/>
                              </a:lnTo>
                              <a:lnTo>
                                <a:pt x="100" y="3"/>
                              </a:lnTo>
                              <a:lnTo>
                                <a:pt x="101" y="3"/>
                              </a:lnTo>
                              <a:lnTo>
                                <a:pt x="102" y="3"/>
                              </a:lnTo>
                              <a:lnTo>
                                <a:pt x="103" y="3"/>
                              </a:lnTo>
                              <a:lnTo>
                                <a:pt x="104" y="3"/>
                              </a:lnTo>
                              <a:lnTo>
                                <a:pt x="105" y="3"/>
                              </a:lnTo>
                              <a:lnTo>
                                <a:pt x="106" y="3"/>
                              </a:lnTo>
                              <a:lnTo>
                                <a:pt x="106" y="3"/>
                              </a:lnTo>
                              <a:lnTo>
                                <a:pt x="107" y="3"/>
                              </a:lnTo>
                              <a:lnTo>
                                <a:pt x="108" y="3"/>
                              </a:lnTo>
                              <a:lnTo>
                                <a:pt x="109" y="3"/>
                              </a:lnTo>
                              <a:lnTo>
                                <a:pt x="110" y="3"/>
                              </a:lnTo>
                              <a:lnTo>
                                <a:pt x="110" y="3"/>
                              </a:lnTo>
                              <a:lnTo>
                                <a:pt x="111" y="3"/>
                              </a:lnTo>
                              <a:lnTo>
                                <a:pt x="111" y="3"/>
                              </a:lnTo>
                              <a:lnTo>
                                <a:pt x="112" y="3"/>
                              </a:lnTo>
                              <a:lnTo>
                                <a:pt x="112" y="3"/>
                              </a:lnTo>
                              <a:lnTo>
                                <a:pt x="112" y="3"/>
                              </a:lnTo>
                              <a:lnTo>
                                <a:pt x="113" y="3"/>
                              </a:lnTo>
                              <a:lnTo>
                                <a:pt x="113" y="3"/>
                              </a:lnTo>
                              <a:lnTo>
                                <a:pt x="114" y="2"/>
                              </a:lnTo>
                              <a:lnTo>
                                <a:pt x="116" y="2"/>
                              </a:lnTo>
                              <a:lnTo>
                                <a:pt x="118" y="2"/>
                              </a:lnTo>
                              <a:lnTo>
                                <a:pt x="120" y="2"/>
                              </a:lnTo>
                              <a:lnTo>
                                <a:pt x="121" y="2"/>
                              </a:lnTo>
                              <a:lnTo>
                                <a:pt x="123" y="2"/>
                              </a:lnTo>
                              <a:lnTo>
                                <a:pt x="124" y="2"/>
                              </a:lnTo>
                              <a:lnTo>
                                <a:pt x="125" y="2"/>
                              </a:lnTo>
                              <a:lnTo>
                                <a:pt x="126" y="2"/>
                              </a:lnTo>
                              <a:lnTo>
                                <a:pt x="127" y="2"/>
                              </a:lnTo>
                              <a:lnTo>
                                <a:pt x="128" y="2"/>
                              </a:lnTo>
                              <a:lnTo>
                                <a:pt x="129" y="2"/>
                              </a:lnTo>
                              <a:lnTo>
                                <a:pt x="130" y="2"/>
                              </a:lnTo>
                              <a:lnTo>
                                <a:pt x="131" y="1"/>
                              </a:lnTo>
                              <a:lnTo>
                                <a:pt x="131" y="1"/>
                              </a:lnTo>
                              <a:lnTo>
                                <a:pt x="132" y="1"/>
                              </a:lnTo>
                              <a:lnTo>
                                <a:pt x="133" y="1"/>
                              </a:lnTo>
                              <a:lnTo>
                                <a:pt x="134" y="1"/>
                              </a:lnTo>
                              <a:lnTo>
                                <a:pt x="135" y="1"/>
                              </a:lnTo>
                              <a:lnTo>
                                <a:pt x="136" y="1"/>
                              </a:lnTo>
                              <a:lnTo>
                                <a:pt x="136" y="1"/>
                              </a:lnTo>
                              <a:lnTo>
                                <a:pt x="137" y="1"/>
                              </a:lnTo>
                              <a:lnTo>
                                <a:pt x="138" y="1"/>
                              </a:lnTo>
                              <a:lnTo>
                                <a:pt x="139" y="1"/>
                              </a:lnTo>
                              <a:lnTo>
                                <a:pt x="140" y="2"/>
                              </a:lnTo>
                              <a:lnTo>
                                <a:pt x="141" y="2"/>
                              </a:lnTo>
                              <a:lnTo>
                                <a:pt x="142" y="2"/>
                              </a:lnTo>
                              <a:lnTo>
                                <a:pt x="144" y="2"/>
                              </a:lnTo>
                              <a:lnTo>
                                <a:pt x="146" y="2"/>
                              </a:lnTo>
                              <a:lnTo>
                                <a:pt x="147" y="2"/>
                              </a:lnTo>
                              <a:lnTo>
                                <a:pt x="148" y="2"/>
                              </a:lnTo>
                              <a:lnTo>
                                <a:pt x="149" y="2"/>
                              </a:lnTo>
                              <a:lnTo>
                                <a:pt x="150" y="2"/>
                              </a:lnTo>
                              <a:lnTo>
                                <a:pt x="151" y="2"/>
                              </a:lnTo>
                              <a:lnTo>
                                <a:pt x="151" y="2"/>
                              </a:lnTo>
                              <a:lnTo>
                                <a:pt x="152" y="2"/>
                              </a:lnTo>
                              <a:lnTo>
                                <a:pt x="153" y="2"/>
                              </a:lnTo>
                              <a:lnTo>
                                <a:pt x="154" y="2"/>
                              </a:lnTo>
                              <a:lnTo>
                                <a:pt x="154" y="2"/>
                              </a:lnTo>
                              <a:lnTo>
                                <a:pt x="155" y="2"/>
                              </a:lnTo>
                              <a:lnTo>
                                <a:pt x="156" y="2"/>
                              </a:lnTo>
                              <a:lnTo>
                                <a:pt x="157" y="2"/>
                              </a:lnTo>
                              <a:lnTo>
                                <a:pt x="158" y="2"/>
                              </a:lnTo>
                              <a:lnTo>
                                <a:pt x="159" y="2"/>
                              </a:lnTo>
                              <a:lnTo>
                                <a:pt x="160" y="2"/>
                              </a:lnTo>
                              <a:lnTo>
                                <a:pt x="161" y="2"/>
                              </a:lnTo>
                              <a:lnTo>
                                <a:pt x="163" y="2"/>
                              </a:lnTo>
                              <a:lnTo>
                                <a:pt x="164" y="2"/>
                              </a:lnTo>
                              <a:lnTo>
                                <a:pt x="165" y="2"/>
                              </a:lnTo>
                              <a:lnTo>
                                <a:pt x="166" y="2"/>
                              </a:lnTo>
                              <a:lnTo>
                                <a:pt x="167" y="2"/>
                              </a:lnTo>
                              <a:lnTo>
                                <a:pt x="168" y="2"/>
                              </a:lnTo>
                              <a:lnTo>
                                <a:pt x="168" y="2"/>
                              </a:lnTo>
                              <a:lnTo>
                                <a:pt x="169" y="2"/>
                              </a:lnTo>
                              <a:lnTo>
                                <a:pt x="170" y="2"/>
                              </a:lnTo>
                              <a:lnTo>
                                <a:pt x="171" y="2"/>
                              </a:lnTo>
                              <a:lnTo>
                                <a:pt x="172" y="2"/>
                              </a:lnTo>
                              <a:lnTo>
                                <a:pt x="173" y="2"/>
                              </a:lnTo>
                              <a:lnTo>
                                <a:pt x="173" y="2"/>
                              </a:lnTo>
                              <a:lnTo>
                                <a:pt x="174" y="2"/>
                              </a:lnTo>
                              <a:lnTo>
                                <a:pt x="175" y="2"/>
                              </a:lnTo>
                              <a:lnTo>
                                <a:pt x="176" y="2"/>
                              </a:lnTo>
                              <a:lnTo>
                                <a:pt x="177" y="2"/>
                              </a:lnTo>
                              <a:lnTo>
                                <a:pt x="179" y="2"/>
                              </a:lnTo>
                              <a:lnTo>
                                <a:pt x="180" y="2"/>
                              </a:lnTo>
                              <a:lnTo>
                                <a:pt x="182" y="2"/>
                              </a:lnTo>
                              <a:lnTo>
                                <a:pt x="183" y="2"/>
                              </a:lnTo>
                              <a:lnTo>
                                <a:pt x="184" y="2"/>
                              </a:lnTo>
                              <a:lnTo>
                                <a:pt x="185" y="2"/>
                              </a:lnTo>
                              <a:lnTo>
                                <a:pt x="185" y="2"/>
                              </a:lnTo>
                              <a:lnTo>
                                <a:pt x="186" y="2"/>
                              </a:lnTo>
                              <a:lnTo>
                                <a:pt x="187" y="2"/>
                              </a:lnTo>
                              <a:lnTo>
                                <a:pt x="188" y="2"/>
                              </a:lnTo>
                              <a:lnTo>
                                <a:pt x="188" y="2"/>
                              </a:lnTo>
                              <a:lnTo>
                                <a:pt x="189" y="2"/>
                              </a:lnTo>
                              <a:lnTo>
                                <a:pt x="190" y="2"/>
                              </a:lnTo>
                              <a:lnTo>
                                <a:pt x="191" y="2"/>
                              </a:lnTo>
                              <a:lnTo>
                                <a:pt x="192" y="2"/>
                              </a:lnTo>
                              <a:lnTo>
                                <a:pt x="192" y="2"/>
                              </a:lnTo>
                              <a:lnTo>
                                <a:pt x="193" y="2"/>
                              </a:lnTo>
                              <a:lnTo>
                                <a:pt x="194" y="2"/>
                              </a:lnTo>
                              <a:lnTo>
                                <a:pt x="195" y="2"/>
                              </a:lnTo>
                              <a:lnTo>
                                <a:pt x="197" y="2"/>
                              </a:lnTo>
                              <a:lnTo>
                                <a:pt x="198" y="2"/>
                              </a:lnTo>
                              <a:lnTo>
                                <a:pt x="200" y="2"/>
                              </a:lnTo>
                              <a:lnTo>
                                <a:pt x="201" y="2"/>
                              </a:lnTo>
                              <a:lnTo>
                                <a:pt x="203" y="2"/>
                              </a:lnTo>
                              <a:lnTo>
                                <a:pt x="205" y="2"/>
                              </a:lnTo>
                              <a:lnTo>
                                <a:pt x="206" y="2"/>
                              </a:lnTo>
                              <a:lnTo>
                                <a:pt x="207" y="2"/>
                              </a:lnTo>
                              <a:lnTo>
                                <a:pt x="208" y="2"/>
                              </a:lnTo>
                              <a:lnTo>
                                <a:pt x="209" y="2"/>
                              </a:lnTo>
                              <a:lnTo>
                                <a:pt x="210" y="2"/>
                              </a:lnTo>
                              <a:lnTo>
                                <a:pt x="211" y="2"/>
                              </a:lnTo>
                              <a:lnTo>
                                <a:pt x="212" y="2"/>
                              </a:lnTo>
                              <a:lnTo>
                                <a:pt x="213" y="2"/>
                              </a:lnTo>
                              <a:lnTo>
                                <a:pt x="214" y="2"/>
                              </a:lnTo>
                              <a:lnTo>
                                <a:pt x="215" y="2"/>
                              </a:lnTo>
                              <a:lnTo>
                                <a:pt x="216" y="2"/>
                              </a:lnTo>
                              <a:lnTo>
                                <a:pt x="216" y="2"/>
                              </a:lnTo>
                              <a:lnTo>
                                <a:pt x="217" y="2"/>
                              </a:lnTo>
                              <a:lnTo>
                                <a:pt x="217" y="2"/>
                              </a:lnTo>
                              <a:lnTo>
                                <a:pt x="218" y="2"/>
                              </a:lnTo>
                              <a:lnTo>
                                <a:pt x="220" y="2"/>
                              </a:lnTo>
                              <a:lnTo>
                                <a:pt x="221" y="2"/>
                              </a:lnTo>
                              <a:lnTo>
                                <a:pt x="223" y="2"/>
                              </a:lnTo>
                              <a:lnTo>
                                <a:pt x="224" y="2"/>
                              </a:lnTo>
                              <a:lnTo>
                                <a:pt x="225" y="2"/>
                              </a:lnTo>
                              <a:lnTo>
                                <a:pt x="226" y="3"/>
                              </a:lnTo>
                              <a:lnTo>
                                <a:pt x="227" y="3"/>
                              </a:lnTo>
                              <a:lnTo>
                                <a:pt x="228" y="3"/>
                              </a:lnTo>
                              <a:lnTo>
                                <a:pt x="229" y="3"/>
                              </a:lnTo>
                              <a:lnTo>
                                <a:pt x="230" y="3"/>
                              </a:lnTo>
                              <a:lnTo>
                                <a:pt x="231" y="3"/>
                              </a:lnTo>
                              <a:lnTo>
                                <a:pt x="232" y="3"/>
                              </a:lnTo>
                              <a:lnTo>
                                <a:pt x="233" y="3"/>
                              </a:lnTo>
                              <a:lnTo>
                                <a:pt x="234" y="3"/>
                              </a:lnTo>
                              <a:lnTo>
                                <a:pt x="236" y="3"/>
                              </a:lnTo>
                              <a:lnTo>
                                <a:pt x="237" y="3"/>
                              </a:lnTo>
                              <a:lnTo>
                                <a:pt x="238" y="3"/>
                              </a:lnTo>
                              <a:lnTo>
                                <a:pt x="240" y="3"/>
                              </a:lnTo>
                              <a:lnTo>
                                <a:pt x="242" y="2"/>
                              </a:lnTo>
                              <a:lnTo>
                                <a:pt x="244" y="2"/>
                              </a:lnTo>
                              <a:lnTo>
                                <a:pt x="245" y="2"/>
                              </a:lnTo>
                              <a:lnTo>
                                <a:pt x="247" y="2"/>
                              </a:lnTo>
                              <a:lnTo>
                                <a:pt x="248" y="2"/>
                              </a:lnTo>
                              <a:lnTo>
                                <a:pt x="249" y="2"/>
                              </a:lnTo>
                              <a:lnTo>
                                <a:pt x="251" y="2"/>
                              </a:lnTo>
                              <a:lnTo>
                                <a:pt x="252" y="2"/>
                              </a:lnTo>
                              <a:lnTo>
                                <a:pt x="252" y="2"/>
                              </a:lnTo>
                              <a:lnTo>
                                <a:pt x="253" y="2"/>
                              </a:lnTo>
                              <a:lnTo>
                                <a:pt x="254" y="2"/>
                              </a:lnTo>
                              <a:lnTo>
                                <a:pt x="256" y="2"/>
                              </a:lnTo>
                              <a:lnTo>
                                <a:pt x="258" y="2"/>
                              </a:lnTo>
                              <a:lnTo>
                                <a:pt x="261" y="3"/>
                              </a:lnTo>
                              <a:lnTo>
                                <a:pt x="265" y="3"/>
                              </a:lnTo>
                              <a:lnTo>
                                <a:pt x="269" y="3"/>
                              </a:lnTo>
                              <a:lnTo>
                                <a:pt x="273" y="3"/>
                              </a:lnTo>
                              <a:lnTo>
                                <a:pt x="276" y="3"/>
                              </a:lnTo>
                              <a:lnTo>
                                <a:pt x="278" y="3"/>
                              </a:lnTo>
                              <a:lnTo>
                                <a:pt x="280" y="3"/>
                              </a:lnTo>
                              <a:lnTo>
                                <a:pt x="282" y="3"/>
                              </a:lnTo>
                              <a:lnTo>
                                <a:pt x="284" y="3"/>
                              </a:lnTo>
                              <a:lnTo>
                                <a:pt x="285" y="3"/>
                              </a:lnTo>
                              <a:lnTo>
                                <a:pt x="287" y="3"/>
                              </a:lnTo>
                              <a:lnTo>
                                <a:pt x="288" y="3"/>
                              </a:lnTo>
                              <a:lnTo>
                                <a:pt x="289" y="3"/>
                              </a:lnTo>
                              <a:lnTo>
                                <a:pt x="290" y="3"/>
                              </a:lnTo>
                              <a:lnTo>
                                <a:pt x="292" y="3"/>
                              </a:lnTo>
                              <a:lnTo>
                                <a:pt x="293" y="3"/>
                              </a:lnTo>
                              <a:lnTo>
                                <a:pt x="295" y="3"/>
                              </a:lnTo>
                              <a:lnTo>
                                <a:pt x="297" y="3"/>
                              </a:lnTo>
                              <a:lnTo>
                                <a:pt x="299" y="3"/>
                              </a:lnTo>
                              <a:lnTo>
                                <a:pt x="301" y="3"/>
                              </a:lnTo>
                              <a:lnTo>
                                <a:pt x="303" y="3"/>
                              </a:lnTo>
                              <a:lnTo>
                                <a:pt x="304" y="3"/>
                              </a:lnTo>
                              <a:lnTo>
                                <a:pt x="306" y="3"/>
                              </a:lnTo>
                              <a:lnTo>
                                <a:pt x="307" y="3"/>
                              </a:lnTo>
                              <a:lnTo>
                                <a:pt x="309" y="3"/>
                              </a:lnTo>
                              <a:lnTo>
                                <a:pt x="311" y="3"/>
                              </a:lnTo>
                              <a:lnTo>
                                <a:pt x="313" y="3"/>
                              </a:lnTo>
                              <a:lnTo>
                                <a:pt x="315" y="3"/>
                              </a:lnTo>
                              <a:lnTo>
                                <a:pt x="317" y="3"/>
                              </a:lnTo>
                              <a:lnTo>
                                <a:pt x="318" y="3"/>
                              </a:lnTo>
                              <a:lnTo>
                                <a:pt x="320" y="3"/>
                              </a:lnTo>
                              <a:lnTo>
                                <a:pt x="321" y="3"/>
                              </a:lnTo>
                              <a:lnTo>
                                <a:pt x="323" y="3"/>
                              </a:lnTo>
                              <a:lnTo>
                                <a:pt x="324" y="3"/>
                              </a:lnTo>
                              <a:lnTo>
                                <a:pt x="326" y="3"/>
                              </a:lnTo>
                              <a:lnTo>
                                <a:pt x="328" y="3"/>
                              </a:lnTo>
                              <a:lnTo>
                                <a:pt x="330" y="3"/>
                              </a:lnTo>
                              <a:lnTo>
                                <a:pt x="332" y="3"/>
                              </a:lnTo>
                              <a:lnTo>
                                <a:pt x="334" y="3"/>
                              </a:lnTo>
                              <a:lnTo>
                                <a:pt x="335" y="3"/>
                              </a:lnTo>
                              <a:lnTo>
                                <a:pt x="337" y="3"/>
                              </a:lnTo>
                              <a:lnTo>
                                <a:pt x="338" y="3"/>
                              </a:lnTo>
                              <a:lnTo>
                                <a:pt x="340" y="3"/>
                              </a:lnTo>
                              <a:lnTo>
                                <a:pt x="341" y="3"/>
                              </a:lnTo>
                              <a:lnTo>
                                <a:pt x="343" y="3"/>
                              </a:lnTo>
                              <a:lnTo>
                                <a:pt x="345" y="3"/>
                              </a:lnTo>
                              <a:lnTo>
                                <a:pt x="347" y="3"/>
                              </a:lnTo>
                              <a:lnTo>
                                <a:pt x="349" y="3"/>
                              </a:lnTo>
                              <a:lnTo>
                                <a:pt x="351" y="3"/>
                              </a:lnTo>
                              <a:lnTo>
                                <a:pt x="353" y="3"/>
                              </a:lnTo>
                              <a:lnTo>
                                <a:pt x="354" y="3"/>
                              </a:lnTo>
                              <a:lnTo>
                                <a:pt x="355" y="3"/>
                              </a:lnTo>
                              <a:lnTo>
                                <a:pt x="357" y="3"/>
                              </a:lnTo>
                              <a:lnTo>
                                <a:pt x="358" y="3"/>
                              </a:lnTo>
                              <a:lnTo>
                                <a:pt x="359" y="3"/>
                              </a:lnTo>
                              <a:lnTo>
                                <a:pt x="360" y="3"/>
                              </a:lnTo>
                              <a:lnTo>
                                <a:pt x="362" y="3"/>
                              </a:lnTo>
                              <a:lnTo>
                                <a:pt x="363" y="3"/>
                              </a:lnTo>
                              <a:lnTo>
                                <a:pt x="365" y="3"/>
                              </a:lnTo>
                              <a:lnTo>
                                <a:pt x="367" y="3"/>
                              </a:lnTo>
                              <a:lnTo>
                                <a:pt x="368" y="3"/>
                              </a:lnTo>
                              <a:lnTo>
                                <a:pt x="370" y="3"/>
                              </a:lnTo>
                              <a:lnTo>
                                <a:pt x="372" y="3"/>
                              </a:lnTo>
                              <a:lnTo>
                                <a:pt x="374" y="3"/>
                              </a:lnTo>
                              <a:lnTo>
                                <a:pt x="378" y="3"/>
                              </a:lnTo>
                              <a:lnTo>
                                <a:pt x="382" y="3"/>
                              </a:lnTo>
                              <a:lnTo>
                                <a:pt x="386" y="3"/>
                              </a:lnTo>
                              <a:lnTo>
                                <a:pt x="389" y="3"/>
                              </a:lnTo>
                              <a:lnTo>
                                <a:pt x="391" y="3"/>
                              </a:lnTo>
                              <a:lnTo>
                                <a:pt x="392" y="3"/>
                              </a:lnTo>
                              <a:lnTo>
                                <a:pt x="394" y="2"/>
                              </a:lnTo>
                              <a:lnTo>
                                <a:pt x="395" y="2"/>
                              </a:lnTo>
                              <a:lnTo>
                                <a:pt x="397" y="2"/>
                              </a:lnTo>
                              <a:lnTo>
                                <a:pt x="399" y="2"/>
                              </a:lnTo>
                              <a:lnTo>
                                <a:pt x="402" y="2"/>
                              </a:lnTo>
                              <a:lnTo>
                                <a:pt x="404" y="2"/>
                              </a:lnTo>
                              <a:lnTo>
                                <a:pt x="407" y="2"/>
                              </a:lnTo>
                              <a:lnTo>
                                <a:pt x="410" y="2"/>
                              </a:lnTo>
                              <a:lnTo>
                                <a:pt x="414" y="2"/>
                              </a:lnTo>
                              <a:lnTo>
                                <a:pt x="417" y="2"/>
                              </a:lnTo>
                              <a:lnTo>
                                <a:pt x="418" y="2"/>
                              </a:lnTo>
                              <a:lnTo>
                                <a:pt x="420" y="2"/>
                              </a:lnTo>
                              <a:lnTo>
                                <a:pt x="421" y="2"/>
                              </a:lnTo>
                              <a:lnTo>
                                <a:pt x="423" y="2"/>
                              </a:lnTo>
                              <a:lnTo>
                                <a:pt x="424" y="2"/>
                              </a:lnTo>
                              <a:lnTo>
                                <a:pt x="425" y="2"/>
                              </a:lnTo>
                              <a:lnTo>
                                <a:pt x="426" y="2"/>
                              </a:lnTo>
                              <a:lnTo>
                                <a:pt x="427" y="2"/>
                              </a:lnTo>
                              <a:lnTo>
                                <a:pt x="427" y="2"/>
                              </a:lnTo>
                              <a:lnTo>
                                <a:pt x="428" y="2"/>
                              </a:lnTo>
                              <a:lnTo>
                                <a:pt x="429" y="2"/>
                              </a:lnTo>
                              <a:lnTo>
                                <a:pt x="430" y="2"/>
                              </a:lnTo>
                              <a:lnTo>
                                <a:pt x="431" y="2"/>
                              </a:lnTo>
                              <a:lnTo>
                                <a:pt x="433" y="2"/>
                              </a:lnTo>
                              <a:lnTo>
                                <a:pt x="434" y="2"/>
                              </a:lnTo>
                              <a:lnTo>
                                <a:pt x="436" y="2"/>
                              </a:lnTo>
                              <a:lnTo>
                                <a:pt x="437" y="2"/>
                              </a:lnTo>
                              <a:lnTo>
                                <a:pt x="438" y="1"/>
                              </a:lnTo>
                              <a:lnTo>
                                <a:pt x="439" y="1"/>
                              </a:lnTo>
                              <a:lnTo>
                                <a:pt x="440" y="1"/>
                              </a:lnTo>
                              <a:lnTo>
                                <a:pt x="441" y="1"/>
                              </a:lnTo>
                              <a:lnTo>
                                <a:pt x="442" y="1"/>
                              </a:lnTo>
                              <a:lnTo>
                                <a:pt x="442" y="1"/>
                              </a:lnTo>
                              <a:lnTo>
                                <a:pt x="443" y="1"/>
                              </a:lnTo>
                              <a:lnTo>
                                <a:pt x="444" y="1"/>
                              </a:lnTo>
                              <a:lnTo>
                                <a:pt x="445" y="1"/>
                              </a:lnTo>
                              <a:lnTo>
                                <a:pt x="447" y="1"/>
                              </a:lnTo>
                              <a:lnTo>
                                <a:pt x="448" y="1"/>
                              </a:lnTo>
                              <a:lnTo>
                                <a:pt x="450" y="1"/>
                              </a:lnTo>
                              <a:lnTo>
                                <a:pt x="451" y="1"/>
                              </a:lnTo>
                              <a:lnTo>
                                <a:pt x="453" y="1"/>
                              </a:lnTo>
                              <a:lnTo>
                                <a:pt x="454" y="1"/>
                              </a:lnTo>
                              <a:lnTo>
                                <a:pt x="456" y="1"/>
                              </a:lnTo>
                              <a:lnTo>
                                <a:pt x="457" y="1"/>
                              </a:lnTo>
                              <a:lnTo>
                                <a:pt x="457" y="1"/>
                              </a:lnTo>
                              <a:lnTo>
                                <a:pt x="458" y="1"/>
                              </a:lnTo>
                              <a:lnTo>
                                <a:pt x="459" y="1"/>
                              </a:lnTo>
                              <a:lnTo>
                                <a:pt x="460" y="1"/>
                              </a:lnTo>
                              <a:lnTo>
                                <a:pt x="460" y="1"/>
                              </a:lnTo>
                              <a:lnTo>
                                <a:pt x="461" y="1"/>
                              </a:lnTo>
                              <a:lnTo>
                                <a:pt x="462" y="1"/>
                              </a:lnTo>
                              <a:lnTo>
                                <a:pt x="462" y="1"/>
                              </a:lnTo>
                              <a:lnTo>
                                <a:pt x="462" y="1"/>
                              </a:lnTo>
                              <a:lnTo>
                                <a:pt x="463" y="1"/>
                              </a:lnTo>
                              <a:lnTo>
                                <a:pt x="464" y="1"/>
                              </a:lnTo>
                              <a:lnTo>
                                <a:pt x="465" y="1"/>
                              </a:lnTo>
                              <a:lnTo>
                                <a:pt x="466" y="1"/>
                              </a:lnTo>
                              <a:lnTo>
                                <a:pt x="466" y="1"/>
                              </a:lnTo>
                              <a:lnTo>
                                <a:pt x="468" y="1"/>
                              </a:lnTo>
                              <a:lnTo>
                                <a:pt x="470" y="1"/>
                              </a:lnTo>
                              <a:lnTo>
                                <a:pt x="471" y="1"/>
                              </a:lnTo>
                              <a:lnTo>
                                <a:pt x="472" y="1"/>
                              </a:lnTo>
                              <a:lnTo>
                                <a:pt x="473" y="1"/>
                              </a:lnTo>
                              <a:lnTo>
                                <a:pt x="474" y="0"/>
                              </a:lnTo>
                              <a:lnTo>
                                <a:pt x="475" y="0"/>
                              </a:lnTo>
                              <a:lnTo>
                                <a:pt x="476" y="0"/>
                              </a:lnTo>
                              <a:lnTo>
                                <a:pt x="477" y="0"/>
                              </a:lnTo>
                              <a:lnTo>
                                <a:pt x="477" y="0"/>
                              </a:lnTo>
                              <a:lnTo>
                                <a:pt x="478" y="0"/>
                              </a:lnTo>
                              <a:lnTo>
                                <a:pt x="479" y="0"/>
                              </a:lnTo>
                              <a:lnTo>
                                <a:pt x="480" y="0"/>
                              </a:lnTo>
                              <a:lnTo>
                                <a:pt x="481" y="0"/>
                              </a:lnTo>
                              <a:lnTo>
                                <a:pt x="481" y="0"/>
                              </a:lnTo>
                              <a:lnTo>
                                <a:pt x="482" y="0"/>
                              </a:lnTo>
                              <a:lnTo>
                                <a:pt x="483" y="0"/>
                              </a:lnTo>
                              <a:lnTo>
                                <a:pt x="484" y="0"/>
                              </a:lnTo>
                              <a:lnTo>
                                <a:pt x="485" y="0"/>
                              </a:lnTo>
                              <a:lnTo>
                                <a:pt x="487" y="0"/>
                              </a:lnTo>
                              <a:lnTo>
                                <a:pt x="488" y="0"/>
                              </a:lnTo>
                              <a:lnTo>
                                <a:pt x="490" y="1"/>
                              </a:lnTo>
                              <a:lnTo>
                                <a:pt x="491" y="1"/>
                              </a:lnTo>
                              <a:lnTo>
                                <a:pt x="492" y="1"/>
                              </a:lnTo>
                              <a:lnTo>
                                <a:pt x="493" y="1"/>
                              </a:lnTo>
                              <a:lnTo>
                                <a:pt x="494" y="1"/>
                              </a:lnTo>
                              <a:lnTo>
                                <a:pt x="495" y="1"/>
                              </a:lnTo>
                              <a:lnTo>
                                <a:pt x="496" y="1"/>
                              </a:lnTo>
                              <a:lnTo>
                                <a:pt x="496" y="1"/>
                              </a:lnTo>
                              <a:lnTo>
                                <a:pt x="497" y="1"/>
                              </a:lnTo>
                              <a:lnTo>
                                <a:pt x="498" y="1"/>
                              </a:lnTo>
                              <a:lnTo>
                                <a:pt x="500" y="0"/>
                              </a:lnTo>
                              <a:lnTo>
                                <a:pt x="501" y="0"/>
                              </a:lnTo>
                              <a:lnTo>
                                <a:pt x="502" y="0"/>
                              </a:lnTo>
                              <a:lnTo>
                                <a:pt x="503" y="0"/>
                              </a:lnTo>
                              <a:lnTo>
                                <a:pt x="504" y="0"/>
                              </a:lnTo>
                              <a:lnTo>
                                <a:pt x="505" y="0"/>
                              </a:lnTo>
                              <a:lnTo>
                                <a:pt x="505" y="0"/>
                              </a:lnTo>
                              <a:lnTo>
                                <a:pt x="506" y="0"/>
                              </a:lnTo>
                              <a:lnTo>
                                <a:pt x="507" y="0"/>
                              </a:lnTo>
                              <a:lnTo>
                                <a:pt x="508" y="0"/>
                              </a:lnTo>
                              <a:lnTo>
                                <a:pt x="509" y="0"/>
                              </a:lnTo>
                              <a:lnTo>
                                <a:pt x="510" y="0"/>
                              </a:lnTo>
                              <a:lnTo>
                                <a:pt x="511" y="1"/>
                              </a:lnTo>
                              <a:lnTo>
                                <a:pt x="512" y="1"/>
                              </a:lnTo>
                              <a:lnTo>
                                <a:pt x="513" y="1"/>
                              </a:lnTo>
                              <a:lnTo>
                                <a:pt x="514" y="1"/>
                              </a:lnTo>
                              <a:lnTo>
                                <a:pt x="516" y="1"/>
                              </a:lnTo>
                              <a:lnTo>
                                <a:pt x="518" y="1"/>
                              </a:lnTo>
                              <a:lnTo>
                                <a:pt x="520" y="1"/>
                              </a:lnTo>
                              <a:lnTo>
                                <a:pt x="521" y="1"/>
                              </a:lnTo>
                              <a:lnTo>
                                <a:pt x="523" y="1"/>
                              </a:lnTo>
                              <a:lnTo>
                                <a:pt x="524" y="1"/>
                              </a:lnTo>
                              <a:lnTo>
                                <a:pt x="525" y="1"/>
                              </a:lnTo>
                              <a:lnTo>
                                <a:pt x="526" y="1"/>
                              </a:lnTo>
                              <a:lnTo>
                                <a:pt x="527" y="1"/>
                              </a:lnTo>
                              <a:lnTo>
                                <a:pt x="528" y="1"/>
                              </a:lnTo>
                              <a:lnTo>
                                <a:pt x="529" y="1"/>
                              </a:lnTo>
                              <a:lnTo>
                                <a:pt x="530" y="1"/>
                              </a:lnTo>
                              <a:lnTo>
                                <a:pt x="531" y="1"/>
                              </a:lnTo>
                              <a:lnTo>
                                <a:pt x="532" y="1"/>
                              </a:lnTo>
                              <a:lnTo>
                                <a:pt x="532" y="1"/>
                              </a:lnTo>
                              <a:lnTo>
                                <a:pt x="533" y="1"/>
                              </a:lnTo>
                              <a:lnTo>
                                <a:pt x="534" y="1"/>
                              </a:lnTo>
                              <a:lnTo>
                                <a:pt x="535" y="1"/>
                              </a:lnTo>
                              <a:lnTo>
                                <a:pt x="535" y="1"/>
                              </a:lnTo>
                              <a:lnTo>
                                <a:pt x="536" y="1"/>
                              </a:lnTo>
                              <a:lnTo>
                                <a:pt x="537" y="1"/>
                              </a:lnTo>
                              <a:lnTo>
                                <a:pt x="538" y="1"/>
                              </a:lnTo>
                              <a:lnTo>
                                <a:pt x="540" y="1"/>
                              </a:lnTo>
                              <a:lnTo>
                                <a:pt x="541" y="1"/>
                              </a:lnTo>
                              <a:lnTo>
                                <a:pt x="542" y="1"/>
                              </a:lnTo>
                              <a:lnTo>
                                <a:pt x="544" y="1"/>
                              </a:lnTo>
                              <a:lnTo>
                                <a:pt x="545" y="1"/>
                              </a:lnTo>
                              <a:lnTo>
                                <a:pt x="546" y="1"/>
                              </a:lnTo>
                              <a:lnTo>
                                <a:pt x="547" y="1"/>
                              </a:lnTo>
                              <a:lnTo>
                                <a:pt x="548" y="1"/>
                              </a:lnTo>
                              <a:lnTo>
                                <a:pt x="549" y="1"/>
                              </a:lnTo>
                              <a:lnTo>
                                <a:pt x="550" y="1"/>
                              </a:lnTo>
                              <a:lnTo>
                                <a:pt x="550" y="1"/>
                              </a:lnTo>
                              <a:lnTo>
                                <a:pt x="551" y="1"/>
                              </a:lnTo>
                              <a:lnTo>
                                <a:pt x="552" y="1"/>
                              </a:lnTo>
                              <a:lnTo>
                                <a:pt x="553" y="1"/>
                              </a:lnTo>
                              <a:lnTo>
                                <a:pt x="554" y="1"/>
                              </a:lnTo>
                              <a:lnTo>
                                <a:pt x="555" y="1"/>
                              </a:lnTo>
                              <a:lnTo>
                                <a:pt x="555" y="1"/>
                              </a:lnTo>
                              <a:lnTo>
                                <a:pt x="557" y="1"/>
                              </a:lnTo>
                              <a:lnTo>
                                <a:pt x="558" y="1"/>
                              </a:lnTo>
                              <a:lnTo>
                                <a:pt x="560" y="1"/>
                              </a:lnTo>
                              <a:lnTo>
                                <a:pt x="561" y="1"/>
                              </a:lnTo>
                              <a:lnTo>
                                <a:pt x="563" y="1"/>
                              </a:lnTo>
                              <a:lnTo>
                                <a:pt x="564" y="1"/>
                              </a:lnTo>
                              <a:lnTo>
                                <a:pt x="565" y="1"/>
                              </a:lnTo>
                              <a:lnTo>
                                <a:pt x="565" y="1"/>
                              </a:lnTo>
                              <a:lnTo>
                                <a:pt x="566" y="1"/>
                              </a:lnTo>
                              <a:lnTo>
                                <a:pt x="566" y="1"/>
                              </a:lnTo>
                              <a:lnTo>
                                <a:pt x="567" y="1"/>
                              </a:lnTo>
                              <a:lnTo>
                                <a:pt x="568" y="1"/>
                              </a:lnTo>
                              <a:lnTo>
                                <a:pt x="569" y="1"/>
                              </a:lnTo>
                              <a:lnTo>
                                <a:pt x="570" y="1"/>
                              </a:lnTo>
                              <a:lnTo>
                                <a:pt x="572" y="1"/>
                              </a:lnTo>
                              <a:lnTo>
                                <a:pt x="573" y="1"/>
                              </a:lnTo>
                              <a:lnTo>
                                <a:pt x="574" y="1"/>
                              </a:lnTo>
                              <a:lnTo>
                                <a:pt x="575" y="1"/>
                              </a:lnTo>
                              <a:lnTo>
                                <a:pt x="576" y="1"/>
                              </a:lnTo>
                              <a:lnTo>
                                <a:pt x="576" y="1"/>
                              </a:lnTo>
                              <a:lnTo>
                                <a:pt x="577" y="1"/>
                              </a:lnTo>
                              <a:lnTo>
                                <a:pt x="578" y="1"/>
                              </a:lnTo>
                              <a:lnTo>
                                <a:pt x="579" y="1"/>
                              </a:lnTo>
                              <a:lnTo>
                                <a:pt x="580" y="1"/>
                              </a:lnTo>
                              <a:lnTo>
                                <a:pt x="581" y="1"/>
                              </a:lnTo>
                              <a:lnTo>
                                <a:pt x="583" y="1"/>
                              </a:lnTo>
                              <a:lnTo>
                                <a:pt x="584" y="2"/>
                              </a:lnTo>
                              <a:lnTo>
                                <a:pt x="586" y="2"/>
                              </a:lnTo>
                              <a:lnTo>
                                <a:pt x="587" y="2"/>
                              </a:lnTo>
                              <a:lnTo>
                                <a:pt x="588" y="2"/>
                              </a:lnTo>
                              <a:lnTo>
                                <a:pt x="590" y="2"/>
                              </a:lnTo>
                              <a:lnTo>
                                <a:pt x="591" y="2"/>
                              </a:lnTo>
                              <a:lnTo>
                                <a:pt x="592" y="2"/>
                              </a:lnTo>
                              <a:lnTo>
                                <a:pt x="593" y="2"/>
                              </a:lnTo>
                              <a:lnTo>
                                <a:pt x="594" y="2"/>
                              </a:lnTo>
                              <a:lnTo>
                                <a:pt x="595" y="2"/>
                              </a:lnTo>
                              <a:lnTo>
                                <a:pt x="596" y="2"/>
                              </a:lnTo>
                              <a:lnTo>
                                <a:pt x="597" y="2"/>
                              </a:lnTo>
                              <a:lnTo>
                                <a:pt x="598" y="2"/>
                              </a:lnTo>
                              <a:lnTo>
                                <a:pt x="600" y="2"/>
                              </a:lnTo>
                              <a:lnTo>
                                <a:pt x="601" y="2"/>
                              </a:lnTo>
                              <a:lnTo>
                                <a:pt x="602" y="2"/>
                              </a:lnTo>
                              <a:lnTo>
                                <a:pt x="603" y="2"/>
                              </a:lnTo>
                              <a:lnTo>
                                <a:pt x="604" y="2"/>
                              </a:lnTo>
                              <a:lnTo>
                                <a:pt x="606" y="2"/>
                              </a:lnTo>
                              <a:lnTo>
                                <a:pt x="607" y="2"/>
                              </a:lnTo>
                              <a:lnTo>
                                <a:pt x="608" y="2"/>
                              </a:lnTo>
                              <a:lnTo>
                                <a:pt x="609" y="2"/>
                              </a:lnTo>
                              <a:lnTo>
                                <a:pt x="610" y="2"/>
                              </a:lnTo>
                              <a:lnTo>
                                <a:pt x="611" y="2"/>
                              </a:lnTo>
                              <a:lnTo>
                                <a:pt x="613" y="2"/>
                              </a:lnTo>
                              <a:lnTo>
                                <a:pt x="614" y="2"/>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43" name="Freeform 167"/>
                        <a:cNvSpPr>
                          <a:spLocks/>
                        </a:cNvSpPr>
                      </a:nvSpPr>
                      <a:spPr bwMode="auto">
                        <a:xfrm>
                          <a:off x="4236235" y="6196706"/>
                          <a:ext cx="866194" cy="1371780"/>
                        </a:xfrm>
                        <a:custGeom>
                          <a:avLst/>
                          <a:gdLst/>
                          <a:ahLst/>
                          <a:cxnLst>
                            <a:cxn ang="0">
                              <a:pos x="10" y="728"/>
                            </a:cxn>
                            <a:cxn ang="0">
                              <a:pos x="18" y="728"/>
                            </a:cxn>
                            <a:cxn ang="0">
                              <a:pos x="26" y="727"/>
                            </a:cxn>
                            <a:cxn ang="0">
                              <a:pos x="32" y="727"/>
                            </a:cxn>
                            <a:cxn ang="0">
                              <a:pos x="41" y="728"/>
                            </a:cxn>
                            <a:cxn ang="0">
                              <a:pos x="55" y="729"/>
                            </a:cxn>
                            <a:cxn ang="0">
                              <a:pos x="71" y="729"/>
                            </a:cxn>
                            <a:cxn ang="0">
                              <a:pos x="96" y="729"/>
                            </a:cxn>
                            <a:cxn ang="0">
                              <a:pos x="122" y="729"/>
                            </a:cxn>
                            <a:cxn ang="0">
                              <a:pos x="135" y="729"/>
                            </a:cxn>
                            <a:cxn ang="0">
                              <a:pos x="155" y="728"/>
                            </a:cxn>
                            <a:cxn ang="0">
                              <a:pos x="167" y="728"/>
                            </a:cxn>
                            <a:cxn ang="0">
                              <a:pos x="187" y="728"/>
                            </a:cxn>
                            <a:cxn ang="0">
                              <a:pos x="198" y="727"/>
                            </a:cxn>
                            <a:cxn ang="0">
                              <a:pos x="213" y="727"/>
                            </a:cxn>
                            <a:cxn ang="0">
                              <a:pos x="230" y="726"/>
                            </a:cxn>
                            <a:cxn ang="0">
                              <a:pos x="242" y="726"/>
                            </a:cxn>
                            <a:cxn ang="0">
                              <a:pos x="261" y="725"/>
                            </a:cxn>
                            <a:cxn ang="0">
                              <a:pos x="269" y="724"/>
                            </a:cxn>
                            <a:cxn ang="0">
                              <a:pos x="286" y="723"/>
                            </a:cxn>
                            <a:cxn ang="0">
                              <a:pos x="300" y="722"/>
                            </a:cxn>
                            <a:cxn ang="0">
                              <a:pos x="308" y="721"/>
                            </a:cxn>
                            <a:cxn ang="0">
                              <a:pos x="324" y="720"/>
                            </a:cxn>
                            <a:cxn ang="0">
                              <a:pos x="335" y="718"/>
                            </a:cxn>
                            <a:cxn ang="0">
                              <a:pos x="343" y="717"/>
                            </a:cxn>
                            <a:cxn ang="0">
                              <a:pos x="356" y="715"/>
                            </a:cxn>
                            <a:cxn ang="0">
                              <a:pos x="370" y="714"/>
                            </a:cxn>
                            <a:cxn ang="0">
                              <a:pos x="376" y="713"/>
                            </a:cxn>
                            <a:cxn ang="0">
                              <a:pos x="390" y="709"/>
                            </a:cxn>
                            <a:cxn ang="0">
                              <a:pos x="403" y="706"/>
                            </a:cxn>
                            <a:cxn ang="0">
                              <a:pos x="407" y="706"/>
                            </a:cxn>
                            <a:cxn ang="0">
                              <a:pos x="416" y="704"/>
                            </a:cxn>
                            <a:cxn ang="0">
                              <a:pos x="421" y="702"/>
                            </a:cxn>
                            <a:cxn ang="0">
                              <a:pos x="426" y="700"/>
                            </a:cxn>
                            <a:cxn ang="0">
                              <a:pos x="432" y="695"/>
                            </a:cxn>
                            <a:cxn ang="0">
                              <a:pos x="438" y="689"/>
                            </a:cxn>
                            <a:cxn ang="0">
                              <a:pos x="440" y="686"/>
                            </a:cxn>
                            <a:cxn ang="0">
                              <a:pos x="442" y="683"/>
                            </a:cxn>
                            <a:cxn ang="0">
                              <a:pos x="446" y="677"/>
                            </a:cxn>
                            <a:cxn ang="0">
                              <a:pos x="452" y="665"/>
                            </a:cxn>
                            <a:cxn ang="0">
                              <a:pos x="457" y="651"/>
                            </a:cxn>
                            <a:cxn ang="0">
                              <a:pos x="461" y="638"/>
                            </a:cxn>
                            <a:cxn ang="0">
                              <a:pos x="464" y="625"/>
                            </a:cxn>
                            <a:cxn ang="0">
                              <a:pos x="467" y="611"/>
                            </a:cxn>
                            <a:cxn ang="0">
                              <a:pos x="470" y="590"/>
                            </a:cxn>
                            <a:cxn ang="0">
                              <a:pos x="472" y="566"/>
                            </a:cxn>
                            <a:cxn ang="0">
                              <a:pos x="473" y="554"/>
                            </a:cxn>
                            <a:cxn ang="0">
                              <a:pos x="473" y="546"/>
                            </a:cxn>
                            <a:cxn ang="0">
                              <a:pos x="474" y="538"/>
                            </a:cxn>
                            <a:cxn ang="0">
                              <a:pos x="475" y="517"/>
                            </a:cxn>
                            <a:cxn ang="0">
                              <a:pos x="478" y="461"/>
                            </a:cxn>
                            <a:cxn ang="0">
                              <a:pos x="482" y="369"/>
                            </a:cxn>
                            <a:cxn ang="0">
                              <a:pos x="489" y="193"/>
                            </a:cxn>
                            <a:cxn ang="0">
                              <a:pos x="492" y="97"/>
                            </a:cxn>
                            <a:cxn ang="0">
                              <a:pos x="495" y="47"/>
                            </a:cxn>
                            <a:cxn ang="0">
                              <a:pos x="496" y="17"/>
                            </a:cxn>
                            <a:cxn ang="0">
                              <a:pos x="498" y="2"/>
                            </a:cxn>
                            <a:cxn ang="0">
                              <a:pos x="500" y="2"/>
                            </a:cxn>
                            <a:cxn ang="0">
                              <a:pos x="502" y="16"/>
                            </a:cxn>
                            <a:cxn ang="0">
                              <a:pos x="504" y="46"/>
                            </a:cxn>
                            <a:cxn ang="0">
                              <a:pos x="507" y="96"/>
                            </a:cxn>
                            <a:cxn ang="0">
                              <a:pos x="508" y="117"/>
                            </a:cxn>
                            <a:cxn ang="0">
                              <a:pos x="509" y="131"/>
                            </a:cxn>
                          </a:cxnLst>
                          <a:rect l="0" t="0" r="r" b="b"/>
                          <a:pathLst>
                            <a:path w="511" h="729">
                              <a:moveTo>
                                <a:pt x="0" y="728"/>
                              </a:moveTo>
                              <a:lnTo>
                                <a:pt x="2" y="728"/>
                              </a:lnTo>
                              <a:lnTo>
                                <a:pt x="4" y="728"/>
                              </a:lnTo>
                              <a:lnTo>
                                <a:pt x="6" y="728"/>
                              </a:lnTo>
                              <a:lnTo>
                                <a:pt x="7" y="728"/>
                              </a:lnTo>
                              <a:lnTo>
                                <a:pt x="8" y="728"/>
                              </a:lnTo>
                              <a:lnTo>
                                <a:pt x="9" y="728"/>
                              </a:lnTo>
                              <a:lnTo>
                                <a:pt x="10" y="728"/>
                              </a:lnTo>
                              <a:lnTo>
                                <a:pt x="11" y="728"/>
                              </a:lnTo>
                              <a:lnTo>
                                <a:pt x="12" y="728"/>
                              </a:lnTo>
                              <a:lnTo>
                                <a:pt x="13" y="728"/>
                              </a:lnTo>
                              <a:lnTo>
                                <a:pt x="14" y="728"/>
                              </a:lnTo>
                              <a:lnTo>
                                <a:pt x="15" y="728"/>
                              </a:lnTo>
                              <a:lnTo>
                                <a:pt x="16" y="728"/>
                              </a:lnTo>
                              <a:lnTo>
                                <a:pt x="17" y="728"/>
                              </a:lnTo>
                              <a:lnTo>
                                <a:pt x="18" y="728"/>
                              </a:lnTo>
                              <a:lnTo>
                                <a:pt x="19" y="728"/>
                              </a:lnTo>
                              <a:lnTo>
                                <a:pt x="20" y="728"/>
                              </a:lnTo>
                              <a:lnTo>
                                <a:pt x="22" y="728"/>
                              </a:lnTo>
                              <a:lnTo>
                                <a:pt x="23" y="728"/>
                              </a:lnTo>
                              <a:lnTo>
                                <a:pt x="24" y="728"/>
                              </a:lnTo>
                              <a:lnTo>
                                <a:pt x="25" y="727"/>
                              </a:lnTo>
                              <a:lnTo>
                                <a:pt x="25" y="727"/>
                              </a:lnTo>
                              <a:lnTo>
                                <a:pt x="26" y="727"/>
                              </a:lnTo>
                              <a:lnTo>
                                <a:pt x="27" y="727"/>
                              </a:lnTo>
                              <a:lnTo>
                                <a:pt x="27" y="727"/>
                              </a:lnTo>
                              <a:lnTo>
                                <a:pt x="28" y="727"/>
                              </a:lnTo>
                              <a:lnTo>
                                <a:pt x="29" y="727"/>
                              </a:lnTo>
                              <a:lnTo>
                                <a:pt x="29" y="727"/>
                              </a:lnTo>
                              <a:lnTo>
                                <a:pt x="30" y="727"/>
                              </a:lnTo>
                              <a:lnTo>
                                <a:pt x="31" y="727"/>
                              </a:lnTo>
                              <a:lnTo>
                                <a:pt x="32" y="727"/>
                              </a:lnTo>
                              <a:lnTo>
                                <a:pt x="32" y="727"/>
                              </a:lnTo>
                              <a:lnTo>
                                <a:pt x="33" y="728"/>
                              </a:lnTo>
                              <a:lnTo>
                                <a:pt x="34" y="728"/>
                              </a:lnTo>
                              <a:lnTo>
                                <a:pt x="35" y="728"/>
                              </a:lnTo>
                              <a:lnTo>
                                <a:pt x="36" y="728"/>
                              </a:lnTo>
                              <a:lnTo>
                                <a:pt x="37" y="728"/>
                              </a:lnTo>
                              <a:lnTo>
                                <a:pt x="39" y="728"/>
                              </a:lnTo>
                              <a:lnTo>
                                <a:pt x="41" y="728"/>
                              </a:lnTo>
                              <a:lnTo>
                                <a:pt x="43" y="728"/>
                              </a:lnTo>
                              <a:lnTo>
                                <a:pt x="45" y="728"/>
                              </a:lnTo>
                              <a:lnTo>
                                <a:pt x="47" y="728"/>
                              </a:lnTo>
                              <a:lnTo>
                                <a:pt x="48" y="728"/>
                              </a:lnTo>
                              <a:lnTo>
                                <a:pt x="50" y="728"/>
                              </a:lnTo>
                              <a:lnTo>
                                <a:pt x="52" y="728"/>
                              </a:lnTo>
                              <a:lnTo>
                                <a:pt x="53" y="728"/>
                              </a:lnTo>
                              <a:lnTo>
                                <a:pt x="55" y="729"/>
                              </a:lnTo>
                              <a:lnTo>
                                <a:pt x="57" y="729"/>
                              </a:lnTo>
                              <a:lnTo>
                                <a:pt x="58" y="729"/>
                              </a:lnTo>
                              <a:lnTo>
                                <a:pt x="59" y="729"/>
                              </a:lnTo>
                              <a:lnTo>
                                <a:pt x="60" y="729"/>
                              </a:lnTo>
                              <a:lnTo>
                                <a:pt x="62" y="729"/>
                              </a:lnTo>
                              <a:lnTo>
                                <a:pt x="64" y="729"/>
                              </a:lnTo>
                              <a:lnTo>
                                <a:pt x="67" y="729"/>
                              </a:lnTo>
                              <a:lnTo>
                                <a:pt x="71" y="729"/>
                              </a:lnTo>
                              <a:lnTo>
                                <a:pt x="75" y="729"/>
                              </a:lnTo>
                              <a:lnTo>
                                <a:pt x="78" y="729"/>
                              </a:lnTo>
                              <a:lnTo>
                                <a:pt x="81" y="729"/>
                              </a:lnTo>
                              <a:lnTo>
                                <a:pt x="85" y="729"/>
                              </a:lnTo>
                              <a:lnTo>
                                <a:pt x="88" y="729"/>
                              </a:lnTo>
                              <a:lnTo>
                                <a:pt x="91" y="729"/>
                              </a:lnTo>
                              <a:lnTo>
                                <a:pt x="94" y="729"/>
                              </a:lnTo>
                              <a:lnTo>
                                <a:pt x="96" y="729"/>
                              </a:lnTo>
                              <a:lnTo>
                                <a:pt x="100" y="729"/>
                              </a:lnTo>
                              <a:lnTo>
                                <a:pt x="105" y="729"/>
                              </a:lnTo>
                              <a:lnTo>
                                <a:pt x="109" y="729"/>
                              </a:lnTo>
                              <a:lnTo>
                                <a:pt x="113" y="729"/>
                              </a:lnTo>
                              <a:lnTo>
                                <a:pt x="115" y="729"/>
                              </a:lnTo>
                              <a:lnTo>
                                <a:pt x="117" y="729"/>
                              </a:lnTo>
                              <a:lnTo>
                                <a:pt x="119" y="729"/>
                              </a:lnTo>
                              <a:lnTo>
                                <a:pt x="122" y="729"/>
                              </a:lnTo>
                              <a:lnTo>
                                <a:pt x="124" y="729"/>
                              </a:lnTo>
                              <a:lnTo>
                                <a:pt x="126" y="729"/>
                              </a:lnTo>
                              <a:lnTo>
                                <a:pt x="128" y="729"/>
                              </a:lnTo>
                              <a:lnTo>
                                <a:pt x="129" y="729"/>
                              </a:lnTo>
                              <a:lnTo>
                                <a:pt x="130" y="729"/>
                              </a:lnTo>
                              <a:lnTo>
                                <a:pt x="131" y="729"/>
                              </a:lnTo>
                              <a:lnTo>
                                <a:pt x="133" y="729"/>
                              </a:lnTo>
                              <a:lnTo>
                                <a:pt x="135" y="729"/>
                              </a:lnTo>
                              <a:lnTo>
                                <a:pt x="137" y="729"/>
                              </a:lnTo>
                              <a:lnTo>
                                <a:pt x="139" y="729"/>
                              </a:lnTo>
                              <a:lnTo>
                                <a:pt x="141" y="729"/>
                              </a:lnTo>
                              <a:lnTo>
                                <a:pt x="143" y="729"/>
                              </a:lnTo>
                              <a:lnTo>
                                <a:pt x="145" y="729"/>
                              </a:lnTo>
                              <a:lnTo>
                                <a:pt x="148" y="729"/>
                              </a:lnTo>
                              <a:lnTo>
                                <a:pt x="151" y="729"/>
                              </a:lnTo>
                              <a:lnTo>
                                <a:pt x="155" y="728"/>
                              </a:lnTo>
                              <a:lnTo>
                                <a:pt x="157" y="728"/>
                              </a:lnTo>
                              <a:lnTo>
                                <a:pt x="159" y="728"/>
                              </a:lnTo>
                              <a:lnTo>
                                <a:pt x="161" y="728"/>
                              </a:lnTo>
                              <a:lnTo>
                                <a:pt x="162" y="728"/>
                              </a:lnTo>
                              <a:lnTo>
                                <a:pt x="163" y="728"/>
                              </a:lnTo>
                              <a:lnTo>
                                <a:pt x="163" y="728"/>
                              </a:lnTo>
                              <a:lnTo>
                                <a:pt x="165" y="728"/>
                              </a:lnTo>
                              <a:lnTo>
                                <a:pt x="167" y="728"/>
                              </a:lnTo>
                              <a:lnTo>
                                <a:pt x="170" y="728"/>
                              </a:lnTo>
                              <a:lnTo>
                                <a:pt x="173" y="728"/>
                              </a:lnTo>
                              <a:lnTo>
                                <a:pt x="175" y="728"/>
                              </a:lnTo>
                              <a:lnTo>
                                <a:pt x="178" y="728"/>
                              </a:lnTo>
                              <a:lnTo>
                                <a:pt x="181" y="728"/>
                              </a:lnTo>
                              <a:lnTo>
                                <a:pt x="183" y="728"/>
                              </a:lnTo>
                              <a:lnTo>
                                <a:pt x="185" y="728"/>
                              </a:lnTo>
                              <a:lnTo>
                                <a:pt x="187" y="728"/>
                              </a:lnTo>
                              <a:lnTo>
                                <a:pt x="189" y="728"/>
                              </a:lnTo>
                              <a:lnTo>
                                <a:pt x="192" y="728"/>
                              </a:lnTo>
                              <a:lnTo>
                                <a:pt x="194" y="728"/>
                              </a:lnTo>
                              <a:lnTo>
                                <a:pt x="195" y="728"/>
                              </a:lnTo>
                              <a:lnTo>
                                <a:pt x="196" y="727"/>
                              </a:lnTo>
                              <a:lnTo>
                                <a:pt x="197" y="727"/>
                              </a:lnTo>
                              <a:lnTo>
                                <a:pt x="197" y="727"/>
                              </a:lnTo>
                              <a:lnTo>
                                <a:pt x="198" y="727"/>
                              </a:lnTo>
                              <a:lnTo>
                                <a:pt x="201" y="727"/>
                              </a:lnTo>
                              <a:lnTo>
                                <a:pt x="203" y="727"/>
                              </a:lnTo>
                              <a:lnTo>
                                <a:pt x="205" y="727"/>
                              </a:lnTo>
                              <a:lnTo>
                                <a:pt x="206" y="727"/>
                              </a:lnTo>
                              <a:lnTo>
                                <a:pt x="208" y="727"/>
                              </a:lnTo>
                              <a:lnTo>
                                <a:pt x="209" y="727"/>
                              </a:lnTo>
                              <a:lnTo>
                                <a:pt x="211" y="727"/>
                              </a:lnTo>
                              <a:lnTo>
                                <a:pt x="213" y="727"/>
                              </a:lnTo>
                              <a:lnTo>
                                <a:pt x="215" y="727"/>
                              </a:lnTo>
                              <a:lnTo>
                                <a:pt x="217" y="727"/>
                              </a:lnTo>
                              <a:lnTo>
                                <a:pt x="219" y="727"/>
                              </a:lnTo>
                              <a:lnTo>
                                <a:pt x="221" y="727"/>
                              </a:lnTo>
                              <a:lnTo>
                                <a:pt x="224" y="726"/>
                              </a:lnTo>
                              <a:lnTo>
                                <a:pt x="227" y="726"/>
                              </a:lnTo>
                              <a:lnTo>
                                <a:pt x="229" y="726"/>
                              </a:lnTo>
                              <a:lnTo>
                                <a:pt x="230" y="726"/>
                              </a:lnTo>
                              <a:lnTo>
                                <a:pt x="231" y="726"/>
                              </a:lnTo>
                              <a:lnTo>
                                <a:pt x="232" y="726"/>
                              </a:lnTo>
                              <a:lnTo>
                                <a:pt x="232" y="726"/>
                              </a:lnTo>
                              <a:lnTo>
                                <a:pt x="233" y="726"/>
                              </a:lnTo>
                              <a:lnTo>
                                <a:pt x="234" y="726"/>
                              </a:lnTo>
                              <a:lnTo>
                                <a:pt x="237" y="726"/>
                              </a:lnTo>
                              <a:lnTo>
                                <a:pt x="239" y="726"/>
                              </a:lnTo>
                              <a:lnTo>
                                <a:pt x="242" y="726"/>
                              </a:lnTo>
                              <a:lnTo>
                                <a:pt x="245" y="726"/>
                              </a:lnTo>
                              <a:lnTo>
                                <a:pt x="247" y="726"/>
                              </a:lnTo>
                              <a:lnTo>
                                <a:pt x="250" y="725"/>
                              </a:lnTo>
                              <a:lnTo>
                                <a:pt x="252" y="725"/>
                              </a:lnTo>
                              <a:lnTo>
                                <a:pt x="254" y="725"/>
                              </a:lnTo>
                              <a:lnTo>
                                <a:pt x="256" y="725"/>
                              </a:lnTo>
                              <a:lnTo>
                                <a:pt x="258" y="725"/>
                              </a:lnTo>
                              <a:lnTo>
                                <a:pt x="261" y="725"/>
                              </a:lnTo>
                              <a:lnTo>
                                <a:pt x="263" y="725"/>
                              </a:lnTo>
                              <a:lnTo>
                                <a:pt x="264" y="725"/>
                              </a:lnTo>
                              <a:lnTo>
                                <a:pt x="265" y="725"/>
                              </a:lnTo>
                              <a:lnTo>
                                <a:pt x="266" y="725"/>
                              </a:lnTo>
                              <a:lnTo>
                                <a:pt x="267" y="725"/>
                              </a:lnTo>
                              <a:lnTo>
                                <a:pt x="267" y="724"/>
                              </a:lnTo>
                              <a:lnTo>
                                <a:pt x="268" y="724"/>
                              </a:lnTo>
                              <a:lnTo>
                                <a:pt x="269" y="724"/>
                              </a:lnTo>
                              <a:lnTo>
                                <a:pt x="271" y="724"/>
                              </a:lnTo>
                              <a:lnTo>
                                <a:pt x="274" y="724"/>
                              </a:lnTo>
                              <a:lnTo>
                                <a:pt x="277" y="724"/>
                              </a:lnTo>
                              <a:lnTo>
                                <a:pt x="279" y="724"/>
                              </a:lnTo>
                              <a:lnTo>
                                <a:pt x="281" y="724"/>
                              </a:lnTo>
                              <a:lnTo>
                                <a:pt x="283" y="724"/>
                              </a:lnTo>
                              <a:lnTo>
                                <a:pt x="284" y="723"/>
                              </a:lnTo>
                              <a:lnTo>
                                <a:pt x="286" y="723"/>
                              </a:lnTo>
                              <a:lnTo>
                                <a:pt x="288" y="723"/>
                              </a:lnTo>
                              <a:lnTo>
                                <a:pt x="290" y="723"/>
                              </a:lnTo>
                              <a:lnTo>
                                <a:pt x="292" y="723"/>
                              </a:lnTo>
                              <a:lnTo>
                                <a:pt x="295" y="723"/>
                              </a:lnTo>
                              <a:lnTo>
                                <a:pt x="297" y="722"/>
                              </a:lnTo>
                              <a:lnTo>
                                <a:pt x="298" y="722"/>
                              </a:lnTo>
                              <a:lnTo>
                                <a:pt x="299" y="722"/>
                              </a:lnTo>
                              <a:lnTo>
                                <a:pt x="300" y="722"/>
                              </a:lnTo>
                              <a:lnTo>
                                <a:pt x="301" y="722"/>
                              </a:lnTo>
                              <a:lnTo>
                                <a:pt x="301" y="722"/>
                              </a:lnTo>
                              <a:lnTo>
                                <a:pt x="302" y="722"/>
                              </a:lnTo>
                              <a:lnTo>
                                <a:pt x="302" y="722"/>
                              </a:lnTo>
                              <a:lnTo>
                                <a:pt x="303" y="722"/>
                              </a:lnTo>
                              <a:lnTo>
                                <a:pt x="304" y="722"/>
                              </a:lnTo>
                              <a:lnTo>
                                <a:pt x="306" y="722"/>
                              </a:lnTo>
                              <a:lnTo>
                                <a:pt x="308" y="721"/>
                              </a:lnTo>
                              <a:lnTo>
                                <a:pt x="311" y="721"/>
                              </a:lnTo>
                              <a:lnTo>
                                <a:pt x="313" y="721"/>
                              </a:lnTo>
                              <a:lnTo>
                                <a:pt x="315" y="721"/>
                              </a:lnTo>
                              <a:lnTo>
                                <a:pt x="317" y="721"/>
                              </a:lnTo>
                              <a:lnTo>
                                <a:pt x="319" y="720"/>
                              </a:lnTo>
                              <a:lnTo>
                                <a:pt x="321" y="720"/>
                              </a:lnTo>
                              <a:lnTo>
                                <a:pt x="323" y="720"/>
                              </a:lnTo>
                              <a:lnTo>
                                <a:pt x="324" y="720"/>
                              </a:lnTo>
                              <a:lnTo>
                                <a:pt x="326" y="720"/>
                              </a:lnTo>
                              <a:lnTo>
                                <a:pt x="328" y="719"/>
                              </a:lnTo>
                              <a:lnTo>
                                <a:pt x="330" y="719"/>
                              </a:lnTo>
                              <a:lnTo>
                                <a:pt x="332" y="719"/>
                              </a:lnTo>
                              <a:lnTo>
                                <a:pt x="333" y="719"/>
                              </a:lnTo>
                              <a:lnTo>
                                <a:pt x="334" y="719"/>
                              </a:lnTo>
                              <a:lnTo>
                                <a:pt x="335" y="719"/>
                              </a:lnTo>
                              <a:lnTo>
                                <a:pt x="335" y="718"/>
                              </a:lnTo>
                              <a:lnTo>
                                <a:pt x="336" y="718"/>
                              </a:lnTo>
                              <a:lnTo>
                                <a:pt x="336" y="718"/>
                              </a:lnTo>
                              <a:lnTo>
                                <a:pt x="337" y="718"/>
                              </a:lnTo>
                              <a:lnTo>
                                <a:pt x="337" y="718"/>
                              </a:lnTo>
                              <a:lnTo>
                                <a:pt x="337" y="718"/>
                              </a:lnTo>
                              <a:lnTo>
                                <a:pt x="339" y="718"/>
                              </a:lnTo>
                              <a:lnTo>
                                <a:pt x="340" y="718"/>
                              </a:lnTo>
                              <a:lnTo>
                                <a:pt x="343" y="717"/>
                              </a:lnTo>
                              <a:lnTo>
                                <a:pt x="345" y="717"/>
                              </a:lnTo>
                              <a:lnTo>
                                <a:pt x="347" y="717"/>
                              </a:lnTo>
                              <a:lnTo>
                                <a:pt x="349" y="716"/>
                              </a:lnTo>
                              <a:lnTo>
                                <a:pt x="351" y="716"/>
                              </a:lnTo>
                              <a:lnTo>
                                <a:pt x="352" y="716"/>
                              </a:lnTo>
                              <a:lnTo>
                                <a:pt x="353" y="716"/>
                              </a:lnTo>
                              <a:lnTo>
                                <a:pt x="355" y="716"/>
                              </a:lnTo>
                              <a:lnTo>
                                <a:pt x="356" y="715"/>
                              </a:lnTo>
                              <a:lnTo>
                                <a:pt x="358" y="715"/>
                              </a:lnTo>
                              <a:lnTo>
                                <a:pt x="361" y="715"/>
                              </a:lnTo>
                              <a:lnTo>
                                <a:pt x="364" y="714"/>
                              </a:lnTo>
                              <a:lnTo>
                                <a:pt x="366" y="714"/>
                              </a:lnTo>
                              <a:lnTo>
                                <a:pt x="367" y="714"/>
                              </a:lnTo>
                              <a:lnTo>
                                <a:pt x="368" y="714"/>
                              </a:lnTo>
                              <a:lnTo>
                                <a:pt x="369" y="714"/>
                              </a:lnTo>
                              <a:lnTo>
                                <a:pt x="370" y="714"/>
                              </a:lnTo>
                              <a:lnTo>
                                <a:pt x="370" y="714"/>
                              </a:lnTo>
                              <a:lnTo>
                                <a:pt x="371" y="714"/>
                              </a:lnTo>
                              <a:lnTo>
                                <a:pt x="372" y="713"/>
                              </a:lnTo>
                              <a:lnTo>
                                <a:pt x="373" y="713"/>
                              </a:lnTo>
                              <a:lnTo>
                                <a:pt x="374" y="713"/>
                              </a:lnTo>
                              <a:lnTo>
                                <a:pt x="374" y="713"/>
                              </a:lnTo>
                              <a:lnTo>
                                <a:pt x="375" y="713"/>
                              </a:lnTo>
                              <a:lnTo>
                                <a:pt x="376" y="713"/>
                              </a:lnTo>
                              <a:lnTo>
                                <a:pt x="377" y="712"/>
                              </a:lnTo>
                              <a:lnTo>
                                <a:pt x="379" y="712"/>
                              </a:lnTo>
                              <a:lnTo>
                                <a:pt x="380" y="712"/>
                              </a:lnTo>
                              <a:lnTo>
                                <a:pt x="381" y="711"/>
                              </a:lnTo>
                              <a:lnTo>
                                <a:pt x="383" y="711"/>
                              </a:lnTo>
                              <a:lnTo>
                                <a:pt x="385" y="711"/>
                              </a:lnTo>
                              <a:lnTo>
                                <a:pt x="387" y="710"/>
                              </a:lnTo>
                              <a:lnTo>
                                <a:pt x="390" y="709"/>
                              </a:lnTo>
                              <a:lnTo>
                                <a:pt x="392" y="709"/>
                              </a:lnTo>
                              <a:lnTo>
                                <a:pt x="393" y="708"/>
                              </a:lnTo>
                              <a:lnTo>
                                <a:pt x="395" y="708"/>
                              </a:lnTo>
                              <a:lnTo>
                                <a:pt x="397" y="708"/>
                              </a:lnTo>
                              <a:lnTo>
                                <a:pt x="398" y="707"/>
                              </a:lnTo>
                              <a:lnTo>
                                <a:pt x="400" y="707"/>
                              </a:lnTo>
                              <a:lnTo>
                                <a:pt x="401" y="707"/>
                              </a:lnTo>
                              <a:lnTo>
                                <a:pt x="403" y="706"/>
                              </a:lnTo>
                              <a:lnTo>
                                <a:pt x="403" y="706"/>
                              </a:lnTo>
                              <a:lnTo>
                                <a:pt x="404" y="706"/>
                              </a:lnTo>
                              <a:lnTo>
                                <a:pt x="405" y="706"/>
                              </a:lnTo>
                              <a:lnTo>
                                <a:pt x="405" y="706"/>
                              </a:lnTo>
                              <a:lnTo>
                                <a:pt x="406" y="706"/>
                              </a:lnTo>
                              <a:lnTo>
                                <a:pt x="406" y="706"/>
                              </a:lnTo>
                              <a:lnTo>
                                <a:pt x="406" y="706"/>
                              </a:lnTo>
                              <a:lnTo>
                                <a:pt x="407" y="706"/>
                              </a:lnTo>
                              <a:lnTo>
                                <a:pt x="408" y="706"/>
                              </a:lnTo>
                              <a:lnTo>
                                <a:pt x="410" y="705"/>
                              </a:lnTo>
                              <a:lnTo>
                                <a:pt x="411" y="705"/>
                              </a:lnTo>
                              <a:lnTo>
                                <a:pt x="412" y="705"/>
                              </a:lnTo>
                              <a:lnTo>
                                <a:pt x="413" y="705"/>
                              </a:lnTo>
                              <a:lnTo>
                                <a:pt x="414" y="705"/>
                              </a:lnTo>
                              <a:lnTo>
                                <a:pt x="415" y="704"/>
                              </a:lnTo>
                              <a:lnTo>
                                <a:pt x="416" y="704"/>
                              </a:lnTo>
                              <a:lnTo>
                                <a:pt x="417" y="704"/>
                              </a:lnTo>
                              <a:lnTo>
                                <a:pt x="418" y="704"/>
                              </a:lnTo>
                              <a:lnTo>
                                <a:pt x="418" y="704"/>
                              </a:lnTo>
                              <a:lnTo>
                                <a:pt x="419" y="703"/>
                              </a:lnTo>
                              <a:lnTo>
                                <a:pt x="420" y="703"/>
                              </a:lnTo>
                              <a:lnTo>
                                <a:pt x="420" y="703"/>
                              </a:lnTo>
                              <a:lnTo>
                                <a:pt x="421" y="703"/>
                              </a:lnTo>
                              <a:lnTo>
                                <a:pt x="421" y="702"/>
                              </a:lnTo>
                              <a:lnTo>
                                <a:pt x="422" y="702"/>
                              </a:lnTo>
                              <a:lnTo>
                                <a:pt x="423" y="702"/>
                              </a:lnTo>
                              <a:lnTo>
                                <a:pt x="423" y="702"/>
                              </a:lnTo>
                              <a:lnTo>
                                <a:pt x="424" y="702"/>
                              </a:lnTo>
                              <a:lnTo>
                                <a:pt x="424" y="701"/>
                              </a:lnTo>
                              <a:lnTo>
                                <a:pt x="425" y="701"/>
                              </a:lnTo>
                              <a:lnTo>
                                <a:pt x="426" y="700"/>
                              </a:lnTo>
                              <a:lnTo>
                                <a:pt x="426" y="700"/>
                              </a:lnTo>
                              <a:lnTo>
                                <a:pt x="427" y="699"/>
                              </a:lnTo>
                              <a:lnTo>
                                <a:pt x="428" y="699"/>
                              </a:lnTo>
                              <a:lnTo>
                                <a:pt x="429" y="698"/>
                              </a:lnTo>
                              <a:lnTo>
                                <a:pt x="429" y="698"/>
                              </a:lnTo>
                              <a:lnTo>
                                <a:pt x="430" y="697"/>
                              </a:lnTo>
                              <a:lnTo>
                                <a:pt x="431" y="697"/>
                              </a:lnTo>
                              <a:lnTo>
                                <a:pt x="431" y="696"/>
                              </a:lnTo>
                              <a:lnTo>
                                <a:pt x="432" y="695"/>
                              </a:lnTo>
                              <a:lnTo>
                                <a:pt x="433" y="695"/>
                              </a:lnTo>
                              <a:lnTo>
                                <a:pt x="434" y="694"/>
                              </a:lnTo>
                              <a:lnTo>
                                <a:pt x="434" y="693"/>
                              </a:lnTo>
                              <a:lnTo>
                                <a:pt x="435" y="692"/>
                              </a:lnTo>
                              <a:lnTo>
                                <a:pt x="436" y="691"/>
                              </a:lnTo>
                              <a:lnTo>
                                <a:pt x="436" y="691"/>
                              </a:lnTo>
                              <a:lnTo>
                                <a:pt x="437" y="690"/>
                              </a:lnTo>
                              <a:lnTo>
                                <a:pt x="438" y="689"/>
                              </a:lnTo>
                              <a:lnTo>
                                <a:pt x="438" y="689"/>
                              </a:lnTo>
                              <a:lnTo>
                                <a:pt x="438" y="688"/>
                              </a:lnTo>
                              <a:lnTo>
                                <a:pt x="439" y="688"/>
                              </a:lnTo>
                              <a:lnTo>
                                <a:pt x="439" y="687"/>
                              </a:lnTo>
                              <a:lnTo>
                                <a:pt x="439" y="687"/>
                              </a:lnTo>
                              <a:lnTo>
                                <a:pt x="440" y="687"/>
                              </a:lnTo>
                              <a:lnTo>
                                <a:pt x="440" y="686"/>
                              </a:lnTo>
                              <a:lnTo>
                                <a:pt x="440" y="686"/>
                              </a:lnTo>
                              <a:lnTo>
                                <a:pt x="440" y="685"/>
                              </a:lnTo>
                              <a:lnTo>
                                <a:pt x="441" y="685"/>
                              </a:lnTo>
                              <a:lnTo>
                                <a:pt x="441" y="685"/>
                              </a:lnTo>
                              <a:lnTo>
                                <a:pt x="441" y="684"/>
                              </a:lnTo>
                              <a:lnTo>
                                <a:pt x="441" y="684"/>
                              </a:lnTo>
                              <a:lnTo>
                                <a:pt x="441" y="684"/>
                              </a:lnTo>
                              <a:lnTo>
                                <a:pt x="442" y="684"/>
                              </a:lnTo>
                              <a:lnTo>
                                <a:pt x="442" y="683"/>
                              </a:lnTo>
                              <a:lnTo>
                                <a:pt x="442" y="683"/>
                              </a:lnTo>
                              <a:lnTo>
                                <a:pt x="442" y="683"/>
                              </a:lnTo>
                              <a:lnTo>
                                <a:pt x="442" y="682"/>
                              </a:lnTo>
                              <a:lnTo>
                                <a:pt x="443" y="681"/>
                              </a:lnTo>
                              <a:lnTo>
                                <a:pt x="444" y="680"/>
                              </a:lnTo>
                              <a:lnTo>
                                <a:pt x="444" y="679"/>
                              </a:lnTo>
                              <a:lnTo>
                                <a:pt x="445" y="678"/>
                              </a:lnTo>
                              <a:lnTo>
                                <a:pt x="446" y="677"/>
                              </a:lnTo>
                              <a:lnTo>
                                <a:pt x="446" y="675"/>
                              </a:lnTo>
                              <a:lnTo>
                                <a:pt x="447" y="674"/>
                              </a:lnTo>
                              <a:lnTo>
                                <a:pt x="448" y="673"/>
                              </a:lnTo>
                              <a:lnTo>
                                <a:pt x="449" y="671"/>
                              </a:lnTo>
                              <a:lnTo>
                                <a:pt x="449" y="670"/>
                              </a:lnTo>
                              <a:lnTo>
                                <a:pt x="450" y="668"/>
                              </a:lnTo>
                              <a:lnTo>
                                <a:pt x="451" y="666"/>
                              </a:lnTo>
                              <a:lnTo>
                                <a:pt x="452" y="665"/>
                              </a:lnTo>
                              <a:lnTo>
                                <a:pt x="453" y="663"/>
                              </a:lnTo>
                              <a:lnTo>
                                <a:pt x="453" y="661"/>
                              </a:lnTo>
                              <a:lnTo>
                                <a:pt x="454" y="660"/>
                              </a:lnTo>
                              <a:lnTo>
                                <a:pt x="455" y="658"/>
                              </a:lnTo>
                              <a:lnTo>
                                <a:pt x="455" y="656"/>
                              </a:lnTo>
                              <a:lnTo>
                                <a:pt x="456" y="654"/>
                              </a:lnTo>
                              <a:lnTo>
                                <a:pt x="457" y="653"/>
                              </a:lnTo>
                              <a:lnTo>
                                <a:pt x="457" y="651"/>
                              </a:lnTo>
                              <a:lnTo>
                                <a:pt x="458" y="649"/>
                              </a:lnTo>
                              <a:lnTo>
                                <a:pt x="458" y="648"/>
                              </a:lnTo>
                              <a:lnTo>
                                <a:pt x="459" y="646"/>
                              </a:lnTo>
                              <a:lnTo>
                                <a:pt x="459" y="645"/>
                              </a:lnTo>
                              <a:lnTo>
                                <a:pt x="460" y="643"/>
                              </a:lnTo>
                              <a:lnTo>
                                <a:pt x="460" y="641"/>
                              </a:lnTo>
                              <a:lnTo>
                                <a:pt x="461" y="640"/>
                              </a:lnTo>
                              <a:lnTo>
                                <a:pt x="461" y="638"/>
                              </a:lnTo>
                              <a:lnTo>
                                <a:pt x="462" y="636"/>
                              </a:lnTo>
                              <a:lnTo>
                                <a:pt x="462" y="635"/>
                              </a:lnTo>
                              <a:lnTo>
                                <a:pt x="462" y="633"/>
                              </a:lnTo>
                              <a:lnTo>
                                <a:pt x="463" y="632"/>
                              </a:lnTo>
                              <a:lnTo>
                                <a:pt x="463" y="630"/>
                              </a:lnTo>
                              <a:lnTo>
                                <a:pt x="463" y="629"/>
                              </a:lnTo>
                              <a:lnTo>
                                <a:pt x="464" y="627"/>
                              </a:lnTo>
                              <a:lnTo>
                                <a:pt x="464" y="625"/>
                              </a:lnTo>
                              <a:lnTo>
                                <a:pt x="465" y="624"/>
                              </a:lnTo>
                              <a:lnTo>
                                <a:pt x="465" y="622"/>
                              </a:lnTo>
                              <a:lnTo>
                                <a:pt x="465" y="621"/>
                              </a:lnTo>
                              <a:lnTo>
                                <a:pt x="465" y="619"/>
                              </a:lnTo>
                              <a:lnTo>
                                <a:pt x="466" y="617"/>
                              </a:lnTo>
                              <a:lnTo>
                                <a:pt x="466" y="615"/>
                              </a:lnTo>
                              <a:lnTo>
                                <a:pt x="466" y="613"/>
                              </a:lnTo>
                              <a:lnTo>
                                <a:pt x="467" y="611"/>
                              </a:lnTo>
                              <a:lnTo>
                                <a:pt x="467" y="608"/>
                              </a:lnTo>
                              <a:lnTo>
                                <a:pt x="468" y="606"/>
                              </a:lnTo>
                              <a:lnTo>
                                <a:pt x="468" y="603"/>
                              </a:lnTo>
                              <a:lnTo>
                                <a:pt x="468" y="601"/>
                              </a:lnTo>
                              <a:lnTo>
                                <a:pt x="469" y="598"/>
                              </a:lnTo>
                              <a:lnTo>
                                <a:pt x="469" y="596"/>
                              </a:lnTo>
                              <a:lnTo>
                                <a:pt x="469" y="593"/>
                              </a:lnTo>
                              <a:lnTo>
                                <a:pt x="470" y="590"/>
                              </a:lnTo>
                              <a:lnTo>
                                <a:pt x="470" y="588"/>
                              </a:lnTo>
                              <a:lnTo>
                                <a:pt x="470" y="585"/>
                              </a:lnTo>
                              <a:lnTo>
                                <a:pt x="470" y="582"/>
                              </a:lnTo>
                              <a:lnTo>
                                <a:pt x="471" y="578"/>
                              </a:lnTo>
                              <a:lnTo>
                                <a:pt x="471" y="575"/>
                              </a:lnTo>
                              <a:lnTo>
                                <a:pt x="471" y="572"/>
                              </a:lnTo>
                              <a:lnTo>
                                <a:pt x="472" y="569"/>
                              </a:lnTo>
                              <a:lnTo>
                                <a:pt x="472" y="566"/>
                              </a:lnTo>
                              <a:lnTo>
                                <a:pt x="472" y="563"/>
                              </a:lnTo>
                              <a:lnTo>
                                <a:pt x="472" y="560"/>
                              </a:lnTo>
                              <a:lnTo>
                                <a:pt x="472" y="559"/>
                              </a:lnTo>
                              <a:lnTo>
                                <a:pt x="473" y="558"/>
                              </a:lnTo>
                              <a:lnTo>
                                <a:pt x="473" y="556"/>
                              </a:lnTo>
                              <a:lnTo>
                                <a:pt x="473" y="555"/>
                              </a:lnTo>
                              <a:lnTo>
                                <a:pt x="473" y="555"/>
                              </a:lnTo>
                              <a:lnTo>
                                <a:pt x="473" y="554"/>
                              </a:lnTo>
                              <a:lnTo>
                                <a:pt x="473" y="553"/>
                              </a:lnTo>
                              <a:lnTo>
                                <a:pt x="473" y="552"/>
                              </a:lnTo>
                              <a:lnTo>
                                <a:pt x="473" y="551"/>
                              </a:lnTo>
                              <a:lnTo>
                                <a:pt x="473" y="550"/>
                              </a:lnTo>
                              <a:lnTo>
                                <a:pt x="473" y="549"/>
                              </a:lnTo>
                              <a:lnTo>
                                <a:pt x="473" y="548"/>
                              </a:lnTo>
                              <a:lnTo>
                                <a:pt x="473" y="547"/>
                              </a:lnTo>
                              <a:lnTo>
                                <a:pt x="473" y="546"/>
                              </a:lnTo>
                              <a:lnTo>
                                <a:pt x="474" y="545"/>
                              </a:lnTo>
                              <a:lnTo>
                                <a:pt x="474" y="544"/>
                              </a:lnTo>
                              <a:lnTo>
                                <a:pt x="474" y="543"/>
                              </a:lnTo>
                              <a:lnTo>
                                <a:pt x="474" y="542"/>
                              </a:lnTo>
                              <a:lnTo>
                                <a:pt x="474" y="541"/>
                              </a:lnTo>
                              <a:lnTo>
                                <a:pt x="474" y="540"/>
                              </a:lnTo>
                              <a:lnTo>
                                <a:pt x="474" y="539"/>
                              </a:lnTo>
                              <a:lnTo>
                                <a:pt x="474" y="538"/>
                              </a:lnTo>
                              <a:lnTo>
                                <a:pt x="474" y="537"/>
                              </a:lnTo>
                              <a:lnTo>
                                <a:pt x="474" y="536"/>
                              </a:lnTo>
                              <a:lnTo>
                                <a:pt x="474" y="535"/>
                              </a:lnTo>
                              <a:lnTo>
                                <a:pt x="474" y="533"/>
                              </a:lnTo>
                              <a:lnTo>
                                <a:pt x="474" y="529"/>
                              </a:lnTo>
                              <a:lnTo>
                                <a:pt x="475" y="525"/>
                              </a:lnTo>
                              <a:lnTo>
                                <a:pt x="475" y="521"/>
                              </a:lnTo>
                              <a:lnTo>
                                <a:pt x="475" y="517"/>
                              </a:lnTo>
                              <a:lnTo>
                                <a:pt x="475" y="513"/>
                              </a:lnTo>
                              <a:lnTo>
                                <a:pt x="476" y="507"/>
                              </a:lnTo>
                              <a:lnTo>
                                <a:pt x="476" y="500"/>
                              </a:lnTo>
                              <a:lnTo>
                                <a:pt x="477" y="493"/>
                              </a:lnTo>
                              <a:lnTo>
                                <a:pt x="477" y="486"/>
                              </a:lnTo>
                              <a:lnTo>
                                <a:pt x="477" y="478"/>
                              </a:lnTo>
                              <a:lnTo>
                                <a:pt x="478" y="470"/>
                              </a:lnTo>
                              <a:lnTo>
                                <a:pt x="478" y="461"/>
                              </a:lnTo>
                              <a:lnTo>
                                <a:pt x="478" y="452"/>
                              </a:lnTo>
                              <a:lnTo>
                                <a:pt x="479" y="443"/>
                              </a:lnTo>
                              <a:lnTo>
                                <a:pt x="479" y="433"/>
                              </a:lnTo>
                              <a:lnTo>
                                <a:pt x="480" y="422"/>
                              </a:lnTo>
                              <a:lnTo>
                                <a:pt x="480" y="410"/>
                              </a:lnTo>
                              <a:lnTo>
                                <a:pt x="481" y="397"/>
                              </a:lnTo>
                              <a:lnTo>
                                <a:pt x="481" y="384"/>
                              </a:lnTo>
                              <a:lnTo>
                                <a:pt x="482" y="369"/>
                              </a:lnTo>
                              <a:lnTo>
                                <a:pt x="483" y="352"/>
                              </a:lnTo>
                              <a:lnTo>
                                <a:pt x="483" y="334"/>
                              </a:lnTo>
                              <a:lnTo>
                                <a:pt x="484" y="315"/>
                              </a:lnTo>
                              <a:lnTo>
                                <a:pt x="485" y="294"/>
                              </a:lnTo>
                              <a:lnTo>
                                <a:pt x="486" y="273"/>
                              </a:lnTo>
                              <a:lnTo>
                                <a:pt x="486" y="249"/>
                              </a:lnTo>
                              <a:lnTo>
                                <a:pt x="487" y="220"/>
                              </a:lnTo>
                              <a:lnTo>
                                <a:pt x="489" y="193"/>
                              </a:lnTo>
                              <a:lnTo>
                                <a:pt x="489" y="174"/>
                              </a:lnTo>
                              <a:lnTo>
                                <a:pt x="490" y="158"/>
                              </a:lnTo>
                              <a:lnTo>
                                <a:pt x="490" y="146"/>
                              </a:lnTo>
                              <a:lnTo>
                                <a:pt x="491" y="134"/>
                              </a:lnTo>
                              <a:lnTo>
                                <a:pt x="491" y="124"/>
                              </a:lnTo>
                              <a:lnTo>
                                <a:pt x="492" y="114"/>
                              </a:lnTo>
                              <a:lnTo>
                                <a:pt x="492" y="105"/>
                              </a:lnTo>
                              <a:lnTo>
                                <a:pt x="492" y="97"/>
                              </a:lnTo>
                              <a:lnTo>
                                <a:pt x="492" y="89"/>
                              </a:lnTo>
                              <a:lnTo>
                                <a:pt x="493" y="82"/>
                              </a:lnTo>
                              <a:lnTo>
                                <a:pt x="493" y="75"/>
                              </a:lnTo>
                              <a:lnTo>
                                <a:pt x="493" y="68"/>
                              </a:lnTo>
                              <a:lnTo>
                                <a:pt x="494" y="62"/>
                              </a:lnTo>
                              <a:lnTo>
                                <a:pt x="494" y="57"/>
                              </a:lnTo>
                              <a:lnTo>
                                <a:pt x="494" y="52"/>
                              </a:lnTo>
                              <a:lnTo>
                                <a:pt x="495" y="47"/>
                              </a:lnTo>
                              <a:lnTo>
                                <a:pt x="495" y="42"/>
                              </a:lnTo>
                              <a:lnTo>
                                <a:pt x="495" y="37"/>
                              </a:lnTo>
                              <a:lnTo>
                                <a:pt x="495" y="33"/>
                              </a:lnTo>
                              <a:lnTo>
                                <a:pt x="495" y="29"/>
                              </a:lnTo>
                              <a:lnTo>
                                <a:pt x="496" y="26"/>
                              </a:lnTo>
                              <a:lnTo>
                                <a:pt x="496" y="23"/>
                              </a:lnTo>
                              <a:lnTo>
                                <a:pt x="496" y="20"/>
                              </a:lnTo>
                              <a:lnTo>
                                <a:pt x="496" y="17"/>
                              </a:lnTo>
                              <a:lnTo>
                                <a:pt x="497" y="14"/>
                              </a:lnTo>
                              <a:lnTo>
                                <a:pt x="497" y="12"/>
                              </a:lnTo>
                              <a:lnTo>
                                <a:pt x="497" y="10"/>
                              </a:lnTo>
                              <a:lnTo>
                                <a:pt x="498" y="8"/>
                              </a:lnTo>
                              <a:lnTo>
                                <a:pt x="498" y="6"/>
                              </a:lnTo>
                              <a:lnTo>
                                <a:pt x="498" y="4"/>
                              </a:lnTo>
                              <a:lnTo>
                                <a:pt x="498" y="3"/>
                              </a:lnTo>
                              <a:lnTo>
                                <a:pt x="498" y="2"/>
                              </a:lnTo>
                              <a:lnTo>
                                <a:pt x="499" y="1"/>
                              </a:lnTo>
                              <a:lnTo>
                                <a:pt x="499" y="1"/>
                              </a:lnTo>
                              <a:lnTo>
                                <a:pt x="499" y="0"/>
                              </a:lnTo>
                              <a:lnTo>
                                <a:pt x="499" y="0"/>
                              </a:lnTo>
                              <a:lnTo>
                                <a:pt x="500" y="0"/>
                              </a:lnTo>
                              <a:lnTo>
                                <a:pt x="500" y="1"/>
                              </a:lnTo>
                              <a:lnTo>
                                <a:pt x="500" y="1"/>
                              </a:lnTo>
                              <a:lnTo>
                                <a:pt x="500" y="2"/>
                              </a:lnTo>
                              <a:lnTo>
                                <a:pt x="501" y="3"/>
                              </a:lnTo>
                              <a:lnTo>
                                <a:pt x="501" y="4"/>
                              </a:lnTo>
                              <a:lnTo>
                                <a:pt x="501" y="5"/>
                              </a:lnTo>
                              <a:lnTo>
                                <a:pt x="501" y="7"/>
                              </a:lnTo>
                              <a:lnTo>
                                <a:pt x="501" y="9"/>
                              </a:lnTo>
                              <a:lnTo>
                                <a:pt x="502" y="11"/>
                              </a:lnTo>
                              <a:lnTo>
                                <a:pt x="502" y="13"/>
                              </a:lnTo>
                              <a:lnTo>
                                <a:pt x="502" y="16"/>
                              </a:lnTo>
                              <a:lnTo>
                                <a:pt x="503" y="19"/>
                              </a:lnTo>
                              <a:lnTo>
                                <a:pt x="503" y="22"/>
                              </a:lnTo>
                              <a:lnTo>
                                <a:pt x="503" y="25"/>
                              </a:lnTo>
                              <a:lnTo>
                                <a:pt x="503" y="29"/>
                              </a:lnTo>
                              <a:lnTo>
                                <a:pt x="504" y="32"/>
                              </a:lnTo>
                              <a:lnTo>
                                <a:pt x="504" y="37"/>
                              </a:lnTo>
                              <a:lnTo>
                                <a:pt x="504" y="41"/>
                              </a:lnTo>
                              <a:lnTo>
                                <a:pt x="504" y="46"/>
                              </a:lnTo>
                              <a:lnTo>
                                <a:pt x="505" y="52"/>
                              </a:lnTo>
                              <a:lnTo>
                                <a:pt x="505" y="57"/>
                              </a:lnTo>
                              <a:lnTo>
                                <a:pt x="505" y="63"/>
                              </a:lnTo>
                              <a:lnTo>
                                <a:pt x="506" y="69"/>
                              </a:lnTo>
                              <a:lnTo>
                                <a:pt x="506" y="76"/>
                              </a:lnTo>
                              <a:lnTo>
                                <a:pt x="507" y="83"/>
                              </a:lnTo>
                              <a:lnTo>
                                <a:pt x="507" y="91"/>
                              </a:lnTo>
                              <a:lnTo>
                                <a:pt x="507" y="96"/>
                              </a:lnTo>
                              <a:lnTo>
                                <a:pt x="507" y="99"/>
                              </a:lnTo>
                              <a:lnTo>
                                <a:pt x="507" y="102"/>
                              </a:lnTo>
                              <a:lnTo>
                                <a:pt x="508" y="105"/>
                              </a:lnTo>
                              <a:lnTo>
                                <a:pt x="508" y="108"/>
                              </a:lnTo>
                              <a:lnTo>
                                <a:pt x="508" y="110"/>
                              </a:lnTo>
                              <a:lnTo>
                                <a:pt x="508" y="112"/>
                              </a:lnTo>
                              <a:lnTo>
                                <a:pt x="508" y="114"/>
                              </a:lnTo>
                              <a:lnTo>
                                <a:pt x="508" y="117"/>
                              </a:lnTo>
                              <a:lnTo>
                                <a:pt x="508" y="119"/>
                              </a:lnTo>
                              <a:lnTo>
                                <a:pt x="508" y="121"/>
                              </a:lnTo>
                              <a:lnTo>
                                <a:pt x="508" y="123"/>
                              </a:lnTo>
                              <a:lnTo>
                                <a:pt x="508" y="125"/>
                              </a:lnTo>
                              <a:lnTo>
                                <a:pt x="509" y="126"/>
                              </a:lnTo>
                              <a:lnTo>
                                <a:pt x="509" y="128"/>
                              </a:lnTo>
                              <a:lnTo>
                                <a:pt x="509" y="129"/>
                              </a:lnTo>
                              <a:lnTo>
                                <a:pt x="509" y="131"/>
                              </a:lnTo>
                              <a:lnTo>
                                <a:pt x="509" y="133"/>
                              </a:lnTo>
                              <a:lnTo>
                                <a:pt x="509" y="134"/>
                              </a:lnTo>
                              <a:lnTo>
                                <a:pt x="509" y="136"/>
                              </a:lnTo>
                              <a:lnTo>
                                <a:pt x="509" y="137"/>
                              </a:lnTo>
                              <a:lnTo>
                                <a:pt x="509" y="144"/>
                              </a:lnTo>
                              <a:lnTo>
                                <a:pt x="510" y="161"/>
                              </a:lnTo>
                              <a:lnTo>
                                <a:pt x="511" y="181"/>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44" name="Freeform 168"/>
                        <a:cNvSpPr>
                          <a:spLocks/>
                        </a:cNvSpPr>
                      </a:nvSpPr>
                      <a:spPr bwMode="auto">
                        <a:xfrm>
                          <a:off x="5102431" y="6537301"/>
                          <a:ext cx="1812059" cy="1029305"/>
                        </a:xfrm>
                        <a:custGeom>
                          <a:avLst/>
                          <a:gdLst/>
                          <a:ahLst/>
                          <a:cxnLst>
                            <a:cxn ang="0">
                              <a:pos x="6" y="135"/>
                            </a:cxn>
                            <a:cxn ang="0">
                              <a:pos x="10" y="220"/>
                            </a:cxn>
                            <a:cxn ang="0">
                              <a:pos x="14" y="288"/>
                            </a:cxn>
                            <a:cxn ang="0">
                              <a:pos x="18" y="339"/>
                            </a:cxn>
                            <a:cxn ang="0">
                              <a:pos x="21" y="373"/>
                            </a:cxn>
                            <a:cxn ang="0">
                              <a:pos x="25" y="403"/>
                            </a:cxn>
                            <a:cxn ang="0">
                              <a:pos x="29" y="429"/>
                            </a:cxn>
                            <a:cxn ang="0">
                              <a:pos x="33" y="449"/>
                            </a:cxn>
                            <a:cxn ang="0">
                              <a:pos x="35" y="456"/>
                            </a:cxn>
                            <a:cxn ang="0">
                              <a:pos x="38" y="468"/>
                            </a:cxn>
                            <a:cxn ang="0">
                              <a:pos x="43" y="479"/>
                            </a:cxn>
                            <a:cxn ang="0">
                              <a:pos x="48" y="487"/>
                            </a:cxn>
                            <a:cxn ang="0">
                              <a:pos x="54" y="493"/>
                            </a:cxn>
                            <a:cxn ang="0">
                              <a:pos x="60" y="497"/>
                            </a:cxn>
                            <a:cxn ang="0">
                              <a:pos x="67" y="499"/>
                            </a:cxn>
                            <a:cxn ang="0">
                              <a:pos x="79" y="500"/>
                            </a:cxn>
                            <a:cxn ang="0">
                              <a:pos x="103" y="500"/>
                            </a:cxn>
                            <a:cxn ang="0">
                              <a:pos x="117" y="501"/>
                            </a:cxn>
                            <a:cxn ang="0">
                              <a:pos x="136" y="504"/>
                            </a:cxn>
                            <a:cxn ang="0">
                              <a:pos x="147" y="506"/>
                            </a:cxn>
                            <a:cxn ang="0">
                              <a:pos x="164" y="511"/>
                            </a:cxn>
                            <a:cxn ang="0">
                              <a:pos x="175" y="515"/>
                            </a:cxn>
                            <a:cxn ang="0">
                              <a:pos x="195" y="522"/>
                            </a:cxn>
                            <a:cxn ang="0">
                              <a:pos x="208" y="526"/>
                            </a:cxn>
                            <a:cxn ang="0">
                              <a:pos x="215" y="527"/>
                            </a:cxn>
                            <a:cxn ang="0">
                              <a:pos x="231" y="531"/>
                            </a:cxn>
                            <a:cxn ang="0">
                              <a:pos x="244" y="533"/>
                            </a:cxn>
                            <a:cxn ang="0">
                              <a:pos x="259" y="534"/>
                            </a:cxn>
                            <a:cxn ang="0">
                              <a:pos x="276" y="536"/>
                            </a:cxn>
                            <a:cxn ang="0">
                              <a:pos x="285" y="537"/>
                            </a:cxn>
                            <a:cxn ang="0">
                              <a:pos x="311" y="538"/>
                            </a:cxn>
                            <a:cxn ang="0">
                              <a:pos x="324" y="539"/>
                            </a:cxn>
                            <a:cxn ang="0">
                              <a:pos x="347" y="540"/>
                            </a:cxn>
                            <a:cxn ang="0">
                              <a:pos x="362" y="541"/>
                            </a:cxn>
                            <a:cxn ang="0">
                              <a:pos x="384" y="542"/>
                            </a:cxn>
                            <a:cxn ang="0">
                              <a:pos x="412" y="542"/>
                            </a:cxn>
                            <a:cxn ang="0">
                              <a:pos x="428" y="543"/>
                            </a:cxn>
                            <a:cxn ang="0">
                              <a:pos x="454" y="543"/>
                            </a:cxn>
                            <a:cxn ang="0">
                              <a:pos x="478" y="544"/>
                            </a:cxn>
                            <a:cxn ang="0">
                              <a:pos x="495" y="544"/>
                            </a:cxn>
                            <a:cxn ang="0">
                              <a:pos x="523" y="544"/>
                            </a:cxn>
                            <a:cxn ang="0">
                              <a:pos x="547" y="545"/>
                            </a:cxn>
                            <a:cxn ang="0">
                              <a:pos x="566" y="545"/>
                            </a:cxn>
                            <a:cxn ang="0">
                              <a:pos x="591" y="545"/>
                            </a:cxn>
                            <a:cxn ang="0">
                              <a:pos x="614" y="546"/>
                            </a:cxn>
                            <a:cxn ang="0">
                              <a:pos x="634" y="546"/>
                            </a:cxn>
                            <a:cxn ang="0">
                              <a:pos x="659" y="546"/>
                            </a:cxn>
                            <a:cxn ang="0">
                              <a:pos x="681" y="546"/>
                            </a:cxn>
                            <a:cxn ang="0">
                              <a:pos x="703" y="546"/>
                            </a:cxn>
                            <a:cxn ang="0">
                              <a:pos x="724" y="547"/>
                            </a:cxn>
                            <a:cxn ang="0">
                              <a:pos x="759" y="547"/>
                            </a:cxn>
                            <a:cxn ang="0">
                              <a:pos x="799" y="547"/>
                            </a:cxn>
                            <a:cxn ang="0">
                              <a:pos x="826" y="547"/>
                            </a:cxn>
                            <a:cxn ang="0">
                              <a:pos x="856" y="547"/>
                            </a:cxn>
                            <a:cxn ang="0">
                              <a:pos x="884" y="547"/>
                            </a:cxn>
                            <a:cxn ang="0">
                              <a:pos x="915" y="547"/>
                            </a:cxn>
                            <a:cxn ang="0">
                              <a:pos x="944" y="547"/>
                            </a:cxn>
                            <a:cxn ang="0">
                              <a:pos x="974" y="547"/>
                            </a:cxn>
                            <a:cxn ang="0">
                              <a:pos x="992" y="547"/>
                            </a:cxn>
                            <a:cxn ang="0">
                              <a:pos x="1012" y="547"/>
                            </a:cxn>
                            <a:cxn ang="0">
                              <a:pos x="1030" y="546"/>
                            </a:cxn>
                            <a:cxn ang="0">
                              <a:pos x="1046" y="546"/>
                            </a:cxn>
                            <a:cxn ang="0">
                              <a:pos x="1056" y="546"/>
                            </a:cxn>
                          </a:cxnLst>
                          <a:rect l="0" t="0" r="r" b="b"/>
                          <a:pathLst>
                            <a:path w="1069" h="547">
                              <a:moveTo>
                                <a:pt x="0" y="0"/>
                              </a:moveTo>
                              <a:lnTo>
                                <a:pt x="1" y="28"/>
                              </a:lnTo>
                              <a:lnTo>
                                <a:pt x="2" y="55"/>
                              </a:lnTo>
                              <a:lnTo>
                                <a:pt x="3" y="76"/>
                              </a:lnTo>
                              <a:lnTo>
                                <a:pt x="4" y="93"/>
                              </a:lnTo>
                              <a:lnTo>
                                <a:pt x="5" y="108"/>
                              </a:lnTo>
                              <a:lnTo>
                                <a:pt x="5" y="122"/>
                              </a:lnTo>
                              <a:lnTo>
                                <a:pt x="6" y="135"/>
                              </a:lnTo>
                              <a:lnTo>
                                <a:pt x="6" y="147"/>
                              </a:lnTo>
                              <a:lnTo>
                                <a:pt x="7" y="159"/>
                              </a:lnTo>
                              <a:lnTo>
                                <a:pt x="7" y="170"/>
                              </a:lnTo>
                              <a:lnTo>
                                <a:pt x="8" y="181"/>
                              </a:lnTo>
                              <a:lnTo>
                                <a:pt x="8" y="191"/>
                              </a:lnTo>
                              <a:lnTo>
                                <a:pt x="9" y="201"/>
                              </a:lnTo>
                              <a:lnTo>
                                <a:pt x="9" y="211"/>
                              </a:lnTo>
                              <a:lnTo>
                                <a:pt x="10" y="220"/>
                              </a:lnTo>
                              <a:lnTo>
                                <a:pt x="10" y="229"/>
                              </a:lnTo>
                              <a:lnTo>
                                <a:pt x="11" y="238"/>
                              </a:lnTo>
                              <a:lnTo>
                                <a:pt x="11" y="247"/>
                              </a:lnTo>
                              <a:lnTo>
                                <a:pt x="12" y="255"/>
                              </a:lnTo>
                              <a:lnTo>
                                <a:pt x="12" y="264"/>
                              </a:lnTo>
                              <a:lnTo>
                                <a:pt x="13" y="272"/>
                              </a:lnTo>
                              <a:lnTo>
                                <a:pt x="13" y="280"/>
                              </a:lnTo>
                              <a:lnTo>
                                <a:pt x="14" y="288"/>
                              </a:lnTo>
                              <a:lnTo>
                                <a:pt x="14" y="295"/>
                              </a:lnTo>
                              <a:lnTo>
                                <a:pt x="15" y="302"/>
                              </a:lnTo>
                              <a:lnTo>
                                <a:pt x="16" y="309"/>
                              </a:lnTo>
                              <a:lnTo>
                                <a:pt x="16" y="317"/>
                              </a:lnTo>
                              <a:lnTo>
                                <a:pt x="17" y="324"/>
                              </a:lnTo>
                              <a:lnTo>
                                <a:pt x="17" y="330"/>
                              </a:lnTo>
                              <a:lnTo>
                                <a:pt x="17" y="334"/>
                              </a:lnTo>
                              <a:lnTo>
                                <a:pt x="18" y="339"/>
                              </a:lnTo>
                              <a:lnTo>
                                <a:pt x="18" y="343"/>
                              </a:lnTo>
                              <a:lnTo>
                                <a:pt x="19" y="348"/>
                              </a:lnTo>
                              <a:lnTo>
                                <a:pt x="19" y="352"/>
                              </a:lnTo>
                              <a:lnTo>
                                <a:pt x="19" y="356"/>
                              </a:lnTo>
                              <a:lnTo>
                                <a:pt x="20" y="360"/>
                              </a:lnTo>
                              <a:lnTo>
                                <a:pt x="20" y="365"/>
                              </a:lnTo>
                              <a:lnTo>
                                <a:pt x="21" y="369"/>
                              </a:lnTo>
                              <a:lnTo>
                                <a:pt x="21" y="373"/>
                              </a:lnTo>
                              <a:lnTo>
                                <a:pt x="21" y="376"/>
                              </a:lnTo>
                              <a:lnTo>
                                <a:pt x="22" y="380"/>
                              </a:lnTo>
                              <a:lnTo>
                                <a:pt x="22" y="384"/>
                              </a:lnTo>
                              <a:lnTo>
                                <a:pt x="23" y="388"/>
                              </a:lnTo>
                              <a:lnTo>
                                <a:pt x="23" y="392"/>
                              </a:lnTo>
                              <a:lnTo>
                                <a:pt x="24" y="395"/>
                              </a:lnTo>
                              <a:lnTo>
                                <a:pt x="24" y="399"/>
                              </a:lnTo>
                              <a:lnTo>
                                <a:pt x="25" y="403"/>
                              </a:lnTo>
                              <a:lnTo>
                                <a:pt x="25" y="406"/>
                              </a:lnTo>
                              <a:lnTo>
                                <a:pt x="26" y="410"/>
                              </a:lnTo>
                              <a:lnTo>
                                <a:pt x="26" y="413"/>
                              </a:lnTo>
                              <a:lnTo>
                                <a:pt x="26" y="416"/>
                              </a:lnTo>
                              <a:lnTo>
                                <a:pt x="27" y="419"/>
                              </a:lnTo>
                              <a:lnTo>
                                <a:pt x="28" y="423"/>
                              </a:lnTo>
                              <a:lnTo>
                                <a:pt x="28" y="426"/>
                              </a:lnTo>
                              <a:lnTo>
                                <a:pt x="29" y="429"/>
                              </a:lnTo>
                              <a:lnTo>
                                <a:pt x="29" y="431"/>
                              </a:lnTo>
                              <a:lnTo>
                                <a:pt x="30" y="434"/>
                              </a:lnTo>
                              <a:lnTo>
                                <a:pt x="30" y="437"/>
                              </a:lnTo>
                              <a:lnTo>
                                <a:pt x="31" y="439"/>
                              </a:lnTo>
                              <a:lnTo>
                                <a:pt x="31" y="441"/>
                              </a:lnTo>
                              <a:lnTo>
                                <a:pt x="32" y="444"/>
                              </a:lnTo>
                              <a:lnTo>
                                <a:pt x="32" y="447"/>
                              </a:lnTo>
                              <a:lnTo>
                                <a:pt x="33" y="449"/>
                              </a:lnTo>
                              <a:lnTo>
                                <a:pt x="33" y="451"/>
                              </a:lnTo>
                              <a:lnTo>
                                <a:pt x="33" y="452"/>
                              </a:lnTo>
                              <a:lnTo>
                                <a:pt x="34" y="453"/>
                              </a:lnTo>
                              <a:lnTo>
                                <a:pt x="34" y="453"/>
                              </a:lnTo>
                              <a:lnTo>
                                <a:pt x="34" y="454"/>
                              </a:lnTo>
                              <a:lnTo>
                                <a:pt x="34" y="455"/>
                              </a:lnTo>
                              <a:lnTo>
                                <a:pt x="34" y="455"/>
                              </a:lnTo>
                              <a:lnTo>
                                <a:pt x="35" y="456"/>
                              </a:lnTo>
                              <a:lnTo>
                                <a:pt x="35" y="458"/>
                              </a:lnTo>
                              <a:lnTo>
                                <a:pt x="35" y="460"/>
                              </a:lnTo>
                              <a:lnTo>
                                <a:pt x="36" y="461"/>
                              </a:lnTo>
                              <a:lnTo>
                                <a:pt x="36" y="463"/>
                              </a:lnTo>
                              <a:lnTo>
                                <a:pt x="37" y="464"/>
                              </a:lnTo>
                              <a:lnTo>
                                <a:pt x="37" y="466"/>
                              </a:lnTo>
                              <a:lnTo>
                                <a:pt x="38" y="467"/>
                              </a:lnTo>
                              <a:lnTo>
                                <a:pt x="38" y="468"/>
                              </a:lnTo>
                              <a:lnTo>
                                <a:pt x="39" y="470"/>
                              </a:lnTo>
                              <a:lnTo>
                                <a:pt x="39" y="471"/>
                              </a:lnTo>
                              <a:lnTo>
                                <a:pt x="40" y="473"/>
                              </a:lnTo>
                              <a:lnTo>
                                <a:pt x="41" y="474"/>
                              </a:lnTo>
                              <a:lnTo>
                                <a:pt x="41" y="475"/>
                              </a:lnTo>
                              <a:lnTo>
                                <a:pt x="42" y="476"/>
                              </a:lnTo>
                              <a:lnTo>
                                <a:pt x="42" y="478"/>
                              </a:lnTo>
                              <a:lnTo>
                                <a:pt x="43" y="479"/>
                              </a:lnTo>
                              <a:lnTo>
                                <a:pt x="44" y="480"/>
                              </a:lnTo>
                              <a:lnTo>
                                <a:pt x="44" y="481"/>
                              </a:lnTo>
                              <a:lnTo>
                                <a:pt x="45" y="482"/>
                              </a:lnTo>
                              <a:lnTo>
                                <a:pt x="45" y="483"/>
                              </a:lnTo>
                              <a:lnTo>
                                <a:pt x="46" y="484"/>
                              </a:lnTo>
                              <a:lnTo>
                                <a:pt x="47" y="485"/>
                              </a:lnTo>
                              <a:lnTo>
                                <a:pt x="47" y="486"/>
                              </a:lnTo>
                              <a:lnTo>
                                <a:pt x="48" y="487"/>
                              </a:lnTo>
                              <a:lnTo>
                                <a:pt x="49" y="488"/>
                              </a:lnTo>
                              <a:lnTo>
                                <a:pt x="50" y="489"/>
                              </a:lnTo>
                              <a:lnTo>
                                <a:pt x="51" y="490"/>
                              </a:lnTo>
                              <a:lnTo>
                                <a:pt x="51" y="491"/>
                              </a:lnTo>
                              <a:lnTo>
                                <a:pt x="52" y="491"/>
                              </a:lnTo>
                              <a:lnTo>
                                <a:pt x="53" y="492"/>
                              </a:lnTo>
                              <a:lnTo>
                                <a:pt x="54" y="493"/>
                              </a:lnTo>
                              <a:lnTo>
                                <a:pt x="54" y="493"/>
                              </a:lnTo>
                              <a:lnTo>
                                <a:pt x="55" y="494"/>
                              </a:lnTo>
                              <a:lnTo>
                                <a:pt x="56" y="494"/>
                              </a:lnTo>
                              <a:lnTo>
                                <a:pt x="56" y="495"/>
                              </a:lnTo>
                              <a:lnTo>
                                <a:pt x="57" y="495"/>
                              </a:lnTo>
                              <a:lnTo>
                                <a:pt x="58" y="496"/>
                              </a:lnTo>
                              <a:lnTo>
                                <a:pt x="59" y="496"/>
                              </a:lnTo>
                              <a:lnTo>
                                <a:pt x="59" y="496"/>
                              </a:lnTo>
                              <a:lnTo>
                                <a:pt x="60" y="497"/>
                              </a:lnTo>
                              <a:lnTo>
                                <a:pt x="61" y="497"/>
                              </a:lnTo>
                              <a:lnTo>
                                <a:pt x="62" y="497"/>
                              </a:lnTo>
                              <a:lnTo>
                                <a:pt x="62" y="497"/>
                              </a:lnTo>
                              <a:lnTo>
                                <a:pt x="63" y="498"/>
                              </a:lnTo>
                              <a:lnTo>
                                <a:pt x="64" y="498"/>
                              </a:lnTo>
                              <a:lnTo>
                                <a:pt x="65" y="498"/>
                              </a:lnTo>
                              <a:lnTo>
                                <a:pt x="66" y="498"/>
                              </a:lnTo>
                              <a:lnTo>
                                <a:pt x="67" y="499"/>
                              </a:lnTo>
                              <a:lnTo>
                                <a:pt x="68" y="499"/>
                              </a:lnTo>
                              <a:lnTo>
                                <a:pt x="70" y="499"/>
                              </a:lnTo>
                              <a:lnTo>
                                <a:pt x="71" y="499"/>
                              </a:lnTo>
                              <a:lnTo>
                                <a:pt x="72" y="499"/>
                              </a:lnTo>
                              <a:lnTo>
                                <a:pt x="74" y="500"/>
                              </a:lnTo>
                              <a:lnTo>
                                <a:pt x="76" y="500"/>
                              </a:lnTo>
                              <a:lnTo>
                                <a:pt x="77" y="500"/>
                              </a:lnTo>
                              <a:lnTo>
                                <a:pt x="79" y="500"/>
                              </a:lnTo>
                              <a:lnTo>
                                <a:pt x="82" y="500"/>
                              </a:lnTo>
                              <a:lnTo>
                                <a:pt x="85" y="500"/>
                              </a:lnTo>
                              <a:lnTo>
                                <a:pt x="88" y="500"/>
                              </a:lnTo>
                              <a:lnTo>
                                <a:pt x="93" y="500"/>
                              </a:lnTo>
                              <a:lnTo>
                                <a:pt x="97" y="500"/>
                              </a:lnTo>
                              <a:lnTo>
                                <a:pt x="100" y="500"/>
                              </a:lnTo>
                              <a:lnTo>
                                <a:pt x="102" y="500"/>
                              </a:lnTo>
                              <a:lnTo>
                                <a:pt x="103" y="500"/>
                              </a:lnTo>
                              <a:lnTo>
                                <a:pt x="105" y="500"/>
                              </a:lnTo>
                              <a:lnTo>
                                <a:pt x="106" y="500"/>
                              </a:lnTo>
                              <a:lnTo>
                                <a:pt x="107" y="500"/>
                              </a:lnTo>
                              <a:lnTo>
                                <a:pt x="109" y="500"/>
                              </a:lnTo>
                              <a:lnTo>
                                <a:pt x="111" y="500"/>
                              </a:lnTo>
                              <a:lnTo>
                                <a:pt x="113" y="500"/>
                              </a:lnTo>
                              <a:lnTo>
                                <a:pt x="115" y="500"/>
                              </a:lnTo>
                              <a:lnTo>
                                <a:pt x="117" y="501"/>
                              </a:lnTo>
                              <a:lnTo>
                                <a:pt x="119" y="501"/>
                              </a:lnTo>
                              <a:lnTo>
                                <a:pt x="121" y="501"/>
                              </a:lnTo>
                              <a:lnTo>
                                <a:pt x="123" y="502"/>
                              </a:lnTo>
                              <a:lnTo>
                                <a:pt x="126" y="502"/>
                              </a:lnTo>
                              <a:lnTo>
                                <a:pt x="129" y="503"/>
                              </a:lnTo>
                              <a:lnTo>
                                <a:pt x="132" y="503"/>
                              </a:lnTo>
                              <a:lnTo>
                                <a:pt x="135" y="504"/>
                              </a:lnTo>
                              <a:lnTo>
                                <a:pt x="136" y="504"/>
                              </a:lnTo>
                              <a:lnTo>
                                <a:pt x="137" y="504"/>
                              </a:lnTo>
                              <a:lnTo>
                                <a:pt x="138" y="504"/>
                              </a:lnTo>
                              <a:lnTo>
                                <a:pt x="139" y="505"/>
                              </a:lnTo>
                              <a:lnTo>
                                <a:pt x="140" y="505"/>
                              </a:lnTo>
                              <a:lnTo>
                                <a:pt x="140" y="505"/>
                              </a:lnTo>
                              <a:lnTo>
                                <a:pt x="142" y="505"/>
                              </a:lnTo>
                              <a:lnTo>
                                <a:pt x="145" y="506"/>
                              </a:lnTo>
                              <a:lnTo>
                                <a:pt x="147" y="506"/>
                              </a:lnTo>
                              <a:lnTo>
                                <a:pt x="149" y="507"/>
                              </a:lnTo>
                              <a:lnTo>
                                <a:pt x="151" y="507"/>
                              </a:lnTo>
                              <a:lnTo>
                                <a:pt x="153" y="508"/>
                              </a:lnTo>
                              <a:lnTo>
                                <a:pt x="155" y="508"/>
                              </a:lnTo>
                              <a:lnTo>
                                <a:pt x="157" y="509"/>
                              </a:lnTo>
                              <a:lnTo>
                                <a:pt x="159" y="509"/>
                              </a:lnTo>
                              <a:lnTo>
                                <a:pt x="161" y="510"/>
                              </a:lnTo>
                              <a:lnTo>
                                <a:pt x="164" y="511"/>
                              </a:lnTo>
                              <a:lnTo>
                                <a:pt x="166" y="512"/>
                              </a:lnTo>
                              <a:lnTo>
                                <a:pt x="169" y="513"/>
                              </a:lnTo>
                              <a:lnTo>
                                <a:pt x="171" y="513"/>
                              </a:lnTo>
                              <a:lnTo>
                                <a:pt x="172" y="514"/>
                              </a:lnTo>
                              <a:lnTo>
                                <a:pt x="173" y="514"/>
                              </a:lnTo>
                              <a:lnTo>
                                <a:pt x="174" y="515"/>
                              </a:lnTo>
                              <a:lnTo>
                                <a:pt x="174" y="515"/>
                              </a:lnTo>
                              <a:lnTo>
                                <a:pt x="175" y="515"/>
                              </a:lnTo>
                              <a:lnTo>
                                <a:pt x="175" y="515"/>
                              </a:lnTo>
                              <a:lnTo>
                                <a:pt x="178" y="516"/>
                              </a:lnTo>
                              <a:lnTo>
                                <a:pt x="181" y="517"/>
                              </a:lnTo>
                              <a:lnTo>
                                <a:pt x="184" y="518"/>
                              </a:lnTo>
                              <a:lnTo>
                                <a:pt x="187" y="519"/>
                              </a:lnTo>
                              <a:lnTo>
                                <a:pt x="190" y="520"/>
                              </a:lnTo>
                              <a:lnTo>
                                <a:pt x="193" y="521"/>
                              </a:lnTo>
                              <a:lnTo>
                                <a:pt x="195" y="522"/>
                              </a:lnTo>
                              <a:lnTo>
                                <a:pt x="197" y="523"/>
                              </a:lnTo>
                              <a:lnTo>
                                <a:pt x="199" y="523"/>
                              </a:lnTo>
                              <a:lnTo>
                                <a:pt x="201" y="524"/>
                              </a:lnTo>
                              <a:lnTo>
                                <a:pt x="203" y="524"/>
                              </a:lnTo>
                              <a:lnTo>
                                <a:pt x="204" y="525"/>
                              </a:lnTo>
                              <a:lnTo>
                                <a:pt x="206" y="525"/>
                              </a:lnTo>
                              <a:lnTo>
                                <a:pt x="207" y="525"/>
                              </a:lnTo>
                              <a:lnTo>
                                <a:pt x="208" y="526"/>
                              </a:lnTo>
                              <a:lnTo>
                                <a:pt x="208" y="526"/>
                              </a:lnTo>
                              <a:lnTo>
                                <a:pt x="209" y="526"/>
                              </a:lnTo>
                              <a:lnTo>
                                <a:pt x="210" y="526"/>
                              </a:lnTo>
                              <a:lnTo>
                                <a:pt x="210" y="526"/>
                              </a:lnTo>
                              <a:lnTo>
                                <a:pt x="210" y="526"/>
                              </a:lnTo>
                              <a:lnTo>
                                <a:pt x="211" y="527"/>
                              </a:lnTo>
                              <a:lnTo>
                                <a:pt x="213" y="527"/>
                              </a:lnTo>
                              <a:lnTo>
                                <a:pt x="215" y="527"/>
                              </a:lnTo>
                              <a:lnTo>
                                <a:pt x="217" y="528"/>
                              </a:lnTo>
                              <a:lnTo>
                                <a:pt x="219" y="528"/>
                              </a:lnTo>
                              <a:lnTo>
                                <a:pt x="221" y="529"/>
                              </a:lnTo>
                              <a:lnTo>
                                <a:pt x="223" y="529"/>
                              </a:lnTo>
                              <a:lnTo>
                                <a:pt x="225" y="530"/>
                              </a:lnTo>
                              <a:lnTo>
                                <a:pt x="227" y="530"/>
                              </a:lnTo>
                              <a:lnTo>
                                <a:pt x="229" y="530"/>
                              </a:lnTo>
                              <a:lnTo>
                                <a:pt x="231" y="531"/>
                              </a:lnTo>
                              <a:lnTo>
                                <a:pt x="234" y="531"/>
                              </a:lnTo>
                              <a:lnTo>
                                <a:pt x="236" y="531"/>
                              </a:lnTo>
                              <a:lnTo>
                                <a:pt x="239" y="532"/>
                              </a:lnTo>
                              <a:lnTo>
                                <a:pt x="241" y="532"/>
                              </a:lnTo>
                              <a:lnTo>
                                <a:pt x="242" y="532"/>
                              </a:lnTo>
                              <a:lnTo>
                                <a:pt x="243" y="532"/>
                              </a:lnTo>
                              <a:lnTo>
                                <a:pt x="244" y="533"/>
                              </a:lnTo>
                              <a:lnTo>
                                <a:pt x="244" y="533"/>
                              </a:lnTo>
                              <a:lnTo>
                                <a:pt x="245" y="533"/>
                              </a:lnTo>
                              <a:lnTo>
                                <a:pt x="246" y="533"/>
                              </a:lnTo>
                              <a:lnTo>
                                <a:pt x="247" y="533"/>
                              </a:lnTo>
                              <a:lnTo>
                                <a:pt x="250" y="533"/>
                              </a:lnTo>
                              <a:lnTo>
                                <a:pt x="253" y="534"/>
                              </a:lnTo>
                              <a:lnTo>
                                <a:pt x="255" y="534"/>
                              </a:lnTo>
                              <a:lnTo>
                                <a:pt x="257" y="534"/>
                              </a:lnTo>
                              <a:lnTo>
                                <a:pt x="259" y="534"/>
                              </a:lnTo>
                              <a:lnTo>
                                <a:pt x="261" y="535"/>
                              </a:lnTo>
                              <a:lnTo>
                                <a:pt x="263" y="535"/>
                              </a:lnTo>
                              <a:lnTo>
                                <a:pt x="265" y="535"/>
                              </a:lnTo>
                              <a:lnTo>
                                <a:pt x="268" y="535"/>
                              </a:lnTo>
                              <a:lnTo>
                                <a:pt x="270" y="536"/>
                              </a:lnTo>
                              <a:lnTo>
                                <a:pt x="272" y="536"/>
                              </a:lnTo>
                              <a:lnTo>
                                <a:pt x="274" y="536"/>
                              </a:lnTo>
                              <a:lnTo>
                                <a:pt x="276" y="536"/>
                              </a:lnTo>
                              <a:lnTo>
                                <a:pt x="277" y="536"/>
                              </a:lnTo>
                              <a:lnTo>
                                <a:pt x="278" y="536"/>
                              </a:lnTo>
                              <a:lnTo>
                                <a:pt x="279" y="536"/>
                              </a:lnTo>
                              <a:lnTo>
                                <a:pt x="279" y="536"/>
                              </a:lnTo>
                              <a:lnTo>
                                <a:pt x="280" y="536"/>
                              </a:lnTo>
                              <a:lnTo>
                                <a:pt x="281" y="536"/>
                              </a:lnTo>
                              <a:lnTo>
                                <a:pt x="283" y="536"/>
                              </a:lnTo>
                              <a:lnTo>
                                <a:pt x="285" y="537"/>
                              </a:lnTo>
                              <a:lnTo>
                                <a:pt x="288" y="537"/>
                              </a:lnTo>
                              <a:lnTo>
                                <a:pt x="291" y="537"/>
                              </a:lnTo>
                              <a:lnTo>
                                <a:pt x="294" y="537"/>
                              </a:lnTo>
                              <a:lnTo>
                                <a:pt x="299" y="538"/>
                              </a:lnTo>
                              <a:lnTo>
                                <a:pt x="303" y="538"/>
                              </a:lnTo>
                              <a:lnTo>
                                <a:pt x="307" y="538"/>
                              </a:lnTo>
                              <a:lnTo>
                                <a:pt x="310" y="538"/>
                              </a:lnTo>
                              <a:lnTo>
                                <a:pt x="311" y="538"/>
                              </a:lnTo>
                              <a:lnTo>
                                <a:pt x="312" y="538"/>
                              </a:lnTo>
                              <a:lnTo>
                                <a:pt x="313" y="538"/>
                              </a:lnTo>
                              <a:lnTo>
                                <a:pt x="314" y="538"/>
                              </a:lnTo>
                              <a:lnTo>
                                <a:pt x="314" y="538"/>
                              </a:lnTo>
                              <a:lnTo>
                                <a:pt x="315" y="538"/>
                              </a:lnTo>
                              <a:lnTo>
                                <a:pt x="317" y="539"/>
                              </a:lnTo>
                              <a:lnTo>
                                <a:pt x="321" y="539"/>
                              </a:lnTo>
                              <a:lnTo>
                                <a:pt x="324" y="539"/>
                              </a:lnTo>
                              <a:lnTo>
                                <a:pt x="327" y="539"/>
                              </a:lnTo>
                              <a:lnTo>
                                <a:pt x="329" y="539"/>
                              </a:lnTo>
                              <a:lnTo>
                                <a:pt x="332" y="539"/>
                              </a:lnTo>
                              <a:lnTo>
                                <a:pt x="335" y="539"/>
                              </a:lnTo>
                              <a:lnTo>
                                <a:pt x="339" y="540"/>
                              </a:lnTo>
                              <a:lnTo>
                                <a:pt x="343" y="540"/>
                              </a:lnTo>
                              <a:lnTo>
                                <a:pt x="346" y="540"/>
                              </a:lnTo>
                              <a:lnTo>
                                <a:pt x="347" y="540"/>
                              </a:lnTo>
                              <a:lnTo>
                                <a:pt x="348" y="540"/>
                              </a:lnTo>
                              <a:lnTo>
                                <a:pt x="349" y="540"/>
                              </a:lnTo>
                              <a:lnTo>
                                <a:pt x="350" y="540"/>
                              </a:lnTo>
                              <a:lnTo>
                                <a:pt x="351" y="540"/>
                              </a:lnTo>
                              <a:lnTo>
                                <a:pt x="354" y="540"/>
                              </a:lnTo>
                              <a:lnTo>
                                <a:pt x="356" y="540"/>
                              </a:lnTo>
                              <a:lnTo>
                                <a:pt x="358" y="541"/>
                              </a:lnTo>
                              <a:lnTo>
                                <a:pt x="362" y="541"/>
                              </a:lnTo>
                              <a:lnTo>
                                <a:pt x="368" y="541"/>
                              </a:lnTo>
                              <a:lnTo>
                                <a:pt x="373" y="541"/>
                              </a:lnTo>
                              <a:lnTo>
                                <a:pt x="377" y="541"/>
                              </a:lnTo>
                              <a:lnTo>
                                <a:pt x="380" y="541"/>
                              </a:lnTo>
                              <a:lnTo>
                                <a:pt x="381" y="541"/>
                              </a:lnTo>
                              <a:lnTo>
                                <a:pt x="383" y="541"/>
                              </a:lnTo>
                              <a:lnTo>
                                <a:pt x="384" y="541"/>
                              </a:lnTo>
                              <a:lnTo>
                                <a:pt x="384" y="542"/>
                              </a:lnTo>
                              <a:lnTo>
                                <a:pt x="386" y="542"/>
                              </a:lnTo>
                              <a:lnTo>
                                <a:pt x="388" y="542"/>
                              </a:lnTo>
                              <a:lnTo>
                                <a:pt x="390" y="542"/>
                              </a:lnTo>
                              <a:lnTo>
                                <a:pt x="393" y="542"/>
                              </a:lnTo>
                              <a:lnTo>
                                <a:pt x="397" y="542"/>
                              </a:lnTo>
                              <a:lnTo>
                                <a:pt x="401" y="542"/>
                              </a:lnTo>
                              <a:lnTo>
                                <a:pt x="407" y="542"/>
                              </a:lnTo>
                              <a:lnTo>
                                <a:pt x="412" y="542"/>
                              </a:lnTo>
                              <a:lnTo>
                                <a:pt x="416" y="542"/>
                              </a:lnTo>
                              <a:lnTo>
                                <a:pt x="417" y="542"/>
                              </a:lnTo>
                              <a:lnTo>
                                <a:pt x="418" y="542"/>
                              </a:lnTo>
                              <a:lnTo>
                                <a:pt x="419" y="542"/>
                              </a:lnTo>
                              <a:lnTo>
                                <a:pt x="421" y="542"/>
                              </a:lnTo>
                              <a:lnTo>
                                <a:pt x="423" y="542"/>
                              </a:lnTo>
                              <a:lnTo>
                                <a:pt x="425" y="543"/>
                              </a:lnTo>
                              <a:lnTo>
                                <a:pt x="428" y="543"/>
                              </a:lnTo>
                              <a:lnTo>
                                <a:pt x="431" y="543"/>
                              </a:lnTo>
                              <a:lnTo>
                                <a:pt x="434" y="543"/>
                              </a:lnTo>
                              <a:lnTo>
                                <a:pt x="438" y="543"/>
                              </a:lnTo>
                              <a:lnTo>
                                <a:pt x="443" y="543"/>
                              </a:lnTo>
                              <a:lnTo>
                                <a:pt x="448" y="543"/>
                              </a:lnTo>
                              <a:lnTo>
                                <a:pt x="451" y="543"/>
                              </a:lnTo>
                              <a:lnTo>
                                <a:pt x="452" y="543"/>
                              </a:lnTo>
                              <a:lnTo>
                                <a:pt x="454" y="543"/>
                              </a:lnTo>
                              <a:lnTo>
                                <a:pt x="455" y="543"/>
                              </a:lnTo>
                              <a:lnTo>
                                <a:pt x="457" y="543"/>
                              </a:lnTo>
                              <a:lnTo>
                                <a:pt x="461" y="543"/>
                              </a:lnTo>
                              <a:lnTo>
                                <a:pt x="464" y="543"/>
                              </a:lnTo>
                              <a:lnTo>
                                <a:pt x="467" y="543"/>
                              </a:lnTo>
                              <a:lnTo>
                                <a:pt x="471" y="544"/>
                              </a:lnTo>
                              <a:lnTo>
                                <a:pt x="475" y="544"/>
                              </a:lnTo>
                              <a:lnTo>
                                <a:pt x="478" y="544"/>
                              </a:lnTo>
                              <a:lnTo>
                                <a:pt x="482" y="544"/>
                              </a:lnTo>
                              <a:lnTo>
                                <a:pt x="485" y="544"/>
                              </a:lnTo>
                              <a:lnTo>
                                <a:pt x="487" y="544"/>
                              </a:lnTo>
                              <a:lnTo>
                                <a:pt x="489" y="544"/>
                              </a:lnTo>
                              <a:lnTo>
                                <a:pt x="490" y="544"/>
                              </a:lnTo>
                              <a:lnTo>
                                <a:pt x="491" y="544"/>
                              </a:lnTo>
                              <a:lnTo>
                                <a:pt x="493" y="544"/>
                              </a:lnTo>
                              <a:lnTo>
                                <a:pt x="495" y="544"/>
                              </a:lnTo>
                              <a:lnTo>
                                <a:pt x="498" y="544"/>
                              </a:lnTo>
                              <a:lnTo>
                                <a:pt x="501" y="544"/>
                              </a:lnTo>
                              <a:lnTo>
                                <a:pt x="506" y="544"/>
                              </a:lnTo>
                              <a:lnTo>
                                <a:pt x="511" y="544"/>
                              </a:lnTo>
                              <a:lnTo>
                                <a:pt x="516" y="544"/>
                              </a:lnTo>
                              <a:lnTo>
                                <a:pt x="520" y="544"/>
                              </a:lnTo>
                              <a:lnTo>
                                <a:pt x="522" y="544"/>
                              </a:lnTo>
                              <a:lnTo>
                                <a:pt x="523" y="544"/>
                              </a:lnTo>
                              <a:lnTo>
                                <a:pt x="524" y="544"/>
                              </a:lnTo>
                              <a:lnTo>
                                <a:pt x="526" y="544"/>
                              </a:lnTo>
                              <a:lnTo>
                                <a:pt x="529" y="545"/>
                              </a:lnTo>
                              <a:lnTo>
                                <a:pt x="532" y="545"/>
                              </a:lnTo>
                              <a:lnTo>
                                <a:pt x="535" y="545"/>
                              </a:lnTo>
                              <a:lnTo>
                                <a:pt x="538" y="545"/>
                              </a:lnTo>
                              <a:lnTo>
                                <a:pt x="542" y="545"/>
                              </a:lnTo>
                              <a:lnTo>
                                <a:pt x="547" y="545"/>
                              </a:lnTo>
                              <a:lnTo>
                                <a:pt x="550" y="545"/>
                              </a:lnTo>
                              <a:lnTo>
                                <a:pt x="553" y="545"/>
                              </a:lnTo>
                              <a:lnTo>
                                <a:pt x="556" y="545"/>
                              </a:lnTo>
                              <a:lnTo>
                                <a:pt x="558" y="545"/>
                              </a:lnTo>
                              <a:lnTo>
                                <a:pt x="560" y="545"/>
                              </a:lnTo>
                              <a:lnTo>
                                <a:pt x="562" y="545"/>
                              </a:lnTo>
                              <a:lnTo>
                                <a:pt x="564" y="545"/>
                              </a:lnTo>
                              <a:lnTo>
                                <a:pt x="566" y="545"/>
                              </a:lnTo>
                              <a:lnTo>
                                <a:pt x="569" y="545"/>
                              </a:lnTo>
                              <a:lnTo>
                                <a:pt x="571" y="545"/>
                              </a:lnTo>
                              <a:lnTo>
                                <a:pt x="574" y="545"/>
                              </a:lnTo>
                              <a:lnTo>
                                <a:pt x="577" y="545"/>
                              </a:lnTo>
                              <a:lnTo>
                                <a:pt x="580" y="545"/>
                              </a:lnTo>
                              <a:lnTo>
                                <a:pt x="584" y="545"/>
                              </a:lnTo>
                              <a:lnTo>
                                <a:pt x="588" y="545"/>
                              </a:lnTo>
                              <a:lnTo>
                                <a:pt x="591" y="545"/>
                              </a:lnTo>
                              <a:lnTo>
                                <a:pt x="593" y="545"/>
                              </a:lnTo>
                              <a:lnTo>
                                <a:pt x="594" y="545"/>
                              </a:lnTo>
                              <a:lnTo>
                                <a:pt x="595" y="545"/>
                              </a:lnTo>
                              <a:lnTo>
                                <a:pt x="598" y="545"/>
                              </a:lnTo>
                              <a:lnTo>
                                <a:pt x="601" y="545"/>
                              </a:lnTo>
                              <a:lnTo>
                                <a:pt x="604" y="545"/>
                              </a:lnTo>
                              <a:lnTo>
                                <a:pt x="609" y="546"/>
                              </a:lnTo>
                              <a:lnTo>
                                <a:pt x="614" y="546"/>
                              </a:lnTo>
                              <a:lnTo>
                                <a:pt x="619" y="546"/>
                              </a:lnTo>
                              <a:lnTo>
                                <a:pt x="623" y="546"/>
                              </a:lnTo>
                              <a:lnTo>
                                <a:pt x="625" y="546"/>
                              </a:lnTo>
                              <a:lnTo>
                                <a:pt x="627" y="546"/>
                              </a:lnTo>
                              <a:lnTo>
                                <a:pt x="628" y="546"/>
                              </a:lnTo>
                              <a:lnTo>
                                <a:pt x="630" y="546"/>
                              </a:lnTo>
                              <a:lnTo>
                                <a:pt x="632" y="546"/>
                              </a:lnTo>
                              <a:lnTo>
                                <a:pt x="634" y="546"/>
                              </a:lnTo>
                              <a:lnTo>
                                <a:pt x="636" y="546"/>
                              </a:lnTo>
                              <a:lnTo>
                                <a:pt x="639" y="546"/>
                              </a:lnTo>
                              <a:lnTo>
                                <a:pt x="641" y="546"/>
                              </a:lnTo>
                              <a:lnTo>
                                <a:pt x="643" y="546"/>
                              </a:lnTo>
                              <a:lnTo>
                                <a:pt x="646" y="546"/>
                              </a:lnTo>
                              <a:lnTo>
                                <a:pt x="649" y="546"/>
                              </a:lnTo>
                              <a:lnTo>
                                <a:pt x="654" y="546"/>
                              </a:lnTo>
                              <a:lnTo>
                                <a:pt x="659" y="546"/>
                              </a:lnTo>
                              <a:lnTo>
                                <a:pt x="662" y="546"/>
                              </a:lnTo>
                              <a:lnTo>
                                <a:pt x="663" y="546"/>
                              </a:lnTo>
                              <a:lnTo>
                                <a:pt x="664" y="546"/>
                              </a:lnTo>
                              <a:lnTo>
                                <a:pt x="667" y="546"/>
                              </a:lnTo>
                              <a:lnTo>
                                <a:pt x="670" y="546"/>
                              </a:lnTo>
                              <a:lnTo>
                                <a:pt x="674" y="546"/>
                              </a:lnTo>
                              <a:lnTo>
                                <a:pt x="677" y="546"/>
                              </a:lnTo>
                              <a:lnTo>
                                <a:pt x="681" y="546"/>
                              </a:lnTo>
                              <a:lnTo>
                                <a:pt x="685" y="546"/>
                              </a:lnTo>
                              <a:lnTo>
                                <a:pt x="689" y="546"/>
                              </a:lnTo>
                              <a:lnTo>
                                <a:pt x="692" y="546"/>
                              </a:lnTo>
                              <a:lnTo>
                                <a:pt x="695" y="546"/>
                              </a:lnTo>
                              <a:lnTo>
                                <a:pt x="697" y="546"/>
                              </a:lnTo>
                              <a:lnTo>
                                <a:pt x="699" y="546"/>
                              </a:lnTo>
                              <a:lnTo>
                                <a:pt x="701" y="546"/>
                              </a:lnTo>
                              <a:lnTo>
                                <a:pt x="703" y="546"/>
                              </a:lnTo>
                              <a:lnTo>
                                <a:pt x="705" y="546"/>
                              </a:lnTo>
                              <a:lnTo>
                                <a:pt x="707" y="546"/>
                              </a:lnTo>
                              <a:lnTo>
                                <a:pt x="709" y="546"/>
                              </a:lnTo>
                              <a:lnTo>
                                <a:pt x="711" y="546"/>
                              </a:lnTo>
                              <a:lnTo>
                                <a:pt x="714" y="546"/>
                              </a:lnTo>
                              <a:lnTo>
                                <a:pt x="716" y="546"/>
                              </a:lnTo>
                              <a:lnTo>
                                <a:pt x="719" y="546"/>
                              </a:lnTo>
                              <a:lnTo>
                                <a:pt x="724" y="547"/>
                              </a:lnTo>
                              <a:lnTo>
                                <a:pt x="729" y="547"/>
                              </a:lnTo>
                              <a:lnTo>
                                <a:pt x="732" y="547"/>
                              </a:lnTo>
                              <a:lnTo>
                                <a:pt x="737" y="547"/>
                              </a:lnTo>
                              <a:lnTo>
                                <a:pt x="741" y="547"/>
                              </a:lnTo>
                              <a:lnTo>
                                <a:pt x="745" y="547"/>
                              </a:lnTo>
                              <a:lnTo>
                                <a:pt x="750" y="547"/>
                              </a:lnTo>
                              <a:lnTo>
                                <a:pt x="755" y="547"/>
                              </a:lnTo>
                              <a:lnTo>
                                <a:pt x="759" y="547"/>
                              </a:lnTo>
                              <a:lnTo>
                                <a:pt x="762" y="547"/>
                              </a:lnTo>
                              <a:lnTo>
                                <a:pt x="767" y="547"/>
                              </a:lnTo>
                              <a:lnTo>
                                <a:pt x="771" y="547"/>
                              </a:lnTo>
                              <a:lnTo>
                                <a:pt x="774" y="547"/>
                              </a:lnTo>
                              <a:lnTo>
                                <a:pt x="780" y="547"/>
                              </a:lnTo>
                              <a:lnTo>
                                <a:pt x="789" y="547"/>
                              </a:lnTo>
                              <a:lnTo>
                                <a:pt x="795" y="547"/>
                              </a:lnTo>
                              <a:lnTo>
                                <a:pt x="799" y="547"/>
                              </a:lnTo>
                              <a:lnTo>
                                <a:pt x="802" y="547"/>
                              </a:lnTo>
                              <a:lnTo>
                                <a:pt x="803" y="547"/>
                              </a:lnTo>
                              <a:lnTo>
                                <a:pt x="806" y="547"/>
                              </a:lnTo>
                              <a:lnTo>
                                <a:pt x="810" y="547"/>
                              </a:lnTo>
                              <a:lnTo>
                                <a:pt x="813" y="547"/>
                              </a:lnTo>
                              <a:lnTo>
                                <a:pt x="817" y="547"/>
                              </a:lnTo>
                              <a:lnTo>
                                <a:pt x="821" y="547"/>
                              </a:lnTo>
                              <a:lnTo>
                                <a:pt x="826" y="547"/>
                              </a:lnTo>
                              <a:lnTo>
                                <a:pt x="831" y="547"/>
                              </a:lnTo>
                              <a:lnTo>
                                <a:pt x="835" y="547"/>
                              </a:lnTo>
                              <a:lnTo>
                                <a:pt x="839" y="547"/>
                              </a:lnTo>
                              <a:lnTo>
                                <a:pt x="841" y="547"/>
                              </a:lnTo>
                              <a:lnTo>
                                <a:pt x="844" y="547"/>
                              </a:lnTo>
                              <a:lnTo>
                                <a:pt x="848" y="547"/>
                              </a:lnTo>
                              <a:lnTo>
                                <a:pt x="852" y="547"/>
                              </a:lnTo>
                              <a:lnTo>
                                <a:pt x="856" y="547"/>
                              </a:lnTo>
                              <a:lnTo>
                                <a:pt x="860" y="547"/>
                              </a:lnTo>
                              <a:lnTo>
                                <a:pt x="863" y="547"/>
                              </a:lnTo>
                              <a:lnTo>
                                <a:pt x="866" y="547"/>
                              </a:lnTo>
                              <a:lnTo>
                                <a:pt x="870" y="547"/>
                              </a:lnTo>
                              <a:lnTo>
                                <a:pt x="874" y="547"/>
                              </a:lnTo>
                              <a:lnTo>
                                <a:pt x="878" y="547"/>
                              </a:lnTo>
                              <a:lnTo>
                                <a:pt x="881" y="547"/>
                              </a:lnTo>
                              <a:lnTo>
                                <a:pt x="884" y="547"/>
                              </a:lnTo>
                              <a:lnTo>
                                <a:pt x="889" y="547"/>
                              </a:lnTo>
                              <a:lnTo>
                                <a:pt x="894" y="547"/>
                              </a:lnTo>
                              <a:lnTo>
                                <a:pt x="899" y="547"/>
                              </a:lnTo>
                              <a:lnTo>
                                <a:pt x="903" y="547"/>
                              </a:lnTo>
                              <a:lnTo>
                                <a:pt x="907" y="547"/>
                              </a:lnTo>
                              <a:lnTo>
                                <a:pt x="910" y="547"/>
                              </a:lnTo>
                              <a:lnTo>
                                <a:pt x="913" y="547"/>
                              </a:lnTo>
                              <a:lnTo>
                                <a:pt x="915" y="547"/>
                              </a:lnTo>
                              <a:lnTo>
                                <a:pt x="917" y="547"/>
                              </a:lnTo>
                              <a:lnTo>
                                <a:pt x="920" y="547"/>
                              </a:lnTo>
                              <a:lnTo>
                                <a:pt x="923" y="547"/>
                              </a:lnTo>
                              <a:lnTo>
                                <a:pt x="928" y="547"/>
                              </a:lnTo>
                              <a:lnTo>
                                <a:pt x="931" y="547"/>
                              </a:lnTo>
                              <a:lnTo>
                                <a:pt x="935" y="547"/>
                              </a:lnTo>
                              <a:lnTo>
                                <a:pt x="939" y="547"/>
                              </a:lnTo>
                              <a:lnTo>
                                <a:pt x="944" y="547"/>
                              </a:lnTo>
                              <a:lnTo>
                                <a:pt x="950" y="547"/>
                              </a:lnTo>
                              <a:lnTo>
                                <a:pt x="954" y="547"/>
                              </a:lnTo>
                              <a:lnTo>
                                <a:pt x="958" y="547"/>
                              </a:lnTo>
                              <a:lnTo>
                                <a:pt x="961" y="547"/>
                              </a:lnTo>
                              <a:lnTo>
                                <a:pt x="965" y="547"/>
                              </a:lnTo>
                              <a:lnTo>
                                <a:pt x="969" y="547"/>
                              </a:lnTo>
                              <a:lnTo>
                                <a:pt x="972" y="547"/>
                              </a:lnTo>
                              <a:lnTo>
                                <a:pt x="974" y="547"/>
                              </a:lnTo>
                              <a:lnTo>
                                <a:pt x="976" y="547"/>
                              </a:lnTo>
                              <a:lnTo>
                                <a:pt x="978" y="547"/>
                              </a:lnTo>
                              <a:lnTo>
                                <a:pt x="979" y="547"/>
                              </a:lnTo>
                              <a:lnTo>
                                <a:pt x="981" y="547"/>
                              </a:lnTo>
                              <a:lnTo>
                                <a:pt x="984" y="547"/>
                              </a:lnTo>
                              <a:lnTo>
                                <a:pt x="986" y="547"/>
                              </a:lnTo>
                              <a:lnTo>
                                <a:pt x="989" y="547"/>
                              </a:lnTo>
                              <a:lnTo>
                                <a:pt x="992" y="547"/>
                              </a:lnTo>
                              <a:lnTo>
                                <a:pt x="995" y="547"/>
                              </a:lnTo>
                              <a:lnTo>
                                <a:pt x="998" y="547"/>
                              </a:lnTo>
                              <a:lnTo>
                                <a:pt x="1002" y="547"/>
                              </a:lnTo>
                              <a:lnTo>
                                <a:pt x="1006" y="547"/>
                              </a:lnTo>
                              <a:lnTo>
                                <a:pt x="1008" y="547"/>
                              </a:lnTo>
                              <a:lnTo>
                                <a:pt x="1010" y="547"/>
                              </a:lnTo>
                              <a:lnTo>
                                <a:pt x="1011" y="547"/>
                              </a:lnTo>
                              <a:lnTo>
                                <a:pt x="1012" y="547"/>
                              </a:lnTo>
                              <a:lnTo>
                                <a:pt x="1013" y="547"/>
                              </a:lnTo>
                              <a:lnTo>
                                <a:pt x="1015" y="547"/>
                              </a:lnTo>
                              <a:lnTo>
                                <a:pt x="1017" y="547"/>
                              </a:lnTo>
                              <a:lnTo>
                                <a:pt x="1021" y="547"/>
                              </a:lnTo>
                              <a:lnTo>
                                <a:pt x="1023" y="547"/>
                              </a:lnTo>
                              <a:lnTo>
                                <a:pt x="1025" y="547"/>
                              </a:lnTo>
                              <a:lnTo>
                                <a:pt x="1028" y="547"/>
                              </a:lnTo>
                              <a:lnTo>
                                <a:pt x="1030" y="546"/>
                              </a:lnTo>
                              <a:lnTo>
                                <a:pt x="1033" y="546"/>
                              </a:lnTo>
                              <a:lnTo>
                                <a:pt x="1035" y="546"/>
                              </a:lnTo>
                              <a:lnTo>
                                <a:pt x="1038" y="546"/>
                              </a:lnTo>
                              <a:lnTo>
                                <a:pt x="1041" y="546"/>
                              </a:lnTo>
                              <a:lnTo>
                                <a:pt x="1043" y="546"/>
                              </a:lnTo>
                              <a:lnTo>
                                <a:pt x="1044" y="546"/>
                              </a:lnTo>
                              <a:lnTo>
                                <a:pt x="1045" y="546"/>
                              </a:lnTo>
                              <a:lnTo>
                                <a:pt x="1046" y="546"/>
                              </a:lnTo>
                              <a:lnTo>
                                <a:pt x="1046" y="546"/>
                              </a:lnTo>
                              <a:lnTo>
                                <a:pt x="1047" y="546"/>
                              </a:lnTo>
                              <a:lnTo>
                                <a:pt x="1047" y="546"/>
                              </a:lnTo>
                              <a:lnTo>
                                <a:pt x="1049" y="546"/>
                              </a:lnTo>
                              <a:lnTo>
                                <a:pt x="1051" y="546"/>
                              </a:lnTo>
                              <a:lnTo>
                                <a:pt x="1053" y="546"/>
                              </a:lnTo>
                              <a:lnTo>
                                <a:pt x="1055" y="546"/>
                              </a:lnTo>
                              <a:lnTo>
                                <a:pt x="1056" y="546"/>
                              </a:lnTo>
                              <a:lnTo>
                                <a:pt x="1057" y="546"/>
                              </a:lnTo>
                              <a:lnTo>
                                <a:pt x="1059" y="545"/>
                              </a:lnTo>
                              <a:lnTo>
                                <a:pt x="1061" y="545"/>
                              </a:lnTo>
                              <a:lnTo>
                                <a:pt x="1062" y="545"/>
                              </a:lnTo>
                              <a:lnTo>
                                <a:pt x="1065" y="545"/>
                              </a:lnTo>
                              <a:lnTo>
                                <a:pt x="1067" y="545"/>
                              </a:lnTo>
                              <a:lnTo>
                                <a:pt x="1069" y="545"/>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1345" name="Freeform 169"/>
                        <a:cNvSpPr>
                          <a:spLocks/>
                        </a:cNvSpPr>
                      </a:nvSpPr>
                      <a:spPr bwMode="auto">
                        <a:xfrm>
                          <a:off x="6914489" y="7506390"/>
                          <a:ext cx="1535758" cy="71506"/>
                        </a:xfrm>
                        <a:custGeom>
                          <a:avLst/>
                          <a:gdLst/>
                          <a:ahLst/>
                          <a:cxnLst>
                            <a:cxn ang="0">
                              <a:pos x="10" y="29"/>
                            </a:cxn>
                            <a:cxn ang="0">
                              <a:pos x="14" y="29"/>
                            </a:cxn>
                            <a:cxn ang="0">
                              <a:pos x="23" y="28"/>
                            </a:cxn>
                            <a:cxn ang="0">
                              <a:pos x="35" y="28"/>
                            </a:cxn>
                            <a:cxn ang="0">
                              <a:pos x="54" y="28"/>
                            </a:cxn>
                            <a:cxn ang="0">
                              <a:pos x="76" y="28"/>
                            </a:cxn>
                            <a:cxn ang="0">
                              <a:pos x="90" y="28"/>
                            </a:cxn>
                            <a:cxn ang="0">
                              <a:pos x="116" y="27"/>
                            </a:cxn>
                            <a:cxn ang="0">
                              <a:pos x="131" y="27"/>
                            </a:cxn>
                            <a:cxn ang="0">
                              <a:pos x="150" y="27"/>
                            </a:cxn>
                            <a:cxn ang="0">
                              <a:pos x="169" y="27"/>
                            </a:cxn>
                            <a:cxn ang="0">
                              <a:pos x="187" y="27"/>
                            </a:cxn>
                            <a:cxn ang="0">
                              <a:pos x="208" y="27"/>
                            </a:cxn>
                            <a:cxn ang="0">
                              <a:pos x="224" y="28"/>
                            </a:cxn>
                            <a:cxn ang="0">
                              <a:pos x="248" y="28"/>
                            </a:cxn>
                            <a:cxn ang="0">
                              <a:pos x="269" y="29"/>
                            </a:cxn>
                            <a:cxn ang="0">
                              <a:pos x="297" y="29"/>
                            </a:cxn>
                            <a:cxn ang="0">
                              <a:pos x="320" y="29"/>
                            </a:cxn>
                            <a:cxn ang="0">
                              <a:pos x="334" y="29"/>
                            </a:cxn>
                            <a:cxn ang="0">
                              <a:pos x="362" y="29"/>
                            </a:cxn>
                            <a:cxn ang="0">
                              <a:pos x="383" y="29"/>
                            </a:cxn>
                            <a:cxn ang="0">
                              <a:pos x="406" y="29"/>
                            </a:cxn>
                            <a:cxn ang="0">
                              <a:pos x="435" y="29"/>
                            </a:cxn>
                            <a:cxn ang="0">
                              <a:pos x="458" y="29"/>
                            </a:cxn>
                            <a:cxn ang="0">
                              <a:pos x="479" y="29"/>
                            </a:cxn>
                            <a:cxn ang="0">
                              <a:pos x="491" y="29"/>
                            </a:cxn>
                            <a:cxn ang="0">
                              <a:pos x="498" y="28"/>
                            </a:cxn>
                            <a:cxn ang="0">
                              <a:pos x="501" y="28"/>
                            </a:cxn>
                            <a:cxn ang="0">
                              <a:pos x="507" y="27"/>
                            </a:cxn>
                            <a:cxn ang="0">
                              <a:pos x="514" y="27"/>
                            </a:cxn>
                            <a:cxn ang="0">
                              <a:pos x="520" y="25"/>
                            </a:cxn>
                            <a:cxn ang="0">
                              <a:pos x="526" y="24"/>
                            </a:cxn>
                            <a:cxn ang="0">
                              <a:pos x="531" y="22"/>
                            </a:cxn>
                            <a:cxn ang="0">
                              <a:pos x="534" y="20"/>
                            </a:cxn>
                            <a:cxn ang="0">
                              <a:pos x="536" y="20"/>
                            </a:cxn>
                            <a:cxn ang="0">
                              <a:pos x="540" y="17"/>
                            </a:cxn>
                            <a:cxn ang="0">
                              <a:pos x="556" y="9"/>
                            </a:cxn>
                            <a:cxn ang="0">
                              <a:pos x="567" y="4"/>
                            </a:cxn>
                            <a:cxn ang="0">
                              <a:pos x="576" y="1"/>
                            </a:cxn>
                            <a:cxn ang="0">
                              <a:pos x="586" y="0"/>
                            </a:cxn>
                            <a:cxn ang="0">
                              <a:pos x="596" y="1"/>
                            </a:cxn>
                            <a:cxn ang="0">
                              <a:pos x="605" y="3"/>
                            </a:cxn>
                            <a:cxn ang="0">
                              <a:pos x="612" y="6"/>
                            </a:cxn>
                            <a:cxn ang="0">
                              <a:pos x="631" y="14"/>
                            </a:cxn>
                            <a:cxn ang="0">
                              <a:pos x="640" y="18"/>
                            </a:cxn>
                            <a:cxn ang="0">
                              <a:pos x="645" y="20"/>
                            </a:cxn>
                            <a:cxn ang="0">
                              <a:pos x="654" y="23"/>
                            </a:cxn>
                            <a:cxn ang="0">
                              <a:pos x="663" y="25"/>
                            </a:cxn>
                            <a:cxn ang="0">
                              <a:pos x="672" y="27"/>
                            </a:cxn>
                            <a:cxn ang="0">
                              <a:pos x="676" y="28"/>
                            </a:cxn>
                            <a:cxn ang="0">
                              <a:pos x="682" y="30"/>
                            </a:cxn>
                            <a:cxn ang="0">
                              <a:pos x="691" y="31"/>
                            </a:cxn>
                            <a:cxn ang="0">
                              <a:pos x="702" y="32"/>
                            </a:cxn>
                            <a:cxn ang="0">
                              <a:pos x="710" y="33"/>
                            </a:cxn>
                            <a:cxn ang="0">
                              <a:pos x="717" y="34"/>
                            </a:cxn>
                            <a:cxn ang="0">
                              <a:pos x="731" y="35"/>
                            </a:cxn>
                            <a:cxn ang="0">
                              <a:pos x="745" y="35"/>
                            </a:cxn>
                            <a:cxn ang="0">
                              <a:pos x="754" y="36"/>
                            </a:cxn>
                            <a:cxn ang="0">
                              <a:pos x="779" y="36"/>
                            </a:cxn>
                            <a:cxn ang="0">
                              <a:pos x="799" y="37"/>
                            </a:cxn>
                            <a:cxn ang="0">
                              <a:pos x="823" y="37"/>
                            </a:cxn>
                            <a:cxn ang="0">
                              <a:pos x="849" y="37"/>
                            </a:cxn>
                            <a:cxn ang="0">
                              <a:pos x="876" y="37"/>
                            </a:cxn>
                          </a:cxnLst>
                          <a:rect l="0" t="0" r="r" b="b"/>
                          <a:pathLst>
                            <a:path w="906" h="38">
                              <a:moveTo>
                                <a:pt x="0" y="30"/>
                              </a:moveTo>
                              <a:lnTo>
                                <a:pt x="1" y="30"/>
                              </a:lnTo>
                              <a:lnTo>
                                <a:pt x="3" y="30"/>
                              </a:lnTo>
                              <a:lnTo>
                                <a:pt x="5" y="30"/>
                              </a:lnTo>
                              <a:lnTo>
                                <a:pt x="7" y="30"/>
                              </a:lnTo>
                              <a:lnTo>
                                <a:pt x="8" y="29"/>
                              </a:lnTo>
                              <a:lnTo>
                                <a:pt x="9" y="29"/>
                              </a:lnTo>
                              <a:lnTo>
                                <a:pt x="10" y="29"/>
                              </a:lnTo>
                              <a:lnTo>
                                <a:pt x="10" y="29"/>
                              </a:lnTo>
                              <a:lnTo>
                                <a:pt x="11" y="29"/>
                              </a:lnTo>
                              <a:lnTo>
                                <a:pt x="11" y="29"/>
                              </a:lnTo>
                              <a:lnTo>
                                <a:pt x="11" y="29"/>
                              </a:lnTo>
                              <a:lnTo>
                                <a:pt x="12" y="29"/>
                              </a:lnTo>
                              <a:lnTo>
                                <a:pt x="12" y="29"/>
                              </a:lnTo>
                              <a:lnTo>
                                <a:pt x="13" y="29"/>
                              </a:lnTo>
                              <a:lnTo>
                                <a:pt x="14" y="29"/>
                              </a:lnTo>
                              <a:lnTo>
                                <a:pt x="15" y="29"/>
                              </a:lnTo>
                              <a:lnTo>
                                <a:pt x="16" y="29"/>
                              </a:lnTo>
                              <a:lnTo>
                                <a:pt x="17" y="29"/>
                              </a:lnTo>
                              <a:lnTo>
                                <a:pt x="18" y="29"/>
                              </a:lnTo>
                              <a:lnTo>
                                <a:pt x="19" y="29"/>
                              </a:lnTo>
                              <a:lnTo>
                                <a:pt x="20" y="29"/>
                              </a:lnTo>
                              <a:lnTo>
                                <a:pt x="22" y="29"/>
                              </a:lnTo>
                              <a:lnTo>
                                <a:pt x="23" y="28"/>
                              </a:lnTo>
                              <a:lnTo>
                                <a:pt x="24" y="28"/>
                              </a:lnTo>
                              <a:lnTo>
                                <a:pt x="25" y="28"/>
                              </a:lnTo>
                              <a:lnTo>
                                <a:pt x="27" y="28"/>
                              </a:lnTo>
                              <a:lnTo>
                                <a:pt x="28" y="28"/>
                              </a:lnTo>
                              <a:lnTo>
                                <a:pt x="30" y="28"/>
                              </a:lnTo>
                              <a:lnTo>
                                <a:pt x="31" y="28"/>
                              </a:lnTo>
                              <a:lnTo>
                                <a:pt x="33" y="28"/>
                              </a:lnTo>
                              <a:lnTo>
                                <a:pt x="35" y="28"/>
                              </a:lnTo>
                              <a:lnTo>
                                <a:pt x="38" y="28"/>
                              </a:lnTo>
                              <a:lnTo>
                                <a:pt x="41" y="28"/>
                              </a:lnTo>
                              <a:lnTo>
                                <a:pt x="44" y="28"/>
                              </a:lnTo>
                              <a:lnTo>
                                <a:pt x="46" y="28"/>
                              </a:lnTo>
                              <a:lnTo>
                                <a:pt x="47" y="28"/>
                              </a:lnTo>
                              <a:lnTo>
                                <a:pt x="49" y="28"/>
                              </a:lnTo>
                              <a:lnTo>
                                <a:pt x="52" y="28"/>
                              </a:lnTo>
                              <a:lnTo>
                                <a:pt x="54" y="28"/>
                              </a:lnTo>
                              <a:lnTo>
                                <a:pt x="57" y="28"/>
                              </a:lnTo>
                              <a:lnTo>
                                <a:pt x="59" y="28"/>
                              </a:lnTo>
                              <a:lnTo>
                                <a:pt x="62" y="28"/>
                              </a:lnTo>
                              <a:lnTo>
                                <a:pt x="64" y="28"/>
                              </a:lnTo>
                              <a:lnTo>
                                <a:pt x="67" y="28"/>
                              </a:lnTo>
                              <a:lnTo>
                                <a:pt x="70" y="28"/>
                              </a:lnTo>
                              <a:lnTo>
                                <a:pt x="73" y="28"/>
                              </a:lnTo>
                              <a:lnTo>
                                <a:pt x="76" y="28"/>
                              </a:lnTo>
                              <a:lnTo>
                                <a:pt x="79" y="28"/>
                              </a:lnTo>
                              <a:lnTo>
                                <a:pt x="80" y="28"/>
                              </a:lnTo>
                              <a:lnTo>
                                <a:pt x="82" y="28"/>
                              </a:lnTo>
                              <a:lnTo>
                                <a:pt x="83" y="28"/>
                              </a:lnTo>
                              <a:lnTo>
                                <a:pt x="85" y="28"/>
                              </a:lnTo>
                              <a:lnTo>
                                <a:pt x="86" y="28"/>
                              </a:lnTo>
                              <a:lnTo>
                                <a:pt x="88" y="28"/>
                              </a:lnTo>
                              <a:lnTo>
                                <a:pt x="90" y="28"/>
                              </a:lnTo>
                              <a:lnTo>
                                <a:pt x="92" y="28"/>
                              </a:lnTo>
                              <a:lnTo>
                                <a:pt x="96" y="28"/>
                              </a:lnTo>
                              <a:lnTo>
                                <a:pt x="100" y="28"/>
                              </a:lnTo>
                              <a:lnTo>
                                <a:pt x="103" y="27"/>
                              </a:lnTo>
                              <a:lnTo>
                                <a:pt x="106" y="27"/>
                              </a:lnTo>
                              <a:lnTo>
                                <a:pt x="110" y="27"/>
                              </a:lnTo>
                              <a:lnTo>
                                <a:pt x="114" y="27"/>
                              </a:lnTo>
                              <a:lnTo>
                                <a:pt x="116" y="27"/>
                              </a:lnTo>
                              <a:lnTo>
                                <a:pt x="118" y="27"/>
                              </a:lnTo>
                              <a:lnTo>
                                <a:pt x="119" y="27"/>
                              </a:lnTo>
                              <a:lnTo>
                                <a:pt x="122" y="27"/>
                              </a:lnTo>
                              <a:lnTo>
                                <a:pt x="124" y="27"/>
                              </a:lnTo>
                              <a:lnTo>
                                <a:pt x="126" y="27"/>
                              </a:lnTo>
                              <a:lnTo>
                                <a:pt x="128" y="27"/>
                              </a:lnTo>
                              <a:lnTo>
                                <a:pt x="130" y="27"/>
                              </a:lnTo>
                              <a:lnTo>
                                <a:pt x="131" y="27"/>
                              </a:lnTo>
                              <a:lnTo>
                                <a:pt x="133" y="27"/>
                              </a:lnTo>
                              <a:lnTo>
                                <a:pt x="135" y="27"/>
                              </a:lnTo>
                              <a:lnTo>
                                <a:pt x="137" y="27"/>
                              </a:lnTo>
                              <a:lnTo>
                                <a:pt x="140" y="27"/>
                              </a:lnTo>
                              <a:lnTo>
                                <a:pt x="142" y="27"/>
                              </a:lnTo>
                              <a:lnTo>
                                <a:pt x="144" y="27"/>
                              </a:lnTo>
                              <a:lnTo>
                                <a:pt x="147" y="27"/>
                              </a:lnTo>
                              <a:lnTo>
                                <a:pt x="150" y="27"/>
                              </a:lnTo>
                              <a:lnTo>
                                <a:pt x="152" y="27"/>
                              </a:lnTo>
                              <a:lnTo>
                                <a:pt x="154" y="27"/>
                              </a:lnTo>
                              <a:lnTo>
                                <a:pt x="156" y="27"/>
                              </a:lnTo>
                              <a:lnTo>
                                <a:pt x="159" y="27"/>
                              </a:lnTo>
                              <a:lnTo>
                                <a:pt x="162" y="27"/>
                              </a:lnTo>
                              <a:lnTo>
                                <a:pt x="165" y="27"/>
                              </a:lnTo>
                              <a:lnTo>
                                <a:pt x="167" y="27"/>
                              </a:lnTo>
                              <a:lnTo>
                                <a:pt x="169" y="27"/>
                              </a:lnTo>
                              <a:lnTo>
                                <a:pt x="172" y="27"/>
                              </a:lnTo>
                              <a:lnTo>
                                <a:pt x="174" y="27"/>
                              </a:lnTo>
                              <a:lnTo>
                                <a:pt x="176" y="27"/>
                              </a:lnTo>
                              <a:lnTo>
                                <a:pt x="178" y="27"/>
                              </a:lnTo>
                              <a:lnTo>
                                <a:pt x="181" y="27"/>
                              </a:lnTo>
                              <a:lnTo>
                                <a:pt x="184" y="27"/>
                              </a:lnTo>
                              <a:lnTo>
                                <a:pt x="186" y="27"/>
                              </a:lnTo>
                              <a:lnTo>
                                <a:pt x="187" y="27"/>
                              </a:lnTo>
                              <a:lnTo>
                                <a:pt x="189" y="27"/>
                              </a:lnTo>
                              <a:lnTo>
                                <a:pt x="190" y="27"/>
                              </a:lnTo>
                              <a:lnTo>
                                <a:pt x="192" y="27"/>
                              </a:lnTo>
                              <a:lnTo>
                                <a:pt x="193" y="27"/>
                              </a:lnTo>
                              <a:lnTo>
                                <a:pt x="196" y="27"/>
                              </a:lnTo>
                              <a:lnTo>
                                <a:pt x="199" y="27"/>
                              </a:lnTo>
                              <a:lnTo>
                                <a:pt x="203" y="27"/>
                              </a:lnTo>
                              <a:lnTo>
                                <a:pt x="208" y="27"/>
                              </a:lnTo>
                              <a:lnTo>
                                <a:pt x="212" y="28"/>
                              </a:lnTo>
                              <a:lnTo>
                                <a:pt x="215" y="28"/>
                              </a:lnTo>
                              <a:lnTo>
                                <a:pt x="217" y="28"/>
                              </a:lnTo>
                              <a:lnTo>
                                <a:pt x="219" y="28"/>
                              </a:lnTo>
                              <a:lnTo>
                                <a:pt x="220" y="28"/>
                              </a:lnTo>
                              <a:lnTo>
                                <a:pt x="222" y="28"/>
                              </a:lnTo>
                              <a:lnTo>
                                <a:pt x="223" y="28"/>
                              </a:lnTo>
                              <a:lnTo>
                                <a:pt x="224" y="28"/>
                              </a:lnTo>
                              <a:lnTo>
                                <a:pt x="228" y="28"/>
                              </a:lnTo>
                              <a:lnTo>
                                <a:pt x="232" y="28"/>
                              </a:lnTo>
                              <a:lnTo>
                                <a:pt x="235" y="28"/>
                              </a:lnTo>
                              <a:lnTo>
                                <a:pt x="237" y="28"/>
                              </a:lnTo>
                              <a:lnTo>
                                <a:pt x="239" y="28"/>
                              </a:lnTo>
                              <a:lnTo>
                                <a:pt x="241" y="28"/>
                              </a:lnTo>
                              <a:lnTo>
                                <a:pt x="244" y="28"/>
                              </a:lnTo>
                              <a:lnTo>
                                <a:pt x="248" y="28"/>
                              </a:lnTo>
                              <a:lnTo>
                                <a:pt x="252" y="28"/>
                              </a:lnTo>
                              <a:lnTo>
                                <a:pt x="255" y="28"/>
                              </a:lnTo>
                              <a:lnTo>
                                <a:pt x="258" y="28"/>
                              </a:lnTo>
                              <a:lnTo>
                                <a:pt x="260" y="28"/>
                              </a:lnTo>
                              <a:lnTo>
                                <a:pt x="262" y="29"/>
                              </a:lnTo>
                              <a:lnTo>
                                <a:pt x="264" y="29"/>
                              </a:lnTo>
                              <a:lnTo>
                                <a:pt x="266" y="29"/>
                              </a:lnTo>
                              <a:lnTo>
                                <a:pt x="269" y="29"/>
                              </a:lnTo>
                              <a:lnTo>
                                <a:pt x="272" y="29"/>
                              </a:lnTo>
                              <a:lnTo>
                                <a:pt x="275" y="29"/>
                              </a:lnTo>
                              <a:lnTo>
                                <a:pt x="278" y="29"/>
                              </a:lnTo>
                              <a:lnTo>
                                <a:pt x="282" y="29"/>
                              </a:lnTo>
                              <a:lnTo>
                                <a:pt x="287" y="29"/>
                              </a:lnTo>
                              <a:lnTo>
                                <a:pt x="291" y="29"/>
                              </a:lnTo>
                              <a:lnTo>
                                <a:pt x="294" y="29"/>
                              </a:lnTo>
                              <a:lnTo>
                                <a:pt x="297" y="29"/>
                              </a:lnTo>
                              <a:lnTo>
                                <a:pt x="300" y="29"/>
                              </a:lnTo>
                              <a:lnTo>
                                <a:pt x="303" y="29"/>
                              </a:lnTo>
                              <a:lnTo>
                                <a:pt x="306" y="29"/>
                              </a:lnTo>
                              <a:lnTo>
                                <a:pt x="309" y="29"/>
                              </a:lnTo>
                              <a:lnTo>
                                <a:pt x="312" y="29"/>
                              </a:lnTo>
                              <a:lnTo>
                                <a:pt x="315" y="29"/>
                              </a:lnTo>
                              <a:lnTo>
                                <a:pt x="318" y="29"/>
                              </a:lnTo>
                              <a:lnTo>
                                <a:pt x="320" y="29"/>
                              </a:lnTo>
                              <a:lnTo>
                                <a:pt x="323" y="29"/>
                              </a:lnTo>
                              <a:lnTo>
                                <a:pt x="324" y="29"/>
                              </a:lnTo>
                              <a:lnTo>
                                <a:pt x="326" y="29"/>
                              </a:lnTo>
                              <a:lnTo>
                                <a:pt x="327" y="29"/>
                              </a:lnTo>
                              <a:lnTo>
                                <a:pt x="329" y="29"/>
                              </a:lnTo>
                              <a:lnTo>
                                <a:pt x="330" y="29"/>
                              </a:lnTo>
                              <a:lnTo>
                                <a:pt x="332" y="29"/>
                              </a:lnTo>
                              <a:lnTo>
                                <a:pt x="334" y="29"/>
                              </a:lnTo>
                              <a:lnTo>
                                <a:pt x="336" y="29"/>
                              </a:lnTo>
                              <a:lnTo>
                                <a:pt x="338" y="29"/>
                              </a:lnTo>
                              <a:lnTo>
                                <a:pt x="341" y="29"/>
                              </a:lnTo>
                              <a:lnTo>
                                <a:pt x="345" y="29"/>
                              </a:lnTo>
                              <a:lnTo>
                                <a:pt x="351" y="29"/>
                              </a:lnTo>
                              <a:lnTo>
                                <a:pt x="356" y="29"/>
                              </a:lnTo>
                              <a:lnTo>
                                <a:pt x="360" y="29"/>
                              </a:lnTo>
                              <a:lnTo>
                                <a:pt x="362" y="29"/>
                              </a:lnTo>
                              <a:lnTo>
                                <a:pt x="365" y="29"/>
                              </a:lnTo>
                              <a:lnTo>
                                <a:pt x="367" y="29"/>
                              </a:lnTo>
                              <a:lnTo>
                                <a:pt x="370" y="29"/>
                              </a:lnTo>
                              <a:lnTo>
                                <a:pt x="372" y="29"/>
                              </a:lnTo>
                              <a:lnTo>
                                <a:pt x="374" y="29"/>
                              </a:lnTo>
                              <a:lnTo>
                                <a:pt x="377" y="29"/>
                              </a:lnTo>
                              <a:lnTo>
                                <a:pt x="380" y="29"/>
                              </a:lnTo>
                              <a:lnTo>
                                <a:pt x="383" y="29"/>
                              </a:lnTo>
                              <a:lnTo>
                                <a:pt x="387" y="29"/>
                              </a:lnTo>
                              <a:lnTo>
                                <a:pt x="391" y="29"/>
                              </a:lnTo>
                              <a:lnTo>
                                <a:pt x="395" y="29"/>
                              </a:lnTo>
                              <a:lnTo>
                                <a:pt x="398" y="29"/>
                              </a:lnTo>
                              <a:lnTo>
                                <a:pt x="400" y="29"/>
                              </a:lnTo>
                              <a:lnTo>
                                <a:pt x="401" y="29"/>
                              </a:lnTo>
                              <a:lnTo>
                                <a:pt x="403" y="29"/>
                              </a:lnTo>
                              <a:lnTo>
                                <a:pt x="406" y="29"/>
                              </a:lnTo>
                              <a:lnTo>
                                <a:pt x="409" y="29"/>
                              </a:lnTo>
                              <a:lnTo>
                                <a:pt x="412" y="29"/>
                              </a:lnTo>
                              <a:lnTo>
                                <a:pt x="415" y="29"/>
                              </a:lnTo>
                              <a:lnTo>
                                <a:pt x="419" y="29"/>
                              </a:lnTo>
                              <a:lnTo>
                                <a:pt x="423" y="29"/>
                              </a:lnTo>
                              <a:lnTo>
                                <a:pt x="427" y="29"/>
                              </a:lnTo>
                              <a:lnTo>
                                <a:pt x="431" y="29"/>
                              </a:lnTo>
                              <a:lnTo>
                                <a:pt x="435" y="29"/>
                              </a:lnTo>
                              <a:lnTo>
                                <a:pt x="437" y="29"/>
                              </a:lnTo>
                              <a:lnTo>
                                <a:pt x="440" y="29"/>
                              </a:lnTo>
                              <a:lnTo>
                                <a:pt x="443" y="29"/>
                              </a:lnTo>
                              <a:lnTo>
                                <a:pt x="446" y="29"/>
                              </a:lnTo>
                              <a:lnTo>
                                <a:pt x="448" y="29"/>
                              </a:lnTo>
                              <a:lnTo>
                                <a:pt x="451" y="29"/>
                              </a:lnTo>
                              <a:lnTo>
                                <a:pt x="454" y="29"/>
                              </a:lnTo>
                              <a:lnTo>
                                <a:pt x="458" y="29"/>
                              </a:lnTo>
                              <a:lnTo>
                                <a:pt x="462" y="29"/>
                              </a:lnTo>
                              <a:lnTo>
                                <a:pt x="465" y="29"/>
                              </a:lnTo>
                              <a:lnTo>
                                <a:pt x="467" y="29"/>
                              </a:lnTo>
                              <a:lnTo>
                                <a:pt x="468" y="29"/>
                              </a:lnTo>
                              <a:lnTo>
                                <a:pt x="470" y="29"/>
                              </a:lnTo>
                              <a:lnTo>
                                <a:pt x="473" y="29"/>
                              </a:lnTo>
                              <a:lnTo>
                                <a:pt x="476" y="29"/>
                              </a:lnTo>
                              <a:lnTo>
                                <a:pt x="479" y="29"/>
                              </a:lnTo>
                              <a:lnTo>
                                <a:pt x="481" y="29"/>
                              </a:lnTo>
                              <a:lnTo>
                                <a:pt x="482" y="29"/>
                              </a:lnTo>
                              <a:lnTo>
                                <a:pt x="484" y="29"/>
                              </a:lnTo>
                              <a:lnTo>
                                <a:pt x="485" y="29"/>
                              </a:lnTo>
                              <a:lnTo>
                                <a:pt x="487" y="29"/>
                              </a:lnTo>
                              <a:lnTo>
                                <a:pt x="488" y="29"/>
                              </a:lnTo>
                              <a:lnTo>
                                <a:pt x="489" y="29"/>
                              </a:lnTo>
                              <a:lnTo>
                                <a:pt x="491" y="29"/>
                              </a:lnTo>
                              <a:lnTo>
                                <a:pt x="492" y="29"/>
                              </a:lnTo>
                              <a:lnTo>
                                <a:pt x="493" y="29"/>
                              </a:lnTo>
                              <a:lnTo>
                                <a:pt x="494" y="29"/>
                              </a:lnTo>
                              <a:lnTo>
                                <a:pt x="495" y="29"/>
                              </a:lnTo>
                              <a:lnTo>
                                <a:pt x="496" y="29"/>
                              </a:lnTo>
                              <a:lnTo>
                                <a:pt x="497" y="29"/>
                              </a:lnTo>
                              <a:lnTo>
                                <a:pt x="498" y="28"/>
                              </a:lnTo>
                              <a:lnTo>
                                <a:pt x="498" y="28"/>
                              </a:lnTo>
                              <a:lnTo>
                                <a:pt x="499" y="28"/>
                              </a:lnTo>
                              <a:lnTo>
                                <a:pt x="499" y="28"/>
                              </a:lnTo>
                              <a:lnTo>
                                <a:pt x="500" y="28"/>
                              </a:lnTo>
                              <a:lnTo>
                                <a:pt x="500" y="28"/>
                              </a:lnTo>
                              <a:lnTo>
                                <a:pt x="500" y="28"/>
                              </a:lnTo>
                              <a:lnTo>
                                <a:pt x="501" y="28"/>
                              </a:lnTo>
                              <a:lnTo>
                                <a:pt x="501" y="28"/>
                              </a:lnTo>
                              <a:lnTo>
                                <a:pt x="501" y="28"/>
                              </a:lnTo>
                              <a:lnTo>
                                <a:pt x="502" y="28"/>
                              </a:lnTo>
                              <a:lnTo>
                                <a:pt x="502" y="28"/>
                              </a:lnTo>
                              <a:lnTo>
                                <a:pt x="503" y="28"/>
                              </a:lnTo>
                              <a:lnTo>
                                <a:pt x="504" y="28"/>
                              </a:lnTo>
                              <a:lnTo>
                                <a:pt x="505" y="28"/>
                              </a:lnTo>
                              <a:lnTo>
                                <a:pt x="506" y="28"/>
                              </a:lnTo>
                              <a:lnTo>
                                <a:pt x="506" y="28"/>
                              </a:lnTo>
                              <a:lnTo>
                                <a:pt x="507" y="27"/>
                              </a:lnTo>
                              <a:lnTo>
                                <a:pt x="508" y="27"/>
                              </a:lnTo>
                              <a:lnTo>
                                <a:pt x="509" y="27"/>
                              </a:lnTo>
                              <a:lnTo>
                                <a:pt x="510" y="27"/>
                              </a:lnTo>
                              <a:lnTo>
                                <a:pt x="511" y="27"/>
                              </a:lnTo>
                              <a:lnTo>
                                <a:pt x="511" y="27"/>
                              </a:lnTo>
                              <a:lnTo>
                                <a:pt x="512" y="27"/>
                              </a:lnTo>
                              <a:lnTo>
                                <a:pt x="513" y="27"/>
                              </a:lnTo>
                              <a:lnTo>
                                <a:pt x="514" y="27"/>
                              </a:lnTo>
                              <a:lnTo>
                                <a:pt x="515" y="26"/>
                              </a:lnTo>
                              <a:lnTo>
                                <a:pt x="515" y="26"/>
                              </a:lnTo>
                              <a:lnTo>
                                <a:pt x="516" y="26"/>
                              </a:lnTo>
                              <a:lnTo>
                                <a:pt x="517" y="26"/>
                              </a:lnTo>
                              <a:lnTo>
                                <a:pt x="518" y="26"/>
                              </a:lnTo>
                              <a:lnTo>
                                <a:pt x="518" y="26"/>
                              </a:lnTo>
                              <a:lnTo>
                                <a:pt x="519" y="25"/>
                              </a:lnTo>
                              <a:lnTo>
                                <a:pt x="520" y="25"/>
                              </a:lnTo>
                              <a:lnTo>
                                <a:pt x="521" y="25"/>
                              </a:lnTo>
                              <a:lnTo>
                                <a:pt x="521" y="25"/>
                              </a:lnTo>
                              <a:lnTo>
                                <a:pt x="522" y="25"/>
                              </a:lnTo>
                              <a:lnTo>
                                <a:pt x="523" y="24"/>
                              </a:lnTo>
                              <a:lnTo>
                                <a:pt x="523" y="24"/>
                              </a:lnTo>
                              <a:lnTo>
                                <a:pt x="524" y="24"/>
                              </a:lnTo>
                              <a:lnTo>
                                <a:pt x="525" y="24"/>
                              </a:lnTo>
                              <a:lnTo>
                                <a:pt x="526" y="24"/>
                              </a:lnTo>
                              <a:lnTo>
                                <a:pt x="526" y="24"/>
                              </a:lnTo>
                              <a:lnTo>
                                <a:pt x="527" y="23"/>
                              </a:lnTo>
                              <a:lnTo>
                                <a:pt x="528" y="23"/>
                              </a:lnTo>
                              <a:lnTo>
                                <a:pt x="528" y="23"/>
                              </a:lnTo>
                              <a:lnTo>
                                <a:pt x="529" y="22"/>
                              </a:lnTo>
                              <a:lnTo>
                                <a:pt x="530" y="22"/>
                              </a:lnTo>
                              <a:lnTo>
                                <a:pt x="530" y="22"/>
                              </a:lnTo>
                              <a:lnTo>
                                <a:pt x="531" y="22"/>
                              </a:lnTo>
                              <a:lnTo>
                                <a:pt x="532" y="21"/>
                              </a:lnTo>
                              <a:lnTo>
                                <a:pt x="532" y="21"/>
                              </a:lnTo>
                              <a:lnTo>
                                <a:pt x="533" y="21"/>
                              </a:lnTo>
                              <a:lnTo>
                                <a:pt x="533" y="21"/>
                              </a:lnTo>
                              <a:lnTo>
                                <a:pt x="533" y="21"/>
                              </a:lnTo>
                              <a:lnTo>
                                <a:pt x="533" y="21"/>
                              </a:lnTo>
                              <a:lnTo>
                                <a:pt x="534" y="21"/>
                              </a:lnTo>
                              <a:lnTo>
                                <a:pt x="534" y="20"/>
                              </a:lnTo>
                              <a:lnTo>
                                <a:pt x="534" y="20"/>
                              </a:lnTo>
                              <a:lnTo>
                                <a:pt x="535" y="20"/>
                              </a:lnTo>
                              <a:lnTo>
                                <a:pt x="535" y="20"/>
                              </a:lnTo>
                              <a:lnTo>
                                <a:pt x="535" y="20"/>
                              </a:lnTo>
                              <a:lnTo>
                                <a:pt x="535" y="20"/>
                              </a:lnTo>
                              <a:lnTo>
                                <a:pt x="535" y="20"/>
                              </a:lnTo>
                              <a:lnTo>
                                <a:pt x="535" y="20"/>
                              </a:lnTo>
                              <a:lnTo>
                                <a:pt x="536" y="20"/>
                              </a:lnTo>
                              <a:lnTo>
                                <a:pt x="536" y="20"/>
                              </a:lnTo>
                              <a:lnTo>
                                <a:pt x="536" y="19"/>
                              </a:lnTo>
                              <a:lnTo>
                                <a:pt x="536" y="19"/>
                              </a:lnTo>
                              <a:lnTo>
                                <a:pt x="536" y="19"/>
                              </a:lnTo>
                              <a:lnTo>
                                <a:pt x="537" y="19"/>
                              </a:lnTo>
                              <a:lnTo>
                                <a:pt x="538" y="18"/>
                              </a:lnTo>
                              <a:lnTo>
                                <a:pt x="539" y="18"/>
                              </a:lnTo>
                              <a:lnTo>
                                <a:pt x="540" y="17"/>
                              </a:lnTo>
                              <a:lnTo>
                                <a:pt x="542" y="16"/>
                              </a:lnTo>
                              <a:lnTo>
                                <a:pt x="544" y="15"/>
                              </a:lnTo>
                              <a:lnTo>
                                <a:pt x="546" y="14"/>
                              </a:lnTo>
                              <a:lnTo>
                                <a:pt x="549" y="12"/>
                              </a:lnTo>
                              <a:lnTo>
                                <a:pt x="552" y="11"/>
                              </a:lnTo>
                              <a:lnTo>
                                <a:pt x="553" y="10"/>
                              </a:lnTo>
                              <a:lnTo>
                                <a:pt x="555" y="9"/>
                              </a:lnTo>
                              <a:lnTo>
                                <a:pt x="556" y="9"/>
                              </a:lnTo>
                              <a:lnTo>
                                <a:pt x="558" y="8"/>
                              </a:lnTo>
                              <a:lnTo>
                                <a:pt x="559" y="7"/>
                              </a:lnTo>
                              <a:lnTo>
                                <a:pt x="560" y="7"/>
                              </a:lnTo>
                              <a:lnTo>
                                <a:pt x="562" y="6"/>
                              </a:lnTo>
                              <a:lnTo>
                                <a:pt x="563" y="6"/>
                              </a:lnTo>
                              <a:lnTo>
                                <a:pt x="564" y="5"/>
                              </a:lnTo>
                              <a:lnTo>
                                <a:pt x="565" y="4"/>
                              </a:lnTo>
                              <a:lnTo>
                                <a:pt x="567" y="4"/>
                              </a:lnTo>
                              <a:lnTo>
                                <a:pt x="568" y="3"/>
                              </a:lnTo>
                              <a:lnTo>
                                <a:pt x="570" y="3"/>
                              </a:lnTo>
                              <a:lnTo>
                                <a:pt x="571" y="2"/>
                              </a:lnTo>
                              <a:lnTo>
                                <a:pt x="572" y="2"/>
                              </a:lnTo>
                              <a:lnTo>
                                <a:pt x="573" y="2"/>
                              </a:lnTo>
                              <a:lnTo>
                                <a:pt x="574" y="1"/>
                              </a:lnTo>
                              <a:lnTo>
                                <a:pt x="575" y="1"/>
                              </a:lnTo>
                              <a:lnTo>
                                <a:pt x="576" y="1"/>
                              </a:lnTo>
                              <a:lnTo>
                                <a:pt x="577" y="1"/>
                              </a:lnTo>
                              <a:lnTo>
                                <a:pt x="579" y="0"/>
                              </a:lnTo>
                              <a:lnTo>
                                <a:pt x="580" y="0"/>
                              </a:lnTo>
                              <a:lnTo>
                                <a:pt x="581" y="0"/>
                              </a:lnTo>
                              <a:lnTo>
                                <a:pt x="582" y="0"/>
                              </a:lnTo>
                              <a:lnTo>
                                <a:pt x="584" y="0"/>
                              </a:lnTo>
                              <a:lnTo>
                                <a:pt x="585" y="0"/>
                              </a:lnTo>
                              <a:lnTo>
                                <a:pt x="586" y="0"/>
                              </a:lnTo>
                              <a:lnTo>
                                <a:pt x="587" y="0"/>
                              </a:lnTo>
                              <a:lnTo>
                                <a:pt x="589" y="0"/>
                              </a:lnTo>
                              <a:lnTo>
                                <a:pt x="590" y="0"/>
                              </a:lnTo>
                              <a:lnTo>
                                <a:pt x="591" y="0"/>
                              </a:lnTo>
                              <a:lnTo>
                                <a:pt x="592" y="0"/>
                              </a:lnTo>
                              <a:lnTo>
                                <a:pt x="593" y="0"/>
                              </a:lnTo>
                              <a:lnTo>
                                <a:pt x="595" y="1"/>
                              </a:lnTo>
                              <a:lnTo>
                                <a:pt x="596" y="1"/>
                              </a:lnTo>
                              <a:lnTo>
                                <a:pt x="597" y="1"/>
                              </a:lnTo>
                              <a:lnTo>
                                <a:pt x="599" y="2"/>
                              </a:lnTo>
                              <a:lnTo>
                                <a:pt x="600" y="2"/>
                              </a:lnTo>
                              <a:lnTo>
                                <a:pt x="601" y="2"/>
                              </a:lnTo>
                              <a:lnTo>
                                <a:pt x="602" y="3"/>
                              </a:lnTo>
                              <a:lnTo>
                                <a:pt x="603" y="3"/>
                              </a:lnTo>
                              <a:lnTo>
                                <a:pt x="604" y="3"/>
                              </a:lnTo>
                              <a:lnTo>
                                <a:pt x="605" y="3"/>
                              </a:lnTo>
                              <a:lnTo>
                                <a:pt x="605" y="4"/>
                              </a:lnTo>
                              <a:lnTo>
                                <a:pt x="606" y="4"/>
                              </a:lnTo>
                              <a:lnTo>
                                <a:pt x="607" y="4"/>
                              </a:lnTo>
                              <a:lnTo>
                                <a:pt x="607" y="4"/>
                              </a:lnTo>
                              <a:lnTo>
                                <a:pt x="608" y="5"/>
                              </a:lnTo>
                              <a:lnTo>
                                <a:pt x="610" y="5"/>
                              </a:lnTo>
                              <a:lnTo>
                                <a:pt x="611" y="6"/>
                              </a:lnTo>
                              <a:lnTo>
                                <a:pt x="612" y="6"/>
                              </a:lnTo>
                              <a:lnTo>
                                <a:pt x="614" y="7"/>
                              </a:lnTo>
                              <a:lnTo>
                                <a:pt x="615" y="7"/>
                              </a:lnTo>
                              <a:lnTo>
                                <a:pt x="617" y="8"/>
                              </a:lnTo>
                              <a:lnTo>
                                <a:pt x="619" y="9"/>
                              </a:lnTo>
                              <a:lnTo>
                                <a:pt x="622" y="10"/>
                              </a:lnTo>
                              <a:lnTo>
                                <a:pt x="625" y="12"/>
                              </a:lnTo>
                              <a:lnTo>
                                <a:pt x="628" y="13"/>
                              </a:lnTo>
                              <a:lnTo>
                                <a:pt x="631" y="14"/>
                              </a:lnTo>
                              <a:lnTo>
                                <a:pt x="634" y="15"/>
                              </a:lnTo>
                              <a:lnTo>
                                <a:pt x="636" y="16"/>
                              </a:lnTo>
                              <a:lnTo>
                                <a:pt x="637" y="17"/>
                              </a:lnTo>
                              <a:lnTo>
                                <a:pt x="638" y="17"/>
                              </a:lnTo>
                              <a:lnTo>
                                <a:pt x="639" y="17"/>
                              </a:lnTo>
                              <a:lnTo>
                                <a:pt x="639" y="17"/>
                              </a:lnTo>
                              <a:lnTo>
                                <a:pt x="640" y="18"/>
                              </a:lnTo>
                              <a:lnTo>
                                <a:pt x="640" y="18"/>
                              </a:lnTo>
                              <a:lnTo>
                                <a:pt x="641" y="18"/>
                              </a:lnTo>
                              <a:lnTo>
                                <a:pt x="641" y="18"/>
                              </a:lnTo>
                              <a:lnTo>
                                <a:pt x="641" y="18"/>
                              </a:lnTo>
                              <a:lnTo>
                                <a:pt x="642" y="18"/>
                              </a:lnTo>
                              <a:lnTo>
                                <a:pt x="642" y="19"/>
                              </a:lnTo>
                              <a:lnTo>
                                <a:pt x="643" y="19"/>
                              </a:lnTo>
                              <a:lnTo>
                                <a:pt x="645" y="19"/>
                              </a:lnTo>
                              <a:lnTo>
                                <a:pt x="645" y="20"/>
                              </a:lnTo>
                              <a:lnTo>
                                <a:pt x="647" y="20"/>
                              </a:lnTo>
                              <a:lnTo>
                                <a:pt x="648" y="21"/>
                              </a:lnTo>
                              <a:lnTo>
                                <a:pt x="649" y="21"/>
                              </a:lnTo>
                              <a:lnTo>
                                <a:pt x="650" y="21"/>
                              </a:lnTo>
                              <a:lnTo>
                                <a:pt x="651" y="22"/>
                              </a:lnTo>
                              <a:lnTo>
                                <a:pt x="652" y="22"/>
                              </a:lnTo>
                              <a:lnTo>
                                <a:pt x="653" y="22"/>
                              </a:lnTo>
                              <a:lnTo>
                                <a:pt x="654" y="23"/>
                              </a:lnTo>
                              <a:lnTo>
                                <a:pt x="655" y="23"/>
                              </a:lnTo>
                              <a:lnTo>
                                <a:pt x="657" y="24"/>
                              </a:lnTo>
                              <a:lnTo>
                                <a:pt x="658" y="24"/>
                              </a:lnTo>
                              <a:lnTo>
                                <a:pt x="659" y="24"/>
                              </a:lnTo>
                              <a:lnTo>
                                <a:pt x="660" y="24"/>
                              </a:lnTo>
                              <a:lnTo>
                                <a:pt x="661" y="25"/>
                              </a:lnTo>
                              <a:lnTo>
                                <a:pt x="662" y="25"/>
                              </a:lnTo>
                              <a:lnTo>
                                <a:pt x="663" y="25"/>
                              </a:lnTo>
                              <a:lnTo>
                                <a:pt x="665" y="26"/>
                              </a:lnTo>
                              <a:lnTo>
                                <a:pt x="666" y="26"/>
                              </a:lnTo>
                              <a:lnTo>
                                <a:pt x="667" y="26"/>
                              </a:lnTo>
                              <a:lnTo>
                                <a:pt x="668" y="27"/>
                              </a:lnTo>
                              <a:lnTo>
                                <a:pt x="669" y="27"/>
                              </a:lnTo>
                              <a:lnTo>
                                <a:pt x="670" y="27"/>
                              </a:lnTo>
                              <a:lnTo>
                                <a:pt x="671" y="27"/>
                              </a:lnTo>
                              <a:lnTo>
                                <a:pt x="672" y="27"/>
                              </a:lnTo>
                              <a:lnTo>
                                <a:pt x="673" y="28"/>
                              </a:lnTo>
                              <a:lnTo>
                                <a:pt x="673" y="28"/>
                              </a:lnTo>
                              <a:lnTo>
                                <a:pt x="674" y="28"/>
                              </a:lnTo>
                              <a:lnTo>
                                <a:pt x="675" y="28"/>
                              </a:lnTo>
                              <a:lnTo>
                                <a:pt x="675" y="28"/>
                              </a:lnTo>
                              <a:lnTo>
                                <a:pt x="675" y="28"/>
                              </a:lnTo>
                              <a:lnTo>
                                <a:pt x="676" y="28"/>
                              </a:lnTo>
                              <a:lnTo>
                                <a:pt x="676" y="28"/>
                              </a:lnTo>
                              <a:lnTo>
                                <a:pt x="676" y="28"/>
                              </a:lnTo>
                              <a:lnTo>
                                <a:pt x="677" y="28"/>
                              </a:lnTo>
                              <a:lnTo>
                                <a:pt x="677" y="29"/>
                              </a:lnTo>
                              <a:lnTo>
                                <a:pt x="678" y="29"/>
                              </a:lnTo>
                              <a:lnTo>
                                <a:pt x="679" y="29"/>
                              </a:lnTo>
                              <a:lnTo>
                                <a:pt x="680" y="29"/>
                              </a:lnTo>
                              <a:lnTo>
                                <a:pt x="681" y="29"/>
                              </a:lnTo>
                              <a:lnTo>
                                <a:pt x="682" y="30"/>
                              </a:lnTo>
                              <a:lnTo>
                                <a:pt x="683" y="30"/>
                              </a:lnTo>
                              <a:lnTo>
                                <a:pt x="684" y="30"/>
                              </a:lnTo>
                              <a:lnTo>
                                <a:pt x="685" y="30"/>
                              </a:lnTo>
                              <a:lnTo>
                                <a:pt x="686" y="30"/>
                              </a:lnTo>
                              <a:lnTo>
                                <a:pt x="687" y="30"/>
                              </a:lnTo>
                              <a:lnTo>
                                <a:pt x="689" y="31"/>
                              </a:lnTo>
                              <a:lnTo>
                                <a:pt x="690" y="31"/>
                              </a:lnTo>
                              <a:lnTo>
                                <a:pt x="691" y="31"/>
                              </a:lnTo>
                              <a:lnTo>
                                <a:pt x="692" y="31"/>
                              </a:lnTo>
                              <a:lnTo>
                                <a:pt x="693" y="31"/>
                              </a:lnTo>
                              <a:lnTo>
                                <a:pt x="695" y="31"/>
                              </a:lnTo>
                              <a:lnTo>
                                <a:pt x="696" y="32"/>
                              </a:lnTo>
                              <a:lnTo>
                                <a:pt x="698" y="32"/>
                              </a:lnTo>
                              <a:lnTo>
                                <a:pt x="699" y="32"/>
                              </a:lnTo>
                              <a:lnTo>
                                <a:pt x="700" y="32"/>
                              </a:lnTo>
                              <a:lnTo>
                                <a:pt x="702" y="32"/>
                              </a:lnTo>
                              <a:lnTo>
                                <a:pt x="703" y="33"/>
                              </a:lnTo>
                              <a:lnTo>
                                <a:pt x="704" y="33"/>
                              </a:lnTo>
                              <a:lnTo>
                                <a:pt x="705" y="33"/>
                              </a:lnTo>
                              <a:lnTo>
                                <a:pt x="707" y="33"/>
                              </a:lnTo>
                              <a:lnTo>
                                <a:pt x="708" y="33"/>
                              </a:lnTo>
                              <a:lnTo>
                                <a:pt x="708" y="33"/>
                              </a:lnTo>
                              <a:lnTo>
                                <a:pt x="709" y="33"/>
                              </a:lnTo>
                              <a:lnTo>
                                <a:pt x="710" y="33"/>
                              </a:lnTo>
                              <a:lnTo>
                                <a:pt x="710" y="33"/>
                              </a:lnTo>
                              <a:lnTo>
                                <a:pt x="711" y="33"/>
                              </a:lnTo>
                              <a:lnTo>
                                <a:pt x="711" y="33"/>
                              </a:lnTo>
                              <a:lnTo>
                                <a:pt x="711" y="33"/>
                              </a:lnTo>
                              <a:lnTo>
                                <a:pt x="712" y="33"/>
                              </a:lnTo>
                              <a:lnTo>
                                <a:pt x="714" y="34"/>
                              </a:lnTo>
                              <a:lnTo>
                                <a:pt x="715" y="34"/>
                              </a:lnTo>
                              <a:lnTo>
                                <a:pt x="717" y="34"/>
                              </a:lnTo>
                              <a:lnTo>
                                <a:pt x="719" y="34"/>
                              </a:lnTo>
                              <a:lnTo>
                                <a:pt x="720" y="34"/>
                              </a:lnTo>
                              <a:lnTo>
                                <a:pt x="722" y="34"/>
                              </a:lnTo>
                              <a:lnTo>
                                <a:pt x="724" y="34"/>
                              </a:lnTo>
                              <a:lnTo>
                                <a:pt x="726" y="34"/>
                              </a:lnTo>
                              <a:lnTo>
                                <a:pt x="728" y="35"/>
                              </a:lnTo>
                              <a:lnTo>
                                <a:pt x="729" y="35"/>
                              </a:lnTo>
                              <a:lnTo>
                                <a:pt x="731" y="35"/>
                              </a:lnTo>
                              <a:lnTo>
                                <a:pt x="733" y="35"/>
                              </a:lnTo>
                              <a:lnTo>
                                <a:pt x="735" y="35"/>
                              </a:lnTo>
                              <a:lnTo>
                                <a:pt x="736" y="35"/>
                              </a:lnTo>
                              <a:lnTo>
                                <a:pt x="738" y="35"/>
                              </a:lnTo>
                              <a:lnTo>
                                <a:pt x="740" y="35"/>
                              </a:lnTo>
                              <a:lnTo>
                                <a:pt x="742" y="35"/>
                              </a:lnTo>
                              <a:lnTo>
                                <a:pt x="744" y="35"/>
                              </a:lnTo>
                              <a:lnTo>
                                <a:pt x="745" y="35"/>
                              </a:lnTo>
                              <a:lnTo>
                                <a:pt x="745" y="36"/>
                              </a:lnTo>
                              <a:lnTo>
                                <a:pt x="746" y="36"/>
                              </a:lnTo>
                              <a:lnTo>
                                <a:pt x="746" y="36"/>
                              </a:lnTo>
                              <a:lnTo>
                                <a:pt x="747" y="36"/>
                              </a:lnTo>
                              <a:lnTo>
                                <a:pt x="749" y="36"/>
                              </a:lnTo>
                              <a:lnTo>
                                <a:pt x="751" y="36"/>
                              </a:lnTo>
                              <a:lnTo>
                                <a:pt x="752" y="36"/>
                              </a:lnTo>
                              <a:lnTo>
                                <a:pt x="754" y="36"/>
                              </a:lnTo>
                              <a:lnTo>
                                <a:pt x="758" y="36"/>
                              </a:lnTo>
                              <a:lnTo>
                                <a:pt x="762" y="36"/>
                              </a:lnTo>
                              <a:lnTo>
                                <a:pt x="766" y="36"/>
                              </a:lnTo>
                              <a:lnTo>
                                <a:pt x="769" y="36"/>
                              </a:lnTo>
                              <a:lnTo>
                                <a:pt x="772" y="36"/>
                              </a:lnTo>
                              <a:lnTo>
                                <a:pt x="774" y="36"/>
                              </a:lnTo>
                              <a:lnTo>
                                <a:pt x="777" y="36"/>
                              </a:lnTo>
                              <a:lnTo>
                                <a:pt x="779" y="36"/>
                              </a:lnTo>
                              <a:lnTo>
                                <a:pt x="780" y="36"/>
                              </a:lnTo>
                              <a:lnTo>
                                <a:pt x="781" y="36"/>
                              </a:lnTo>
                              <a:lnTo>
                                <a:pt x="783" y="37"/>
                              </a:lnTo>
                              <a:lnTo>
                                <a:pt x="785" y="37"/>
                              </a:lnTo>
                              <a:lnTo>
                                <a:pt x="788" y="37"/>
                              </a:lnTo>
                              <a:lnTo>
                                <a:pt x="792" y="37"/>
                              </a:lnTo>
                              <a:lnTo>
                                <a:pt x="796" y="37"/>
                              </a:lnTo>
                              <a:lnTo>
                                <a:pt x="799" y="37"/>
                              </a:lnTo>
                              <a:lnTo>
                                <a:pt x="804" y="37"/>
                              </a:lnTo>
                              <a:lnTo>
                                <a:pt x="809" y="37"/>
                              </a:lnTo>
                              <a:lnTo>
                                <a:pt x="812" y="37"/>
                              </a:lnTo>
                              <a:lnTo>
                                <a:pt x="815" y="37"/>
                              </a:lnTo>
                              <a:lnTo>
                                <a:pt x="816" y="37"/>
                              </a:lnTo>
                              <a:lnTo>
                                <a:pt x="818" y="37"/>
                              </a:lnTo>
                              <a:lnTo>
                                <a:pt x="820" y="37"/>
                              </a:lnTo>
                              <a:lnTo>
                                <a:pt x="823" y="37"/>
                              </a:lnTo>
                              <a:lnTo>
                                <a:pt x="826" y="37"/>
                              </a:lnTo>
                              <a:lnTo>
                                <a:pt x="828" y="37"/>
                              </a:lnTo>
                              <a:lnTo>
                                <a:pt x="831" y="37"/>
                              </a:lnTo>
                              <a:lnTo>
                                <a:pt x="835" y="37"/>
                              </a:lnTo>
                              <a:lnTo>
                                <a:pt x="839" y="37"/>
                              </a:lnTo>
                              <a:lnTo>
                                <a:pt x="842" y="37"/>
                              </a:lnTo>
                              <a:lnTo>
                                <a:pt x="846" y="37"/>
                              </a:lnTo>
                              <a:lnTo>
                                <a:pt x="849" y="37"/>
                              </a:lnTo>
                              <a:lnTo>
                                <a:pt x="852" y="37"/>
                              </a:lnTo>
                              <a:lnTo>
                                <a:pt x="854" y="37"/>
                              </a:lnTo>
                              <a:lnTo>
                                <a:pt x="858" y="37"/>
                              </a:lnTo>
                              <a:lnTo>
                                <a:pt x="861" y="37"/>
                              </a:lnTo>
                              <a:lnTo>
                                <a:pt x="864" y="37"/>
                              </a:lnTo>
                              <a:lnTo>
                                <a:pt x="868" y="37"/>
                              </a:lnTo>
                              <a:lnTo>
                                <a:pt x="871" y="37"/>
                              </a:lnTo>
                              <a:lnTo>
                                <a:pt x="876" y="37"/>
                              </a:lnTo>
                              <a:lnTo>
                                <a:pt x="882" y="37"/>
                              </a:lnTo>
                              <a:lnTo>
                                <a:pt x="887" y="38"/>
                              </a:lnTo>
                              <a:lnTo>
                                <a:pt x="891" y="38"/>
                              </a:lnTo>
                              <a:lnTo>
                                <a:pt x="895" y="38"/>
                              </a:lnTo>
                              <a:lnTo>
                                <a:pt x="898" y="38"/>
                              </a:lnTo>
                              <a:lnTo>
                                <a:pt x="902" y="38"/>
                              </a:lnTo>
                              <a:lnTo>
                                <a:pt x="906" y="38"/>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1347" name="Freeform 171"/>
                        <a:cNvSpPr>
                          <a:spLocks/>
                        </a:cNvSpPr>
                      </a:nvSpPr>
                      <a:spPr bwMode="auto">
                        <a:xfrm>
                          <a:off x="8450248" y="7577896"/>
                          <a:ext cx="145778" cy="1881"/>
                        </a:xfrm>
                        <a:custGeom>
                          <a:avLst/>
                          <a:gdLst/>
                          <a:ahLst/>
                          <a:cxnLst>
                            <a:cxn ang="0">
                              <a:pos x="0" y="0"/>
                            </a:cxn>
                            <a:cxn ang="0">
                              <a:pos x="4" y="0"/>
                            </a:cxn>
                            <a:cxn ang="0">
                              <a:pos x="9" y="0"/>
                            </a:cxn>
                            <a:cxn ang="0">
                              <a:pos x="13" y="0"/>
                            </a:cxn>
                            <a:cxn ang="0">
                              <a:pos x="16" y="0"/>
                            </a:cxn>
                            <a:cxn ang="0">
                              <a:pos x="18" y="0"/>
                            </a:cxn>
                            <a:cxn ang="0">
                              <a:pos x="20" y="0"/>
                            </a:cxn>
                            <a:cxn ang="0">
                              <a:pos x="22" y="0"/>
                            </a:cxn>
                            <a:cxn ang="0">
                              <a:pos x="25" y="0"/>
                            </a:cxn>
                            <a:cxn ang="0">
                              <a:pos x="28" y="0"/>
                            </a:cxn>
                            <a:cxn ang="0">
                              <a:pos x="30" y="0"/>
                            </a:cxn>
                            <a:cxn ang="0">
                              <a:pos x="34" y="0"/>
                            </a:cxn>
                            <a:cxn ang="0">
                              <a:pos x="38" y="0"/>
                            </a:cxn>
                            <a:cxn ang="0">
                              <a:pos x="44" y="0"/>
                            </a:cxn>
                            <a:cxn ang="0">
                              <a:pos x="49" y="0"/>
                            </a:cxn>
                            <a:cxn ang="0">
                              <a:pos x="53" y="0"/>
                            </a:cxn>
                            <a:cxn ang="0">
                              <a:pos x="56" y="0"/>
                            </a:cxn>
                            <a:cxn ang="0">
                              <a:pos x="58" y="0"/>
                            </a:cxn>
                            <a:cxn ang="0">
                              <a:pos x="60" y="0"/>
                            </a:cxn>
                            <a:cxn ang="0">
                              <a:pos x="62" y="0"/>
                            </a:cxn>
                            <a:cxn ang="0">
                              <a:pos x="64" y="0"/>
                            </a:cxn>
                            <a:cxn ang="0">
                              <a:pos x="65" y="0"/>
                            </a:cxn>
                            <a:cxn ang="0">
                              <a:pos x="67" y="0"/>
                            </a:cxn>
                            <a:cxn ang="0">
                              <a:pos x="69" y="0"/>
                            </a:cxn>
                            <a:cxn ang="0">
                              <a:pos x="71" y="0"/>
                            </a:cxn>
                            <a:cxn ang="0">
                              <a:pos x="72" y="0"/>
                            </a:cxn>
                            <a:cxn ang="0">
                              <a:pos x="74" y="0"/>
                            </a:cxn>
                            <a:cxn ang="0">
                              <a:pos x="76" y="0"/>
                            </a:cxn>
                            <a:cxn ang="0">
                              <a:pos x="78" y="0"/>
                            </a:cxn>
                            <a:cxn ang="0">
                              <a:pos x="79" y="0"/>
                            </a:cxn>
                            <a:cxn ang="0">
                              <a:pos x="81" y="0"/>
                            </a:cxn>
                            <a:cxn ang="0">
                              <a:pos x="83" y="0"/>
                            </a:cxn>
                            <a:cxn ang="0">
                              <a:pos x="85" y="0"/>
                            </a:cxn>
                            <a:cxn ang="0">
                              <a:pos x="86" y="0"/>
                            </a:cxn>
                          </a:cxnLst>
                          <a:rect l="0" t="0" r="r" b="b"/>
                          <a:pathLst>
                            <a:path w="86">
                              <a:moveTo>
                                <a:pt x="0" y="0"/>
                              </a:moveTo>
                              <a:lnTo>
                                <a:pt x="4" y="0"/>
                              </a:lnTo>
                              <a:lnTo>
                                <a:pt x="9" y="0"/>
                              </a:lnTo>
                              <a:lnTo>
                                <a:pt x="13" y="0"/>
                              </a:lnTo>
                              <a:lnTo>
                                <a:pt x="16" y="0"/>
                              </a:lnTo>
                              <a:lnTo>
                                <a:pt x="18" y="0"/>
                              </a:lnTo>
                              <a:lnTo>
                                <a:pt x="20" y="0"/>
                              </a:lnTo>
                              <a:lnTo>
                                <a:pt x="22" y="0"/>
                              </a:lnTo>
                              <a:lnTo>
                                <a:pt x="25" y="0"/>
                              </a:lnTo>
                              <a:lnTo>
                                <a:pt x="28" y="0"/>
                              </a:lnTo>
                              <a:lnTo>
                                <a:pt x="30" y="0"/>
                              </a:lnTo>
                              <a:lnTo>
                                <a:pt x="34" y="0"/>
                              </a:lnTo>
                              <a:lnTo>
                                <a:pt x="38" y="0"/>
                              </a:lnTo>
                              <a:lnTo>
                                <a:pt x="44" y="0"/>
                              </a:lnTo>
                              <a:lnTo>
                                <a:pt x="49" y="0"/>
                              </a:lnTo>
                              <a:lnTo>
                                <a:pt x="53" y="0"/>
                              </a:lnTo>
                              <a:lnTo>
                                <a:pt x="56" y="0"/>
                              </a:lnTo>
                              <a:lnTo>
                                <a:pt x="58" y="0"/>
                              </a:lnTo>
                              <a:lnTo>
                                <a:pt x="60" y="0"/>
                              </a:lnTo>
                              <a:lnTo>
                                <a:pt x="62" y="0"/>
                              </a:lnTo>
                              <a:lnTo>
                                <a:pt x="64" y="0"/>
                              </a:lnTo>
                              <a:lnTo>
                                <a:pt x="65" y="0"/>
                              </a:lnTo>
                              <a:lnTo>
                                <a:pt x="67" y="0"/>
                              </a:lnTo>
                              <a:lnTo>
                                <a:pt x="69" y="0"/>
                              </a:lnTo>
                              <a:lnTo>
                                <a:pt x="71" y="0"/>
                              </a:lnTo>
                              <a:lnTo>
                                <a:pt x="72" y="0"/>
                              </a:lnTo>
                              <a:lnTo>
                                <a:pt x="74" y="0"/>
                              </a:lnTo>
                              <a:lnTo>
                                <a:pt x="76" y="0"/>
                              </a:lnTo>
                              <a:lnTo>
                                <a:pt x="78" y="0"/>
                              </a:lnTo>
                              <a:lnTo>
                                <a:pt x="79" y="0"/>
                              </a:lnTo>
                              <a:lnTo>
                                <a:pt x="81" y="0"/>
                              </a:lnTo>
                              <a:lnTo>
                                <a:pt x="83" y="0"/>
                              </a:lnTo>
                              <a:lnTo>
                                <a:pt x="85" y="0"/>
                              </a:lnTo>
                              <a:lnTo>
                                <a:pt x="86" y="0"/>
                              </a:lnTo>
                            </a:path>
                          </a:pathLst>
                        </a:custGeom>
                        <a:noFill/>
                        <a:ln w="3175">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495" name="Rectangle 6"/>
                        <a:cNvSpPr>
                          <a:spLocks noChangeArrowheads="1"/>
                        </a:cNvSpPr>
                      </a:nvSpPr>
                      <a:spPr bwMode="auto">
                        <a:xfrm>
                          <a:off x="1447800" y="7509071"/>
                          <a:ext cx="146732" cy="146855"/>
                        </a:xfrm>
                        <a:prstGeom prst="rect">
                          <a:avLst/>
                        </a:prstGeom>
                        <a:noFill/>
                        <a:ln w="9525">
                          <a:noFill/>
                          <a:miter lim="800000"/>
                          <a:headEnd/>
                          <a:tailEnd/>
                        </a:ln>
                      </a:spPr>
                      <a:txSp>
                        <a:txBody>
                          <a:bodyPr vert="horz"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500" name="TextBox 499"/>
                        <a:cNvSpPr txBox="1"/>
                      </a:nvSpPr>
                      <a:spPr>
                        <a:xfrm>
                          <a:off x="2971800" y="6187379"/>
                          <a:ext cx="1166663" cy="237262"/>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Unmodified ssRNA</a:t>
                            </a:r>
                            <a:endParaRPr lang="en-GB" sz="1000" dirty="0"/>
                          </a:p>
                        </a:txBody>
                        <a:useSpRect/>
                      </a:txSp>
                    </a:sp>
                    <a:cxnSp>
                      <a:nvCxnSpPr>
                        <a:cNvPr id="501" name="Straight Arrow Connector 500"/>
                        <a:cNvCxnSpPr>
                          <a:stCxn id="500" idx="2"/>
                        </a:cNvCxnSpPr>
                      </a:nvCxnSpPr>
                      <a:spPr>
                        <a:xfrm>
                          <a:off x="3555132" y="6424641"/>
                          <a:ext cx="559668" cy="423584"/>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02" name="TextBox 501"/>
                        <a:cNvSpPr txBox="1"/>
                      </a:nvSpPr>
                      <a:spPr>
                        <a:xfrm>
                          <a:off x="4114801" y="6187379"/>
                          <a:ext cx="914400" cy="237262"/>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1PS ssRNA</a:t>
                            </a:r>
                            <a:endParaRPr lang="en-GB" sz="1000" dirty="0"/>
                          </a:p>
                        </a:txBody>
                        <a:useSpRect/>
                      </a:txSp>
                    </a:sp>
                    <a:cxnSp>
                      <a:nvCxnSpPr>
                        <a:cNvPr id="503" name="Straight Arrow Connector 502"/>
                        <a:cNvCxnSpPr>
                          <a:stCxn id="502" idx="2"/>
                        </a:cNvCxnSpPr>
                      </a:nvCxnSpPr>
                      <a:spPr>
                        <a:xfrm>
                          <a:off x="4572001" y="6424641"/>
                          <a:ext cx="152399" cy="570439"/>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10" name="TextBox 509"/>
                        <a:cNvSpPr txBox="1"/>
                      </a:nvSpPr>
                      <a:spPr>
                        <a:xfrm>
                          <a:off x="6096000" y="6627943"/>
                          <a:ext cx="1066800" cy="682129"/>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Complementary 1PS ssRNAs annealed to dsRNA</a:t>
                            </a:r>
                            <a:endParaRPr lang="en-GB" sz="1000" dirty="0"/>
                          </a:p>
                        </a:txBody>
                        <a:useSpRect/>
                      </a:txSp>
                    </a:sp>
                    <a:sp>
                      <a:nvSpPr>
                        <a:cNvPr id="511" name="TextBox 510"/>
                        <a:cNvSpPr txBox="1"/>
                      </a:nvSpPr>
                      <a:spPr>
                        <a:xfrm>
                          <a:off x="5181600" y="6113951"/>
                          <a:ext cx="1981200" cy="38555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Complementary unmodified ssRNAs annealed to dsRNA</a:t>
                            </a:r>
                            <a:endParaRPr lang="en-GB" sz="1000" dirty="0"/>
                          </a:p>
                        </a:txBody>
                        <a:useSpRect/>
                      </a:txSp>
                    </a:sp>
                    <a:cxnSp>
                      <a:nvCxnSpPr>
                        <a:cNvPr id="512" name="Straight Arrow Connector 511"/>
                        <a:cNvCxnSpPr/>
                      </a:nvCxnSpPr>
                      <a:spPr>
                        <a:xfrm flipH="1">
                          <a:off x="5181600" y="6334233"/>
                          <a:ext cx="228600" cy="73427"/>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15" name="Straight Arrow Connector 514"/>
                        <a:cNvCxnSpPr/>
                      </a:nvCxnSpPr>
                      <a:spPr>
                        <a:xfrm flipH="1">
                          <a:off x="5181600" y="6918350"/>
                          <a:ext cx="1037900" cy="349157"/>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grpSp>
                  <a:grpSp>
                    <a:nvGrpSpPr>
                      <a:cNvPr id="905" name="Group 904"/>
                      <a:cNvGrpSpPr/>
                    </a:nvGrpSpPr>
                    <a:grpSpPr>
                      <a:xfrm>
                        <a:off x="1143000" y="7504227"/>
                        <a:ext cx="7578813" cy="2016815"/>
                        <a:chOff x="1143000" y="9988503"/>
                        <a:chExt cx="7578813" cy="2016815"/>
                      </a:xfrm>
                    </a:grpSpPr>
                    <a:sp>
                      <a:nvSpPr>
                        <a:cNvPr id="734" name="Rectangle 6"/>
                        <a:cNvSpPr>
                          <a:spLocks noChangeArrowheads="1"/>
                        </a:cNvSpPr>
                      </a:nvSpPr>
                      <a:spPr bwMode="auto">
                        <a:xfrm>
                          <a:off x="1657347"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735" name="Line 7"/>
                        <a:cNvSpPr>
                          <a:spLocks noChangeShapeType="1"/>
                        </a:cNvSpPr>
                      </a:nvSpPr>
                      <a:spPr bwMode="auto">
                        <a:xfrm>
                          <a:off x="1725416"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36" name="Line 8"/>
                        <a:cNvSpPr>
                          <a:spLocks noChangeShapeType="1"/>
                        </a:cNvSpPr>
                      </a:nvSpPr>
                      <a:spPr bwMode="auto">
                        <a:xfrm>
                          <a:off x="181083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37" name="Line 9"/>
                        <a:cNvSpPr>
                          <a:spLocks noChangeShapeType="1"/>
                        </a:cNvSpPr>
                      </a:nvSpPr>
                      <a:spPr bwMode="auto">
                        <a:xfrm>
                          <a:off x="189625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38" name="Line 10"/>
                        <a:cNvSpPr>
                          <a:spLocks noChangeShapeType="1"/>
                        </a:cNvSpPr>
                      </a:nvSpPr>
                      <a:spPr bwMode="auto">
                        <a:xfrm>
                          <a:off x="198167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39" name="Line 11"/>
                        <a:cNvSpPr>
                          <a:spLocks noChangeShapeType="1"/>
                        </a:cNvSpPr>
                      </a:nvSpPr>
                      <a:spPr bwMode="auto">
                        <a:xfrm>
                          <a:off x="206709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0" name="Rectangle 12"/>
                        <a:cNvSpPr>
                          <a:spLocks noChangeArrowheads="1"/>
                        </a:cNvSpPr>
                      </a:nvSpPr>
                      <a:spPr bwMode="auto">
                        <a:xfrm>
                          <a:off x="2084448"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1.3</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741" name="Line 13"/>
                        <a:cNvSpPr>
                          <a:spLocks noChangeShapeType="1"/>
                        </a:cNvSpPr>
                      </a:nvSpPr>
                      <a:spPr bwMode="auto">
                        <a:xfrm>
                          <a:off x="2152517"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2" name="Line 14"/>
                        <a:cNvSpPr>
                          <a:spLocks noChangeShapeType="1"/>
                        </a:cNvSpPr>
                      </a:nvSpPr>
                      <a:spPr bwMode="auto">
                        <a:xfrm>
                          <a:off x="223793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3" name="Line 15"/>
                        <a:cNvSpPr>
                          <a:spLocks noChangeShapeType="1"/>
                        </a:cNvSpPr>
                      </a:nvSpPr>
                      <a:spPr bwMode="auto">
                        <a:xfrm>
                          <a:off x="2323358"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4" name="Line 16"/>
                        <a:cNvSpPr>
                          <a:spLocks noChangeShapeType="1"/>
                        </a:cNvSpPr>
                      </a:nvSpPr>
                      <a:spPr bwMode="auto">
                        <a:xfrm>
                          <a:off x="2408778"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5" name="Line 17"/>
                        <a:cNvSpPr>
                          <a:spLocks noChangeShapeType="1"/>
                        </a:cNvSpPr>
                      </a:nvSpPr>
                      <a:spPr bwMode="auto">
                        <a:xfrm>
                          <a:off x="249553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6" name="Rectangle 18"/>
                        <a:cNvSpPr>
                          <a:spLocks noChangeArrowheads="1"/>
                        </a:cNvSpPr>
                      </a:nvSpPr>
                      <a:spPr bwMode="auto">
                        <a:xfrm>
                          <a:off x="2512884"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47" name="Line 19"/>
                        <a:cNvSpPr>
                          <a:spLocks noChangeShapeType="1"/>
                        </a:cNvSpPr>
                      </a:nvSpPr>
                      <a:spPr bwMode="auto">
                        <a:xfrm>
                          <a:off x="2580954"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8" name="Line 20"/>
                        <a:cNvSpPr>
                          <a:spLocks noChangeShapeType="1"/>
                        </a:cNvSpPr>
                      </a:nvSpPr>
                      <a:spPr bwMode="auto">
                        <a:xfrm>
                          <a:off x="266637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49" name="Line 21"/>
                        <a:cNvSpPr>
                          <a:spLocks noChangeShapeType="1"/>
                        </a:cNvSpPr>
                      </a:nvSpPr>
                      <a:spPr bwMode="auto">
                        <a:xfrm>
                          <a:off x="275179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0" name="Line 22"/>
                        <a:cNvSpPr>
                          <a:spLocks noChangeShapeType="1"/>
                        </a:cNvSpPr>
                      </a:nvSpPr>
                      <a:spPr bwMode="auto">
                        <a:xfrm>
                          <a:off x="283721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1" name="Line 23"/>
                        <a:cNvSpPr>
                          <a:spLocks noChangeShapeType="1"/>
                        </a:cNvSpPr>
                      </a:nvSpPr>
                      <a:spPr bwMode="auto">
                        <a:xfrm>
                          <a:off x="292263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2" name="Rectangle 24"/>
                        <a:cNvSpPr>
                          <a:spLocks noChangeArrowheads="1"/>
                        </a:cNvSpPr>
                      </a:nvSpPr>
                      <a:spPr bwMode="auto">
                        <a:xfrm>
                          <a:off x="2939985"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53" name="Line 25"/>
                        <a:cNvSpPr>
                          <a:spLocks noChangeShapeType="1"/>
                        </a:cNvSpPr>
                      </a:nvSpPr>
                      <a:spPr bwMode="auto">
                        <a:xfrm>
                          <a:off x="3008055"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4" name="Line 26"/>
                        <a:cNvSpPr>
                          <a:spLocks noChangeShapeType="1"/>
                        </a:cNvSpPr>
                      </a:nvSpPr>
                      <a:spPr bwMode="auto">
                        <a:xfrm>
                          <a:off x="309347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5" name="Line 27"/>
                        <a:cNvSpPr>
                          <a:spLocks noChangeShapeType="1"/>
                        </a:cNvSpPr>
                      </a:nvSpPr>
                      <a:spPr bwMode="auto">
                        <a:xfrm>
                          <a:off x="317889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6" name="Line 28"/>
                        <a:cNvSpPr>
                          <a:spLocks noChangeShapeType="1"/>
                        </a:cNvSpPr>
                      </a:nvSpPr>
                      <a:spPr bwMode="auto">
                        <a:xfrm>
                          <a:off x="326431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7" name="Line 29"/>
                        <a:cNvSpPr>
                          <a:spLocks noChangeShapeType="1"/>
                        </a:cNvSpPr>
                      </a:nvSpPr>
                      <a:spPr bwMode="auto">
                        <a:xfrm>
                          <a:off x="334973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58" name="Rectangle 30"/>
                        <a:cNvSpPr>
                          <a:spLocks noChangeArrowheads="1"/>
                        </a:cNvSpPr>
                      </a:nvSpPr>
                      <a:spPr bwMode="auto">
                        <a:xfrm>
                          <a:off x="3367086"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59" name="Line 31"/>
                        <a:cNvSpPr>
                          <a:spLocks noChangeShapeType="1"/>
                        </a:cNvSpPr>
                      </a:nvSpPr>
                      <a:spPr bwMode="auto">
                        <a:xfrm>
                          <a:off x="3435156"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0" name="Line 32"/>
                        <a:cNvSpPr>
                          <a:spLocks noChangeShapeType="1"/>
                        </a:cNvSpPr>
                      </a:nvSpPr>
                      <a:spPr bwMode="auto">
                        <a:xfrm>
                          <a:off x="352057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1" name="Line 33"/>
                        <a:cNvSpPr>
                          <a:spLocks noChangeShapeType="1"/>
                        </a:cNvSpPr>
                      </a:nvSpPr>
                      <a:spPr bwMode="auto">
                        <a:xfrm>
                          <a:off x="360599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2" name="Line 34"/>
                        <a:cNvSpPr>
                          <a:spLocks noChangeShapeType="1"/>
                        </a:cNvSpPr>
                      </a:nvSpPr>
                      <a:spPr bwMode="auto">
                        <a:xfrm>
                          <a:off x="369141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3" name="Line 35"/>
                        <a:cNvSpPr>
                          <a:spLocks noChangeShapeType="1"/>
                        </a:cNvSpPr>
                      </a:nvSpPr>
                      <a:spPr bwMode="auto">
                        <a:xfrm>
                          <a:off x="377683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4" name="Rectangle 36"/>
                        <a:cNvSpPr>
                          <a:spLocks noChangeArrowheads="1"/>
                        </a:cNvSpPr>
                      </a:nvSpPr>
                      <a:spPr bwMode="auto">
                        <a:xfrm>
                          <a:off x="3794188"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65" name="Line 37"/>
                        <a:cNvSpPr>
                          <a:spLocks noChangeShapeType="1"/>
                        </a:cNvSpPr>
                      </a:nvSpPr>
                      <a:spPr bwMode="auto">
                        <a:xfrm>
                          <a:off x="3862257"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6" name="Line 38"/>
                        <a:cNvSpPr>
                          <a:spLocks noChangeShapeType="1"/>
                        </a:cNvSpPr>
                      </a:nvSpPr>
                      <a:spPr bwMode="auto">
                        <a:xfrm>
                          <a:off x="3947678"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7" name="Line 39"/>
                        <a:cNvSpPr>
                          <a:spLocks noChangeShapeType="1"/>
                        </a:cNvSpPr>
                      </a:nvSpPr>
                      <a:spPr bwMode="auto">
                        <a:xfrm>
                          <a:off x="4033098"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8" name="Line 40"/>
                        <a:cNvSpPr>
                          <a:spLocks noChangeShapeType="1"/>
                        </a:cNvSpPr>
                      </a:nvSpPr>
                      <a:spPr bwMode="auto">
                        <a:xfrm>
                          <a:off x="4119852"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69" name="Line 41"/>
                        <a:cNvSpPr>
                          <a:spLocks noChangeShapeType="1"/>
                        </a:cNvSpPr>
                      </a:nvSpPr>
                      <a:spPr bwMode="auto">
                        <a:xfrm>
                          <a:off x="420527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0" name="Rectangle 42"/>
                        <a:cNvSpPr>
                          <a:spLocks noChangeArrowheads="1"/>
                        </a:cNvSpPr>
                      </a:nvSpPr>
                      <a:spPr bwMode="auto">
                        <a:xfrm>
                          <a:off x="4222624"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71" name="Line 43"/>
                        <a:cNvSpPr>
                          <a:spLocks noChangeShapeType="1"/>
                        </a:cNvSpPr>
                      </a:nvSpPr>
                      <a:spPr bwMode="auto">
                        <a:xfrm>
                          <a:off x="4290693"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2" name="Line 44"/>
                        <a:cNvSpPr>
                          <a:spLocks noChangeShapeType="1"/>
                        </a:cNvSpPr>
                      </a:nvSpPr>
                      <a:spPr bwMode="auto">
                        <a:xfrm>
                          <a:off x="437611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3" name="Line 45"/>
                        <a:cNvSpPr>
                          <a:spLocks noChangeShapeType="1"/>
                        </a:cNvSpPr>
                      </a:nvSpPr>
                      <a:spPr bwMode="auto">
                        <a:xfrm>
                          <a:off x="446153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4" name="Line 46"/>
                        <a:cNvSpPr>
                          <a:spLocks noChangeShapeType="1"/>
                        </a:cNvSpPr>
                      </a:nvSpPr>
                      <a:spPr bwMode="auto">
                        <a:xfrm>
                          <a:off x="454695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5" name="Line 47"/>
                        <a:cNvSpPr>
                          <a:spLocks noChangeShapeType="1"/>
                        </a:cNvSpPr>
                      </a:nvSpPr>
                      <a:spPr bwMode="auto">
                        <a:xfrm>
                          <a:off x="463237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6" name="Rectangle 48"/>
                        <a:cNvSpPr>
                          <a:spLocks noChangeArrowheads="1"/>
                        </a:cNvSpPr>
                      </a:nvSpPr>
                      <a:spPr bwMode="auto">
                        <a:xfrm>
                          <a:off x="4649725" y="11616829"/>
                          <a:ext cx="176330"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77" name="Line 49"/>
                        <a:cNvSpPr>
                          <a:spLocks noChangeShapeType="1"/>
                        </a:cNvSpPr>
                      </a:nvSpPr>
                      <a:spPr bwMode="auto">
                        <a:xfrm>
                          <a:off x="4717794"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8" name="Line 50"/>
                        <a:cNvSpPr>
                          <a:spLocks noChangeShapeType="1"/>
                        </a:cNvSpPr>
                      </a:nvSpPr>
                      <a:spPr bwMode="auto">
                        <a:xfrm>
                          <a:off x="480321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79" name="Line 51"/>
                        <a:cNvSpPr>
                          <a:spLocks noChangeShapeType="1"/>
                        </a:cNvSpPr>
                      </a:nvSpPr>
                      <a:spPr bwMode="auto">
                        <a:xfrm>
                          <a:off x="488863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0" name="Line 52"/>
                        <a:cNvSpPr>
                          <a:spLocks noChangeShapeType="1"/>
                        </a:cNvSpPr>
                      </a:nvSpPr>
                      <a:spPr bwMode="auto">
                        <a:xfrm>
                          <a:off x="497405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1" name="Line 53"/>
                        <a:cNvSpPr>
                          <a:spLocks noChangeShapeType="1"/>
                        </a:cNvSpPr>
                      </a:nvSpPr>
                      <a:spPr bwMode="auto">
                        <a:xfrm>
                          <a:off x="505947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2" name="Rectangle 54"/>
                        <a:cNvSpPr>
                          <a:spLocks noChangeArrowheads="1"/>
                        </a:cNvSpPr>
                      </a:nvSpPr>
                      <a:spPr bwMode="auto">
                        <a:xfrm>
                          <a:off x="5055472"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83" name="Line 55"/>
                        <a:cNvSpPr>
                          <a:spLocks noChangeShapeType="1"/>
                        </a:cNvSpPr>
                      </a:nvSpPr>
                      <a:spPr bwMode="auto">
                        <a:xfrm>
                          <a:off x="5144896"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4" name="Line 56"/>
                        <a:cNvSpPr>
                          <a:spLocks noChangeShapeType="1"/>
                        </a:cNvSpPr>
                      </a:nvSpPr>
                      <a:spPr bwMode="auto">
                        <a:xfrm>
                          <a:off x="523031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5" name="Line 57"/>
                        <a:cNvSpPr>
                          <a:spLocks noChangeShapeType="1"/>
                        </a:cNvSpPr>
                      </a:nvSpPr>
                      <a:spPr bwMode="auto">
                        <a:xfrm>
                          <a:off x="531573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6" name="Line 58"/>
                        <a:cNvSpPr>
                          <a:spLocks noChangeShapeType="1"/>
                        </a:cNvSpPr>
                      </a:nvSpPr>
                      <a:spPr bwMode="auto">
                        <a:xfrm>
                          <a:off x="540115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7" name="Line 59"/>
                        <a:cNvSpPr>
                          <a:spLocks noChangeShapeType="1"/>
                        </a:cNvSpPr>
                      </a:nvSpPr>
                      <a:spPr bwMode="auto">
                        <a:xfrm>
                          <a:off x="548657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88" name="Rectangle 60"/>
                        <a:cNvSpPr>
                          <a:spLocks noChangeArrowheads="1"/>
                        </a:cNvSpPr>
                      </a:nvSpPr>
                      <a:spPr bwMode="auto">
                        <a:xfrm>
                          <a:off x="5483907"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11.3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89" name="Line 61"/>
                        <a:cNvSpPr>
                          <a:spLocks noChangeShapeType="1"/>
                        </a:cNvSpPr>
                      </a:nvSpPr>
                      <a:spPr bwMode="auto">
                        <a:xfrm>
                          <a:off x="5573332"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0" name="Line 62"/>
                        <a:cNvSpPr>
                          <a:spLocks noChangeShapeType="1"/>
                        </a:cNvSpPr>
                      </a:nvSpPr>
                      <a:spPr bwMode="auto">
                        <a:xfrm>
                          <a:off x="565741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1" name="Line 63"/>
                        <a:cNvSpPr>
                          <a:spLocks noChangeShapeType="1"/>
                        </a:cNvSpPr>
                      </a:nvSpPr>
                      <a:spPr bwMode="auto">
                        <a:xfrm>
                          <a:off x="5744172"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2" name="Line 64"/>
                        <a:cNvSpPr>
                          <a:spLocks noChangeShapeType="1"/>
                        </a:cNvSpPr>
                      </a:nvSpPr>
                      <a:spPr bwMode="auto">
                        <a:xfrm>
                          <a:off x="582959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3" name="Line 65"/>
                        <a:cNvSpPr>
                          <a:spLocks noChangeShapeType="1"/>
                        </a:cNvSpPr>
                      </a:nvSpPr>
                      <a:spPr bwMode="auto">
                        <a:xfrm>
                          <a:off x="591501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4" name="Rectangle 66"/>
                        <a:cNvSpPr>
                          <a:spLocks noChangeArrowheads="1"/>
                        </a:cNvSpPr>
                      </a:nvSpPr>
                      <a:spPr bwMode="auto">
                        <a:xfrm>
                          <a:off x="5911008"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12.5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795" name="Line 67"/>
                        <a:cNvSpPr>
                          <a:spLocks noChangeShapeType="1"/>
                        </a:cNvSpPr>
                      </a:nvSpPr>
                      <a:spPr bwMode="auto">
                        <a:xfrm>
                          <a:off x="6000433"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6" name="Line 68"/>
                        <a:cNvSpPr>
                          <a:spLocks noChangeShapeType="1"/>
                        </a:cNvSpPr>
                      </a:nvSpPr>
                      <a:spPr bwMode="auto">
                        <a:xfrm>
                          <a:off x="608585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7" name="Line 69"/>
                        <a:cNvSpPr>
                          <a:spLocks noChangeShapeType="1"/>
                        </a:cNvSpPr>
                      </a:nvSpPr>
                      <a:spPr bwMode="auto">
                        <a:xfrm>
                          <a:off x="617127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8" name="Line 70"/>
                        <a:cNvSpPr>
                          <a:spLocks noChangeShapeType="1"/>
                        </a:cNvSpPr>
                      </a:nvSpPr>
                      <a:spPr bwMode="auto">
                        <a:xfrm>
                          <a:off x="625669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799" name="Line 71"/>
                        <a:cNvSpPr>
                          <a:spLocks noChangeShapeType="1"/>
                        </a:cNvSpPr>
                      </a:nvSpPr>
                      <a:spPr bwMode="auto">
                        <a:xfrm>
                          <a:off x="634211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0" name="Rectangle 72"/>
                        <a:cNvSpPr>
                          <a:spLocks noChangeArrowheads="1"/>
                        </a:cNvSpPr>
                      </a:nvSpPr>
                      <a:spPr bwMode="auto">
                        <a:xfrm>
                          <a:off x="6338110"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13.8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801" name="Line 73"/>
                        <a:cNvSpPr>
                          <a:spLocks noChangeShapeType="1"/>
                        </a:cNvSpPr>
                      </a:nvSpPr>
                      <a:spPr bwMode="auto">
                        <a:xfrm>
                          <a:off x="6427535"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2" name="Line 74"/>
                        <a:cNvSpPr>
                          <a:spLocks noChangeShapeType="1"/>
                        </a:cNvSpPr>
                      </a:nvSpPr>
                      <a:spPr bwMode="auto">
                        <a:xfrm>
                          <a:off x="651295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3" name="Line 75"/>
                        <a:cNvSpPr>
                          <a:spLocks noChangeShapeType="1"/>
                        </a:cNvSpPr>
                      </a:nvSpPr>
                      <a:spPr bwMode="auto">
                        <a:xfrm>
                          <a:off x="659837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4" name="Line 76"/>
                        <a:cNvSpPr>
                          <a:spLocks noChangeShapeType="1"/>
                        </a:cNvSpPr>
                      </a:nvSpPr>
                      <a:spPr bwMode="auto">
                        <a:xfrm>
                          <a:off x="668379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5" name="Line 77"/>
                        <a:cNvSpPr>
                          <a:spLocks noChangeShapeType="1"/>
                        </a:cNvSpPr>
                      </a:nvSpPr>
                      <a:spPr bwMode="auto">
                        <a:xfrm>
                          <a:off x="676921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6" name="Rectangle 78"/>
                        <a:cNvSpPr>
                          <a:spLocks noChangeArrowheads="1"/>
                        </a:cNvSpPr>
                      </a:nvSpPr>
                      <a:spPr bwMode="auto">
                        <a:xfrm>
                          <a:off x="6765211"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807" name="Line 79"/>
                        <a:cNvSpPr>
                          <a:spLocks noChangeShapeType="1"/>
                        </a:cNvSpPr>
                      </a:nvSpPr>
                      <a:spPr bwMode="auto">
                        <a:xfrm>
                          <a:off x="6854636"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8" name="Line 80"/>
                        <a:cNvSpPr>
                          <a:spLocks noChangeShapeType="1"/>
                        </a:cNvSpPr>
                      </a:nvSpPr>
                      <a:spPr bwMode="auto">
                        <a:xfrm>
                          <a:off x="694005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09" name="Line 81"/>
                        <a:cNvSpPr>
                          <a:spLocks noChangeShapeType="1"/>
                        </a:cNvSpPr>
                      </a:nvSpPr>
                      <a:spPr bwMode="auto">
                        <a:xfrm>
                          <a:off x="7025476"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0" name="Line 82"/>
                        <a:cNvSpPr>
                          <a:spLocks noChangeShapeType="1"/>
                        </a:cNvSpPr>
                      </a:nvSpPr>
                      <a:spPr bwMode="auto">
                        <a:xfrm>
                          <a:off x="7110897"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1" name="Line 83"/>
                        <a:cNvSpPr>
                          <a:spLocks noChangeShapeType="1"/>
                        </a:cNvSpPr>
                      </a:nvSpPr>
                      <a:spPr bwMode="auto">
                        <a:xfrm>
                          <a:off x="7197651"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2" name="Rectangle 84"/>
                        <a:cNvSpPr>
                          <a:spLocks noChangeArrowheads="1"/>
                        </a:cNvSpPr>
                      </a:nvSpPr>
                      <a:spPr bwMode="auto">
                        <a:xfrm>
                          <a:off x="7193647"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16.3</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813" name="Line 85"/>
                        <a:cNvSpPr>
                          <a:spLocks noChangeShapeType="1"/>
                        </a:cNvSpPr>
                      </a:nvSpPr>
                      <a:spPr bwMode="auto">
                        <a:xfrm>
                          <a:off x="7283071"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4" name="Line 86"/>
                        <a:cNvSpPr>
                          <a:spLocks noChangeShapeType="1"/>
                        </a:cNvSpPr>
                      </a:nvSpPr>
                      <a:spPr bwMode="auto">
                        <a:xfrm>
                          <a:off x="7368492"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5" name="Line 87"/>
                        <a:cNvSpPr>
                          <a:spLocks noChangeShapeType="1"/>
                        </a:cNvSpPr>
                      </a:nvSpPr>
                      <a:spPr bwMode="auto">
                        <a:xfrm>
                          <a:off x="7453912"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6" name="Line 88"/>
                        <a:cNvSpPr>
                          <a:spLocks noChangeShapeType="1"/>
                        </a:cNvSpPr>
                      </a:nvSpPr>
                      <a:spPr bwMode="auto">
                        <a:xfrm>
                          <a:off x="7539332"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7" name="Line 89"/>
                        <a:cNvSpPr>
                          <a:spLocks noChangeShapeType="1"/>
                        </a:cNvSpPr>
                      </a:nvSpPr>
                      <a:spPr bwMode="auto">
                        <a:xfrm>
                          <a:off x="7624752"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18" name="Rectangle 90"/>
                        <a:cNvSpPr>
                          <a:spLocks noChangeArrowheads="1"/>
                        </a:cNvSpPr>
                      </a:nvSpPr>
                      <a:spPr bwMode="auto">
                        <a:xfrm>
                          <a:off x="7620749"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17.5</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819" name="Line 91"/>
                        <a:cNvSpPr>
                          <a:spLocks noChangeShapeType="1"/>
                        </a:cNvSpPr>
                      </a:nvSpPr>
                      <a:spPr bwMode="auto">
                        <a:xfrm>
                          <a:off x="7710173"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0" name="Line 92"/>
                        <a:cNvSpPr>
                          <a:spLocks noChangeShapeType="1"/>
                        </a:cNvSpPr>
                      </a:nvSpPr>
                      <a:spPr bwMode="auto">
                        <a:xfrm>
                          <a:off x="779559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1" name="Line 93"/>
                        <a:cNvSpPr>
                          <a:spLocks noChangeShapeType="1"/>
                        </a:cNvSpPr>
                      </a:nvSpPr>
                      <a:spPr bwMode="auto">
                        <a:xfrm>
                          <a:off x="788101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2" name="Line 94"/>
                        <a:cNvSpPr>
                          <a:spLocks noChangeShapeType="1"/>
                        </a:cNvSpPr>
                      </a:nvSpPr>
                      <a:spPr bwMode="auto">
                        <a:xfrm>
                          <a:off x="7966433"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3" name="Line 95"/>
                        <a:cNvSpPr>
                          <a:spLocks noChangeShapeType="1"/>
                        </a:cNvSpPr>
                      </a:nvSpPr>
                      <a:spPr bwMode="auto">
                        <a:xfrm>
                          <a:off x="805185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4" name="Rectangle 96"/>
                        <a:cNvSpPr>
                          <a:spLocks noChangeArrowheads="1"/>
                        </a:cNvSpPr>
                      </a:nvSpPr>
                      <a:spPr bwMode="auto">
                        <a:xfrm>
                          <a:off x="8047850"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18.8</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825" name="Line 97"/>
                        <a:cNvSpPr>
                          <a:spLocks noChangeShapeType="1"/>
                        </a:cNvSpPr>
                      </a:nvSpPr>
                      <a:spPr bwMode="auto">
                        <a:xfrm>
                          <a:off x="8137274"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6" name="Line 98"/>
                        <a:cNvSpPr>
                          <a:spLocks noChangeShapeType="1"/>
                        </a:cNvSpPr>
                      </a:nvSpPr>
                      <a:spPr bwMode="auto">
                        <a:xfrm>
                          <a:off x="822269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7" name="Line 99"/>
                        <a:cNvSpPr>
                          <a:spLocks noChangeShapeType="1"/>
                        </a:cNvSpPr>
                      </a:nvSpPr>
                      <a:spPr bwMode="auto">
                        <a:xfrm>
                          <a:off x="8308114"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8" name="Line 100"/>
                        <a:cNvSpPr>
                          <a:spLocks noChangeShapeType="1"/>
                        </a:cNvSpPr>
                      </a:nvSpPr>
                      <a:spPr bwMode="auto">
                        <a:xfrm>
                          <a:off x="839353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29" name="Line 101"/>
                        <a:cNvSpPr>
                          <a:spLocks noChangeShapeType="1"/>
                        </a:cNvSpPr>
                      </a:nvSpPr>
                      <a:spPr bwMode="auto">
                        <a:xfrm>
                          <a:off x="8478955" y="11567185"/>
                          <a:ext cx="1335" cy="21276"/>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30" name="Rectangle 102"/>
                        <a:cNvSpPr>
                          <a:spLocks noChangeArrowheads="1"/>
                        </a:cNvSpPr>
                      </a:nvSpPr>
                      <a:spPr bwMode="auto">
                        <a:xfrm>
                          <a:off x="8474951" y="11616829"/>
                          <a:ext cx="246862" cy="153888"/>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20.0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831" name="Line 103"/>
                        <a:cNvSpPr>
                          <a:spLocks noChangeShapeType="1"/>
                        </a:cNvSpPr>
                      </a:nvSpPr>
                      <a:spPr bwMode="auto">
                        <a:xfrm>
                          <a:off x="8564375" y="11567185"/>
                          <a:ext cx="1335" cy="49645"/>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32" name="Rectangle 104"/>
                        <a:cNvSpPr>
                          <a:spLocks noChangeArrowheads="1"/>
                        </a:cNvSpPr>
                      </a:nvSpPr>
                      <a:spPr bwMode="auto">
                        <a:xfrm>
                          <a:off x="1676400" y="10029637"/>
                          <a:ext cx="6887975" cy="1537548"/>
                        </a:xfrm>
                        <a:prstGeom prst="rect">
                          <a:avLst/>
                        </a:prstGeom>
                        <a:noFill/>
                        <a:ln w="4763">
                          <a:solidFill>
                            <a:srgbClr val="000000"/>
                          </a:solidFill>
                          <a:prstDash val="solid"/>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33" name="Rectangle 105"/>
                        <a:cNvSpPr>
                          <a:spLocks noChangeArrowheads="1"/>
                        </a:cNvSpPr>
                      </a:nvSpPr>
                      <a:spPr bwMode="auto">
                        <a:xfrm>
                          <a:off x="1449624" y="11518960"/>
                          <a:ext cx="184639" cy="13749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rgbClr val="000000"/>
                                </a:solidFill>
                                <a:effectLst/>
                                <a:latin typeface="Arial" pitchFamily="34" charset="0"/>
                                <a:cs typeface="Arial" pitchFamily="34" charset="0"/>
                              </a:rPr>
                              <a:t>-5.0</a:t>
                            </a:r>
                            <a:endParaRPr kumimoji="0" lang="en-US" sz="10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834" name="Line 106"/>
                        <a:cNvSpPr>
                          <a:spLocks noChangeShapeType="1"/>
                        </a:cNvSpPr>
                      </a:nvSpPr>
                      <a:spPr bwMode="auto">
                        <a:xfrm flipH="1">
                          <a:off x="1680036" y="11567185"/>
                          <a:ext cx="45380"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35" name="Line 107"/>
                        <a:cNvSpPr>
                          <a:spLocks noChangeShapeType="1"/>
                        </a:cNvSpPr>
                      </a:nvSpPr>
                      <a:spPr bwMode="auto">
                        <a:xfrm flipH="1">
                          <a:off x="1637816" y="11490592"/>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36" name="Line 108"/>
                        <a:cNvSpPr>
                          <a:spLocks noChangeShapeType="1"/>
                        </a:cNvSpPr>
                      </a:nvSpPr>
                      <a:spPr bwMode="auto">
                        <a:xfrm flipH="1">
                          <a:off x="1612456" y="11413998"/>
                          <a:ext cx="45380"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37" name="Line 109"/>
                        <a:cNvSpPr>
                          <a:spLocks noChangeShapeType="1"/>
                        </a:cNvSpPr>
                      </a:nvSpPr>
                      <a:spPr bwMode="auto">
                        <a:xfrm flipH="1">
                          <a:off x="1637816" y="11337404"/>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38" name="Line 110"/>
                        <a:cNvSpPr>
                          <a:spLocks noChangeShapeType="1"/>
                        </a:cNvSpPr>
                      </a:nvSpPr>
                      <a:spPr bwMode="auto">
                        <a:xfrm flipH="1">
                          <a:off x="1637816" y="11259391"/>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39" name="Line 111"/>
                        <a:cNvSpPr>
                          <a:spLocks noChangeShapeType="1"/>
                        </a:cNvSpPr>
                      </a:nvSpPr>
                      <a:spPr bwMode="auto">
                        <a:xfrm flipH="1">
                          <a:off x="1637816" y="11182798"/>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0" name="Line 112"/>
                        <a:cNvSpPr>
                          <a:spLocks noChangeShapeType="1"/>
                        </a:cNvSpPr>
                      </a:nvSpPr>
                      <a:spPr bwMode="auto">
                        <a:xfrm flipH="1">
                          <a:off x="1637816" y="11106204"/>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1" name="Rectangle 113"/>
                        <a:cNvSpPr>
                          <a:spLocks noChangeArrowheads="1"/>
                        </a:cNvSpPr>
                      </a:nvSpPr>
                      <a:spPr bwMode="auto">
                        <a:xfrm>
                          <a:off x="1380220" y="10941669"/>
                          <a:ext cx="207549" cy="13749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12.5</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842" name="Line 114"/>
                        <a:cNvSpPr>
                          <a:spLocks noChangeShapeType="1"/>
                        </a:cNvSpPr>
                      </a:nvSpPr>
                      <a:spPr bwMode="auto">
                        <a:xfrm flipH="1">
                          <a:off x="1612456" y="11029610"/>
                          <a:ext cx="45380"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3" name="Line 115"/>
                        <a:cNvSpPr>
                          <a:spLocks noChangeShapeType="1"/>
                        </a:cNvSpPr>
                      </a:nvSpPr>
                      <a:spPr bwMode="auto">
                        <a:xfrm flipH="1">
                          <a:off x="1637816" y="10953017"/>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4" name="Line 116"/>
                        <a:cNvSpPr>
                          <a:spLocks noChangeShapeType="1"/>
                        </a:cNvSpPr>
                      </a:nvSpPr>
                      <a:spPr bwMode="auto">
                        <a:xfrm flipH="1">
                          <a:off x="1637816" y="10875005"/>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5" name="Line 117"/>
                        <a:cNvSpPr>
                          <a:spLocks noChangeShapeType="1"/>
                        </a:cNvSpPr>
                      </a:nvSpPr>
                      <a:spPr bwMode="auto">
                        <a:xfrm flipH="1">
                          <a:off x="1637816" y="10798411"/>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6" name="Line 118"/>
                        <a:cNvSpPr>
                          <a:spLocks noChangeShapeType="1"/>
                        </a:cNvSpPr>
                      </a:nvSpPr>
                      <a:spPr bwMode="auto">
                        <a:xfrm flipH="1">
                          <a:off x="1637816" y="10721817"/>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7" name="Rectangle 119"/>
                        <a:cNvSpPr>
                          <a:spLocks noChangeArrowheads="1"/>
                        </a:cNvSpPr>
                      </a:nvSpPr>
                      <a:spPr bwMode="auto">
                        <a:xfrm>
                          <a:off x="1380220" y="10601253"/>
                          <a:ext cx="207549" cy="13749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25.0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848" name="Line 120"/>
                        <a:cNvSpPr>
                          <a:spLocks noChangeShapeType="1"/>
                        </a:cNvSpPr>
                      </a:nvSpPr>
                      <a:spPr bwMode="auto">
                        <a:xfrm flipH="1">
                          <a:off x="1612456" y="10645224"/>
                          <a:ext cx="45380"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49" name="Line 121"/>
                        <a:cNvSpPr>
                          <a:spLocks noChangeShapeType="1"/>
                        </a:cNvSpPr>
                      </a:nvSpPr>
                      <a:spPr bwMode="auto">
                        <a:xfrm flipH="1">
                          <a:off x="1637816" y="10567211"/>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50" name="Line 122"/>
                        <a:cNvSpPr>
                          <a:spLocks noChangeShapeType="1"/>
                        </a:cNvSpPr>
                      </a:nvSpPr>
                      <a:spPr bwMode="auto">
                        <a:xfrm flipH="1">
                          <a:off x="1637816" y="10490617"/>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51" name="Line 123"/>
                        <a:cNvSpPr>
                          <a:spLocks noChangeShapeType="1"/>
                        </a:cNvSpPr>
                      </a:nvSpPr>
                      <a:spPr bwMode="auto">
                        <a:xfrm flipH="1">
                          <a:off x="1637816" y="10414024"/>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52" name="Line 124"/>
                        <a:cNvSpPr>
                          <a:spLocks noChangeShapeType="1"/>
                        </a:cNvSpPr>
                      </a:nvSpPr>
                      <a:spPr bwMode="auto">
                        <a:xfrm flipH="1">
                          <a:off x="1637816" y="10337430"/>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53" name="Line 125"/>
                        <a:cNvSpPr>
                          <a:spLocks noChangeShapeType="1"/>
                        </a:cNvSpPr>
                      </a:nvSpPr>
                      <a:spPr bwMode="auto">
                        <a:xfrm flipH="1">
                          <a:off x="1612456" y="10260836"/>
                          <a:ext cx="45380"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54" name="Line 126"/>
                        <a:cNvSpPr>
                          <a:spLocks noChangeShapeType="1"/>
                        </a:cNvSpPr>
                      </a:nvSpPr>
                      <a:spPr bwMode="auto">
                        <a:xfrm flipH="1">
                          <a:off x="1637816" y="10182825"/>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55" name="Line 127"/>
                        <a:cNvSpPr>
                          <a:spLocks noChangeShapeType="1"/>
                        </a:cNvSpPr>
                      </a:nvSpPr>
                      <a:spPr bwMode="auto">
                        <a:xfrm flipH="1">
                          <a:off x="1637816" y="10106231"/>
                          <a:ext cx="20021"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56" name="Rectangle 128"/>
                        <a:cNvSpPr>
                          <a:spLocks noChangeArrowheads="1"/>
                        </a:cNvSpPr>
                      </a:nvSpPr>
                      <a:spPr bwMode="auto">
                        <a:xfrm>
                          <a:off x="1380220" y="9988503"/>
                          <a:ext cx="207549" cy="13749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45.0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858" name="Line 146"/>
                        <a:cNvSpPr>
                          <a:spLocks noChangeShapeType="1"/>
                        </a:cNvSpPr>
                      </a:nvSpPr>
                      <a:spPr bwMode="auto">
                        <a:xfrm flipH="1">
                          <a:off x="1612456" y="10029637"/>
                          <a:ext cx="45380" cy="1419"/>
                        </a:xfrm>
                        <a:prstGeom prst="line">
                          <a:avLst/>
                        </a:pr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sz="1000"/>
                          </a:p>
                        </a:txBody>
                        <a:useSpRect/>
                      </a:txSp>
                    </a:sp>
                    <a:sp>
                      <a:nvSpPr>
                        <a:cNvPr id="860" name="Freeform 148"/>
                        <a:cNvSpPr>
                          <a:spLocks/>
                        </a:cNvSpPr>
                      </a:nvSpPr>
                      <a:spPr bwMode="auto">
                        <a:xfrm>
                          <a:off x="1725416" y="10886352"/>
                          <a:ext cx="432440" cy="218434"/>
                        </a:xfrm>
                        <a:custGeom>
                          <a:avLst/>
                          <a:gdLst/>
                          <a:ahLst/>
                          <a:cxnLst>
                            <a:cxn ang="0">
                              <a:pos x="14" y="154"/>
                            </a:cxn>
                            <a:cxn ang="0">
                              <a:pos x="38" y="154"/>
                            </a:cxn>
                            <a:cxn ang="0">
                              <a:pos x="60" y="154"/>
                            </a:cxn>
                            <a:cxn ang="0">
                              <a:pos x="111" y="154"/>
                            </a:cxn>
                            <a:cxn ang="0">
                              <a:pos x="140" y="154"/>
                            </a:cxn>
                            <a:cxn ang="0">
                              <a:pos x="158" y="154"/>
                            </a:cxn>
                            <a:cxn ang="0">
                              <a:pos x="170" y="153"/>
                            </a:cxn>
                            <a:cxn ang="0">
                              <a:pos x="185" y="154"/>
                            </a:cxn>
                            <a:cxn ang="0">
                              <a:pos x="207" y="154"/>
                            </a:cxn>
                            <a:cxn ang="0">
                              <a:pos x="215" y="154"/>
                            </a:cxn>
                            <a:cxn ang="0">
                              <a:pos x="218" y="153"/>
                            </a:cxn>
                            <a:cxn ang="0">
                              <a:pos x="219" y="153"/>
                            </a:cxn>
                            <a:cxn ang="0">
                              <a:pos x="221" y="152"/>
                            </a:cxn>
                            <a:cxn ang="0">
                              <a:pos x="222" y="151"/>
                            </a:cxn>
                            <a:cxn ang="0">
                              <a:pos x="223" y="150"/>
                            </a:cxn>
                            <a:cxn ang="0">
                              <a:pos x="224" y="148"/>
                            </a:cxn>
                            <a:cxn ang="0">
                              <a:pos x="225" y="145"/>
                            </a:cxn>
                            <a:cxn ang="0">
                              <a:pos x="226" y="141"/>
                            </a:cxn>
                            <a:cxn ang="0">
                              <a:pos x="227" y="137"/>
                            </a:cxn>
                            <a:cxn ang="0">
                              <a:pos x="228" y="132"/>
                            </a:cxn>
                            <a:cxn ang="0">
                              <a:pos x="229" y="125"/>
                            </a:cxn>
                            <a:cxn ang="0">
                              <a:pos x="230" y="118"/>
                            </a:cxn>
                            <a:cxn ang="0">
                              <a:pos x="232" y="104"/>
                            </a:cxn>
                            <a:cxn ang="0">
                              <a:pos x="234" y="83"/>
                            </a:cxn>
                            <a:cxn ang="0">
                              <a:pos x="238" y="42"/>
                            </a:cxn>
                            <a:cxn ang="0">
                              <a:pos x="240" y="22"/>
                            </a:cxn>
                            <a:cxn ang="0">
                              <a:pos x="242" y="10"/>
                            </a:cxn>
                            <a:cxn ang="0">
                              <a:pos x="244" y="2"/>
                            </a:cxn>
                            <a:cxn ang="0">
                              <a:pos x="246" y="0"/>
                            </a:cxn>
                            <a:cxn ang="0">
                              <a:pos x="248" y="6"/>
                            </a:cxn>
                            <a:cxn ang="0">
                              <a:pos x="250" y="16"/>
                            </a:cxn>
                            <a:cxn ang="0">
                              <a:pos x="253" y="37"/>
                            </a:cxn>
                            <a:cxn ang="0">
                              <a:pos x="257" y="73"/>
                            </a:cxn>
                            <a:cxn ang="0">
                              <a:pos x="259" y="89"/>
                            </a:cxn>
                            <a:cxn ang="0">
                              <a:pos x="261" y="101"/>
                            </a:cxn>
                            <a:cxn ang="0">
                              <a:pos x="263" y="107"/>
                            </a:cxn>
                            <a:cxn ang="0">
                              <a:pos x="263" y="110"/>
                            </a:cxn>
                            <a:cxn ang="0">
                              <a:pos x="264" y="113"/>
                            </a:cxn>
                            <a:cxn ang="0">
                              <a:pos x="266" y="120"/>
                            </a:cxn>
                            <a:cxn ang="0">
                              <a:pos x="268" y="125"/>
                            </a:cxn>
                            <a:cxn ang="0">
                              <a:pos x="270" y="129"/>
                            </a:cxn>
                            <a:cxn ang="0">
                              <a:pos x="273" y="133"/>
                            </a:cxn>
                            <a:cxn ang="0">
                              <a:pos x="275" y="136"/>
                            </a:cxn>
                            <a:cxn ang="0">
                              <a:pos x="278" y="138"/>
                            </a:cxn>
                            <a:cxn ang="0">
                              <a:pos x="281" y="140"/>
                            </a:cxn>
                            <a:cxn ang="0">
                              <a:pos x="283" y="140"/>
                            </a:cxn>
                            <a:cxn ang="0">
                              <a:pos x="285" y="140"/>
                            </a:cxn>
                            <a:cxn ang="0">
                              <a:pos x="287" y="138"/>
                            </a:cxn>
                            <a:cxn ang="0">
                              <a:pos x="289" y="136"/>
                            </a:cxn>
                            <a:cxn ang="0">
                              <a:pos x="291" y="132"/>
                            </a:cxn>
                            <a:cxn ang="0">
                              <a:pos x="294" y="127"/>
                            </a:cxn>
                            <a:cxn ang="0">
                              <a:pos x="298" y="118"/>
                            </a:cxn>
                            <a:cxn ang="0">
                              <a:pos x="301" y="111"/>
                            </a:cxn>
                            <a:cxn ang="0">
                              <a:pos x="303" y="108"/>
                            </a:cxn>
                            <a:cxn ang="0">
                              <a:pos x="305" y="107"/>
                            </a:cxn>
                            <a:cxn ang="0">
                              <a:pos x="307" y="110"/>
                            </a:cxn>
                            <a:cxn ang="0">
                              <a:pos x="308" y="114"/>
                            </a:cxn>
                            <a:cxn ang="0">
                              <a:pos x="311" y="123"/>
                            </a:cxn>
                            <a:cxn ang="0">
                              <a:pos x="314" y="132"/>
                            </a:cxn>
                            <a:cxn ang="0">
                              <a:pos x="316" y="137"/>
                            </a:cxn>
                            <a:cxn ang="0">
                              <a:pos x="318" y="141"/>
                            </a:cxn>
                            <a:cxn ang="0">
                              <a:pos x="320" y="144"/>
                            </a:cxn>
                            <a:cxn ang="0">
                              <a:pos x="322" y="146"/>
                            </a:cxn>
                          </a:cxnLst>
                          <a:rect l="0" t="0" r="r" b="b"/>
                          <a:pathLst>
                            <a:path w="324" h="154">
                              <a:moveTo>
                                <a:pt x="0" y="154"/>
                              </a:moveTo>
                              <a:lnTo>
                                <a:pt x="1" y="154"/>
                              </a:lnTo>
                              <a:lnTo>
                                <a:pt x="3" y="154"/>
                              </a:lnTo>
                              <a:lnTo>
                                <a:pt x="5" y="154"/>
                              </a:lnTo>
                              <a:lnTo>
                                <a:pt x="7" y="154"/>
                              </a:lnTo>
                              <a:lnTo>
                                <a:pt x="10" y="154"/>
                              </a:lnTo>
                              <a:lnTo>
                                <a:pt x="12" y="154"/>
                              </a:lnTo>
                              <a:lnTo>
                                <a:pt x="14" y="154"/>
                              </a:lnTo>
                              <a:lnTo>
                                <a:pt x="16" y="154"/>
                              </a:lnTo>
                              <a:lnTo>
                                <a:pt x="18" y="154"/>
                              </a:lnTo>
                              <a:lnTo>
                                <a:pt x="20" y="154"/>
                              </a:lnTo>
                              <a:lnTo>
                                <a:pt x="24" y="154"/>
                              </a:lnTo>
                              <a:lnTo>
                                <a:pt x="29" y="154"/>
                              </a:lnTo>
                              <a:lnTo>
                                <a:pt x="33" y="154"/>
                              </a:lnTo>
                              <a:lnTo>
                                <a:pt x="35" y="154"/>
                              </a:lnTo>
                              <a:lnTo>
                                <a:pt x="38" y="154"/>
                              </a:lnTo>
                              <a:lnTo>
                                <a:pt x="41" y="154"/>
                              </a:lnTo>
                              <a:lnTo>
                                <a:pt x="44" y="154"/>
                              </a:lnTo>
                              <a:lnTo>
                                <a:pt x="47" y="154"/>
                              </a:lnTo>
                              <a:lnTo>
                                <a:pt x="49" y="154"/>
                              </a:lnTo>
                              <a:lnTo>
                                <a:pt x="52" y="154"/>
                              </a:lnTo>
                              <a:lnTo>
                                <a:pt x="54" y="154"/>
                              </a:lnTo>
                              <a:lnTo>
                                <a:pt x="57" y="154"/>
                              </a:lnTo>
                              <a:lnTo>
                                <a:pt x="60" y="154"/>
                              </a:lnTo>
                              <a:lnTo>
                                <a:pt x="64" y="154"/>
                              </a:lnTo>
                              <a:lnTo>
                                <a:pt x="70" y="154"/>
                              </a:lnTo>
                              <a:lnTo>
                                <a:pt x="76" y="154"/>
                              </a:lnTo>
                              <a:lnTo>
                                <a:pt x="83" y="154"/>
                              </a:lnTo>
                              <a:lnTo>
                                <a:pt x="91" y="154"/>
                              </a:lnTo>
                              <a:lnTo>
                                <a:pt x="99" y="154"/>
                              </a:lnTo>
                              <a:lnTo>
                                <a:pt x="106" y="154"/>
                              </a:lnTo>
                              <a:lnTo>
                                <a:pt x="111" y="154"/>
                              </a:lnTo>
                              <a:lnTo>
                                <a:pt x="117" y="154"/>
                              </a:lnTo>
                              <a:lnTo>
                                <a:pt x="121" y="154"/>
                              </a:lnTo>
                              <a:lnTo>
                                <a:pt x="125" y="154"/>
                              </a:lnTo>
                              <a:lnTo>
                                <a:pt x="129" y="154"/>
                              </a:lnTo>
                              <a:lnTo>
                                <a:pt x="132" y="154"/>
                              </a:lnTo>
                              <a:lnTo>
                                <a:pt x="134" y="154"/>
                              </a:lnTo>
                              <a:lnTo>
                                <a:pt x="136" y="154"/>
                              </a:lnTo>
                              <a:lnTo>
                                <a:pt x="140" y="154"/>
                              </a:lnTo>
                              <a:lnTo>
                                <a:pt x="145" y="154"/>
                              </a:lnTo>
                              <a:lnTo>
                                <a:pt x="148" y="154"/>
                              </a:lnTo>
                              <a:lnTo>
                                <a:pt x="151" y="154"/>
                              </a:lnTo>
                              <a:lnTo>
                                <a:pt x="152" y="154"/>
                              </a:lnTo>
                              <a:lnTo>
                                <a:pt x="154" y="154"/>
                              </a:lnTo>
                              <a:lnTo>
                                <a:pt x="155" y="154"/>
                              </a:lnTo>
                              <a:lnTo>
                                <a:pt x="156" y="154"/>
                              </a:lnTo>
                              <a:lnTo>
                                <a:pt x="158" y="154"/>
                              </a:lnTo>
                              <a:lnTo>
                                <a:pt x="159" y="154"/>
                              </a:lnTo>
                              <a:lnTo>
                                <a:pt x="160" y="154"/>
                              </a:lnTo>
                              <a:lnTo>
                                <a:pt x="162" y="154"/>
                              </a:lnTo>
                              <a:lnTo>
                                <a:pt x="164" y="154"/>
                              </a:lnTo>
                              <a:lnTo>
                                <a:pt x="166" y="154"/>
                              </a:lnTo>
                              <a:lnTo>
                                <a:pt x="167" y="153"/>
                              </a:lnTo>
                              <a:lnTo>
                                <a:pt x="169" y="153"/>
                              </a:lnTo>
                              <a:lnTo>
                                <a:pt x="170" y="153"/>
                              </a:lnTo>
                              <a:lnTo>
                                <a:pt x="171" y="153"/>
                              </a:lnTo>
                              <a:lnTo>
                                <a:pt x="172" y="153"/>
                              </a:lnTo>
                              <a:lnTo>
                                <a:pt x="174" y="153"/>
                              </a:lnTo>
                              <a:lnTo>
                                <a:pt x="175" y="153"/>
                              </a:lnTo>
                              <a:lnTo>
                                <a:pt x="177" y="153"/>
                              </a:lnTo>
                              <a:lnTo>
                                <a:pt x="179" y="153"/>
                              </a:lnTo>
                              <a:lnTo>
                                <a:pt x="181" y="154"/>
                              </a:lnTo>
                              <a:lnTo>
                                <a:pt x="185" y="154"/>
                              </a:lnTo>
                              <a:lnTo>
                                <a:pt x="187" y="154"/>
                              </a:lnTo>
                              <a:lnTo>
                                <a:pt x="190" y="154"/>
                              </a:lnTo>
                              <a:lnTo>
                                <a:pt x="192" y="154"/>
                              </a:lnTo>
                              <a:lnTo>
                                <a:pt x="195" y="154"/>
                              </a:lnTo>
                              <a:lnTo>
                                <a:pt x="199" y="154"/>
                              </a:lnTo>
                              <a:lnTo>
                                <a:pt x="203" y="154"/>
                              </a:lnTo>
                              <a:lnTo>
                                <a:pt x="205" y="154"/>
                              </a:lnTo>
                              <a:lnTo>
                                <a:pt x="207" y="154"/>
                              </a:lnTo>
                              <a:lnTo>
                                <a:pt x="208" y="154"/>
                              </a:lnTo>
                              <a:lnTo>
                                <a:pt x="210" y="154"/>
                              </a:lnTo>
                              <a:lnTo>
                                <a:pt x="211" y="154"/>
                              </a:lnTo>
                              <a:lnTo>
                                <a:pt x="212" y="154"/>
                              </a:lnTo>
                              <a:lnTo>
                                <a:pt x="213" y="154"/>
                              </a:lnTo>
                              <a:lnTo>
                                <a:pt x="214" y="154"/>
                              </a:lnTo>
                              <a:lnTo>
                                <a:pt x="214" y="154"/>
                              </a:lnTo>
                              <a:lnTo>
                                <a:pt x="215" y="154"/>
                              </a:lnTo>
                              <a:lnTo>
                                <a:pt x="215" y="154"/>
                              </a:lnTo>
                              <a:lnTo>
                                <a:pt x="216" y="154"/>
                              </a:lnTo>
                              <a:lnTo>
                                <a:pt x="216" y="154"/>
                              </a:lnTo>
                              <a:lnTo>
                                <a:pt x="217" y="154"/>
                              </a:lnTo>
                              <a:lnTo>
                                <a:pt x="217" y="154"/>
                              </a:lnTo>
                              <a:lnTo>
                                <a:pt x="217" y="154"/>
                              </a:lnTo>
                              <a:lnTo>
                                <a:pt x="218" y="154"/>
                              </a:lnTo>
                              <a:lnTo>
                                <a:pt x="218" y="153"/>
                              </a:lnTo>
                              <a:lnTo>
                                <a:pt x="218" y="153"/>
                              </a:lnTo>
                              <a:lnTo>
                                <a:pt x="219" y="153"/>
                              </a:lnTo>
                              <a:lnTo>
                                <a:pt x="219" y="153"/>
                              </a:lnTo>
                              <a:lnTo>
                                <a:pt x="219" y="153"/>
                              </a:lnTo>
                              <a:lnTo>
                                <a:pt x="219" y="153"/>
                              </a:lnTo>
                              <a:lnTo>
                                <a:pt x="219" y="153"/>
                              </a:lnTo>
                              <a:lnTo>
                                <a:pt x="219" y="153"/>
                              </a:lnTo>
                              <a:lnTo>
                                <a:pt x="219" y="153"/>
                              </a:lnTo>
                              <a:lnTo>
                                <a:pt x="220" y="153"/>
                              </a:lnTo>
                              <a:lnTo>
                                <a:pt x="220" y="153"/>
                              </a:lnTo>
                              <a:lnTo>
                                <a:pt x="220" y="153"/>
                              </a:lnTo>
                              <a:lnTo>
                                <a:pt x="220" y="153"/>
                              </a:lnTo>
                              <a:lnTo>
                                <a:pt x="220" y="153"/>
                              </a:lnTo>
                              <a:lnTo>
                                <a:pt x="220" y="153"/>
                              </a:lnTo>
                              <a:lnTo>
                                <a:pt x="221" y="152"/>
                              </a:lnTo>
                              <a:lnTo>
                                <a:pt x="221" y="152"/>
                              </a:lnTo>
                              <a:lnTo>
                                <a:pt x="221" y="152"/>
                              </a:lnTo>
                              <a:lnTo>
                                <a:pt x="221" y="152"/>
                              </a:lnTo>
                              <a:lnTo>
                                <a:pt x="221" y="152"/>
                              </a:lnTo>
                              <a:lnTo>
                                <a:pt x="222" y="152"/>
                              </a:lnTo>
                              <a:lnTo>
                                <a:pt x="222" y="152"/>
                              </a:lnTo>
                              <a:lnTo>
                                <a:pt x="222" y="151"/>
                              </a:lnTo>
                              <a:lnTo>
                                <a:pt x="222" y="151"/>
                              </a:lnTo>
                              <a:lnTo>
                                <a:pt x="222" y="151"/>
                              </a:lnTo>
                              <a:lnTo>
                                <a:pt x="222" y="151"/>
                              </a:lnTo>
                              <a:lnTo>
                                <a:pt x="222" y="151"/>
                              </a:lnTo>
                              <a:lnTo>
                                <a:pt x="223" y="151"/>
                              </a:lnTo>
                              <a:lnTo>
                                <a:pt x="223" y="151"/>
                              </a:lnTo>
                              <a:lnTo>
                                <a:pt x="223" y="150"/>
                              </a:lnTo>
                              <a:lnTo>
                                <a:pt x="223" y="150"/>
                              </a:lnTo>
                              <a:lnTo>
                                <a:pt x="223" y="150"/>
                              </a:lnTo>
                              <a:lnTo>
                                <a:pt x="223" y="150"/>
                              </a:lnTo>
                              <a:lnTo>
                                <a:pt x="223" y="150"/>
                              </a:lnTo>
                              <a:lnTo>
                                <a:pt x="223" y="149"/>
                              </a:lnTo>
                              <a:lnTo>
                                <a:pt x="224" y="149"/>
                              </a:lnTo>
                              <a:lnTo>
                                <a:pt x="224" y="149"/>
                              </a:lnTo>
                              <a:lnTo>
                                <a:pt x="224" y="149"/>
                              </a:lnTo>
                              <a:lnTo>
                                <a:pt x="224" y="148"/>
                              </a:lnTo>
                              <a:lnTo>
                                <a:pt x="224" y="148"/>
                              </a:lnTo>
                              <a:lnTo>
                                <a:pt x="224" y="148"/>
                              </a:lnTo>
                              <a:lnTo>
                                <a:pt x="224" y="147"/>
                              </a:lnTo>
                              <a:lnTo>
                                <a:pt x="224" y="147"/>
                              </a:lnTo>
                              <a:lnTo>
                                <a:pt x="225" y="147"/>
                              </a:lnTo>
                              <a:lnTo>
                                <a:pt x="225" y="146"/>
                              </a:lnTo>
                              <a:lnTo>
                                <a:pt x="225" y="146"/>
                              </a:lnTo>
                              <a:lnTo>
                                <a:pt x="225" y="146"/>
                              </a:lnTo>
                              <a:lnTo>
                                <a:pt x="225" y="145"/>
                              </a:lnTo>
                              <a:lnTo>
                                <a:pt x="225" y="145"/>
                              </a:lnTo>
                              <a:lnTo>
                                <a:pt x="225" y="144"/>
                              </a:lnTo>
                              <a:lnTo>
                                <a:pt x="226" y="144"/>
                              </a:lnTo>
                              <a:lnTo>
                                <a:pt x="226" y="144"/>
                              </a:lnTo>
                              <a:lnTo>
                                <a:pt x="226" y="143"/>
                              </a:lnTo>
                              <a:lnTo>
                                <a:pt x="226" y="143"/>
                              </a:lnTo>
                              <a:lnTo>
                                <a:pt x="226" y="142"/>
                              </a:lnTo>
                              <a:lnTo>
                                <a:pt x="226" y="142"/>
                              </a:lnTo>
                              <a:lnTo>
                                <a:pt x="226" y="141"/>
                              </a:lnTo>
                              <a:lnTo>
                                <a:pt x="226" y="141"/>
                              </a:lnTo>
                              <a:lnTo>
                                <a:pt x="227" y="140"/>
                              </a:lnTo>
                              <a:lnTo>
                                <a:pt x="227" y="140"/>
                              </a:lnTo>
                              <a:lnTo>
                                <a:pt x="227" y="139"/>
                              </a:lnTo>
                              <a:lnTo>
                                <a:pt x="227" y="138"/>
                              </a:lnTo>
                              <a:lnTo>
                                <a:pt x="227" y="138"/>
                              </a:lnTo>
                              <a:lnTo>
                                <a:pt x="227" y="137"/>
                              </a:lnTo>
                              <a:lnTo>
                                <a:pt x="227" y="137"/>
                              </a:lnTo>
                              <a:lnTo>
                                <a:pt x="227" y="136"/>
                              </a:lnTo>
                              <a:lnTo>
                                <a:pt x="227" y="136"/>
                              </a:lnTo>
                              <a:lnTo>
                                <a:pt x="228" y="135"/>
                              </a:lnTo>
                              <a:lnTo>
                                <a:pt x="228" y="135"/>
                              </a:lnTo>
                              <a:lnTo>
                                <a:pt x="228" y="134"/>
                              </a:lnTo>
                              <a:lnTo>
                                <a:pt x="228" y="133"/>
                              </a:lnTo>
                              <a:lnTo>
                                <a:pt x="228" y="133"/>
                              </a:lnTo>
                              <a:lnTo>
                                <a:pt x="228" y="132"/>
                              </a:lnTo>
                              <a:lnTo>
                                <a:pt x="228" y="131"/>
                              </a:lnTo>
                              <a:lnTo>
                                <a:pt x="228" y="130"/>
                              </a:lnTo>
                              <a:lnTo>
                                <a:pt x="229" y="130"/>
                              </a:lnTo>
                              <a:lnTo>
                                <a:pt x="229" y="129"/>
                              </a:lnTo>
                              <a:lnTo>
                                <a:pt x="229" y="128"/>
                              </a:lnTo>
                              <a:lnTo>
                                <a:pt x="229" y="127"/>
                              </a:lnTo>
                              <a:lnTo>
                                <a:pt x="229" y="126"/>
                              </a:lnTo>
                              <a:lnTo>
                                <a:pt x="229" y="125"/>
                              </a:lnTo>
                              <a:lnTo>
                                <a:pt x="229" y="124"/>
                              </a:lnTo>
                              <a:lnTo>
                                <a:pt x="229" y="123"/>
                              </a:lnTo>
                              <a:lnTo>
                                <a:pt x="230" y="123"/>
                              </a:lnTo>
                              <a:lnTo>
                                <a:pt x="230" y="122"/>
                              </a:lnTo>
                              <a:lnTo>
                                <a:pt x="230" y="121"/>
                              </a:lnTo>
                              <a:lnTo>
                                <a:pt x="230" y="120"/>
                              </a:lnTo>
                              <a:lnTo>
                                <a:pt x="230" y="119"/>
                              </a:lnTo>
                              <a:lnTo>
                                <a:pt x="230" y="118"/>
                              </a:lnTo>
                              <a:lnTo>
                                <a:pt x="230" y="117"/>
                              </a:lnTo>
                              <a:lnTo>
                                <a:pt x="231" y="115"/>
                              </a:lnTo>
                              <a:lnTo>
                                <a:pt x="231" y="114"/>
                              </a:lnTo>
                              <a:lnTo>
                                <a:pt x="231" y="112"/>
                              </a:lnTo>
                              <a:lnTo>
                                <a:pt x="231" y="110"/>
                              </a:lnTo>
                              <a:lnTo>
                                <a:pt x="231" y="108"/>
                              </a:lnTo>
                              <a:lnTo>
                                <a:pt x="232" y="106"/>
                              </a:lnTo>
                              <a:lnTo>
                                <a:pt x="232" y="104"/>
                              </a:lnTo>
                              <a:lnTo>
                                <a:pt x="232" y="102"/>
                              </a:lnTo>
                              <a:lnTo>
                                <a:pt x="232" y="100"/>
                              </a:lnTo>
                              <a:lnTo>
                                <a:pt x="232" y="97"/>
                              </a:lnTo>
                              <a:lnTo>
                                <a:pt x="233" y="95"/>
                              </a:lnTo>
                              <a:lnTo>
                                <a:pt x="233" y="92"/>
                              </a:lnTo>
                              <a:lnTo>
                                <a:pt x="233" y="90"/>
                              </a:lnTo>
                              <a:lnTo>
                                <a:pt x="233" y="86"/>
                              </a:lnTo>
                              <a:lnTo>
                                <a:pt x="234" y="83"/>
                              </a:lnTo>
                              <a:lnTo>
                                <a:pt x="234" y="79"/>
                              </a:lnTo>
                              <a:lnTo>
                                <a:pt x="235" y="73"/>
                              </a:lnTo>
                              <a:lnTo>
                                <a:pt x="235" y="66"/>
                              </a:lnTo>
                              <a:lnTo>
                                <a:pt x="236" y="60"/>
                              </a:lnTo>
                              <a:lnTo>
                                <a:pt x="236" y="55"/>
                              </a:lnTo>
                              <a:lnTo>
                                <a:pt x="237" y="50"/>
                              </a:lnTo>
                              <a:lnTo>
                                <a:pt x="237" y="46"/>
                              </a:lnTo>
                              <a:lnTo>
                                <a:pt x="238" y="42"/>
                              </a:lnTo>
                              <a:lnTo>
                                <a:pt x="238" y="39"/>
                              </a:lnTo>
                              <a:lnTo>
                                <a:pt x="238" y="36"/>
                              </a:lnTo>
                              <a:lnTo>
                                <a:pt x="239" y="33"/>
                              </a:lnTo>
                              <a:lnTo>
                                <a:pt x="239" y="31"/>
                              </a:lnTo>
                              <a:lnTo>
                                <a:pt x="239" y="28"/>
                              </a:lnTo>
                              <a:lnTo>
                                <a:pt x="240" y="26"/>
                              </a:lnTo>
                              <a:lnTo>
                                <a:pt x="240" y="24"/>
                              </a:lnTo>
                              <a:lnTo>
                                <a:pt x="240" y="22"/>
                              </a:lnTo>
                              <a:lnTo>
                                <a:pt x="240" y="20"/>
                              </a:lnTo>
                              <a:lnTo>
                                <a:pt x="241" y="18"/>
                              </a:lnTo>
                              <a:lnTo>
                                <a:pt x="241" y="16"/>
                              </a:lnTo>
                              <a:lnTo>
                                <a:pt x="241" y="15"/>
                              </a:lnTo>
                              <a:lnTo>
                                <a:pt x="241" y="13"/>
                              </a:lnTo>
                              <a:lnTo>
                                <a:pt x="241" y="12"/>
                              </a:lnTo>
                              <a:lnTo>
                                <a:pt x="242" y="11"/>
                              </a:lnTo>
                              <a:lnTo>
                                <a:pt x="242" y="10"/>
                              </a:lnTo>
                              <a:lnTo>
                                <a:pt x="242" y="8"/>
                              </a:lnTo>
                              <a:lnTo>
                                <a:pt x="242" y="7"/>
                              </a:lnTo>
                              <a:lnTo>
                                <a:pt x="243" y="6"/>
                              </a:lnTo>
                              <a:lnTo>
                                <a:pt x="243" y="5"/>
                              </a:lnTo>
                              <a:lnTo>
                                <a:pt x="243" y="4"/>
                              </a:lnTo>
                              <a:lnTo>
                                <a:pt x="243" y="4"/>
                              </a:lnTo>
                              <a:lnTo>
                                <a:pt x="243" y="3"/>
                              </a:lnTo>
                              <a:lnTo>
                                <a:pt x="244" y="2"/>
                              </a:lnTo>
                              <a:lnTo>
                                <a:pt x="244" y="1"/>
                              </a:lnTo>
                              <a:lnTo>
                                <a:pt x="244" y="1"/>
                              </a:lnTo>
                              <a:lnTo>
                                <a:pt x="245" y="0"/>
                              </a:lnTo>
                              <a:lnTo>
                                <a:pt x="245" y="0"/>
                              </a:lnTo>
                              <a:lnTo>
                                <a:pt x="245" y="0"/>
                              </a:lnTo>
                              <a:lnTo>
                                <a:pt x="245" y="0"/>
                              </a:lnTo>
                              <a:lnTo>
                                <a:pt x="246" y="0"/>
                              </a:lnTo>
                              <a:lnTo>
                                <a:pt x="246" y="0"/>
                              </a:lnTo>
                              <a:lnTo>
                                <a:pt x="246" y="0"/>
                              </a:lnTo>
                              <a:lnTo>
                                <a:pt x="247" y="1"/>
                              </a:lnTo>
                              <a:lnTo>
                                <a:pt x="247" y="2"/>
                              </a:lnTo>
                              <a:lnTo>
                                <a:pt x="247" y="2"/>
                              </a:lnTo>
                              <a:lnTo>
                                <a:pt x="248" y="3"/>
                              </a:lnTo>
                              <a:lnTo>
                                <a:pt x="248" y="4"/>
                              </a:lnTo>
                              <a:lnTo>
                                <a:pt x="248" y="5"/>
                              </a:lnTo>
                              <a:lnTo>
                                <a:pt x="248" y="6"/>
                              </a:lnTo>
                              <a:lnTo>
                                <a:pt x="248" y="7"/>
                              </a:lnTo>
                              <a:lnTo>
                                <a:pt x="249" y="8"/>
                              </a:lnTo>
                              <a:lnTo>
                                <a:pt x="249" y="9"/>
                              </a:lnTo>
                              <a:lnTo>
                                <a:pt x="249" y="10"/>
                              </a:lnTo>
                              <a:lnTo>
                                <a:pt x="249" y="12"/>
                              </a:lnTo>
                              <a:lnTo>
                                <a:pt x="250" y="13"/>
                              </a:lnTo>
                              <a:lnTo>
                                <a:pt x="250" y="15"/>
                              </a:lnTo>
                              <a:lnTo>
                                <a:pt x="250" y="16"/>
                              </a:lnTo>
                              <a:lnTo>
                                <a:pt x="250" y="18"/>
                              </a:lnTo>
                              <a:lnTo>
                                <a:pt x="251" y="20"/>
                              </a:lnTo>
                              <a:lnTo>
                                <a:pt x="251" y="22"/>
                              </a:lnTo>
                              <a:lnTo>
                                <a:pt x="251" y="25"/>
                              </a:lnTo>
                              <a:lnTo>
                                <a:pt x="252" y="27"/>
                              </a:lnTo>
                              <a:lnTo>
                                <a:pt x="252" y="30"/>
                              </a:lnTo>
                              <a:lnTo>
                                <a:pt x="252" y="33"/>
                              </a:lnTo>
                              <a:lnTo>
                                <a:pt x="253" y="37"/>
                              </a:lnTo>
                              <a:lnTo>
                                <a:pt x="253" y="41"/>
                              </a:lnTo>
                              <a:lnTo>
                                <a:pt x="254" y="47"/>
                              </a:lnTo>
                              <a:lnTo>
                                <a:pt x="255" y="53"/>
                              </a:lnTo>
                              <a:lnTo>
                                <a:pt x="255" y="58"/>
                              </a:lnTo>
                              <a:lnTo>
                                <a:pt x="256" y="62"/>
                              </a:lnTo>
                              <a:lnTo>
                                <a:pt x="256" y="66"/>
                              </a:lnTo>
                              <a:lnTo>
                                <a:pt x="257" y="70"/>
                              </a:lnTo>
                              <a:lnTo>
                                <a:pt x="257" y="73"/>
                              </a:lnTo>
                              <a:lnTo>
                                <a:pt x="257" y="76"/>
                              </a:lnTo>
                              <a:lnTo>
                                <a:pt x="258" y="78"/>
                              </a:lnTo>
                              <a:lnTo>
                                <a:pt x="258" y="80"/>
                              </a:lnTo>
                              <a:lnTo>
                                <a:pt x="258" y="82"/>
                              </a:lnTo>
                              <a:lnTo>
                                <a:pt x="259" y="84"/>
                              </a:lnTo>
                              <a:lnTo>
                                <a:pt x="259" y="85"/>
                              </a:lnTo>
                              <a:lnTo>
                                <a:pt x="259" y="87"/>
                              </a:lnTo>
                              <a:lnTo>
                                <a:pt x="259" y="89"/>
                              </a:lnTo>
                              <a:lnTo>
                                <a:pt x="260" y="90"/>
                              </a:lnTo>
                              <a:lnTo>
                                <a:pt x="260" y="92"/>
                              </a:lnTo>
                              <a:lnTo>
                                <a:pt x="260" y="94"/>
                              </a:lnTo>
                              <a:lnTo>
                                <a:pt x="260" y="95"/>
                              </a:lnTo>
                              <a:lnTo>
                                <a:pt x="261" y="96"/>
                              </a:lnTo>
                              <a:lnTo>
                                <a:pt x="261" y="98"/>
                              </a:lnTo>
                              <a:lnTo>
                                <a:pt x="261" y="99"/>
                              </a:lnTo>
                              <a:lnTo>
                                <a:pt x="261" y="101"/>
                              </a:lnTo>
                              <a:lnTo>
                                <a:pt x="262" y="102"/>
                              </a:lnTo>
                              <a:lnTo>
                                <a:pt x="262" y="103"/>
                              </a:lnTo>
                              <a:lnTo>
                                <a:pt x="262" y="104"/>
                              </a:lnTo>
                              <a:lnTo>
                                <a:pt x="262" y="105"/>
                              </a:lnTo>
                              <a:lnTo>
                                <a:pt x="263" y="106"/>
                              </a:lnTo>
                              <a:lnTo>
                                <a:pt x="263" y="106"/>
                              </a:lnTo>
                              <a:lnTo>
                                <a:pt x="263" y="107"/>
                              </a:lnTo>
                              <a:lnTo>
                                <a:pt x="263" y="107"/>
                              </a:lnTo>
                              <a:lnTo>
                                <a:pt x="263" y="108"/>
                              </a:lnTo>
                              <a:lnTo>
                                <a:pt x="263" y="108"/>
                              </a:lnTo>
                              <a:lnTo>
                                <a:pt x="263" y="108"/>
                              </a:lnTo>
                              <a:lnTo>
                                <a:pt x="263" y="109"/>
                              </a:lnTo>
                              <a:lnTo>
                                <a:pt x="263" y="109"/>
                              </a:lnTo>
                              <a:lnTo>
                                <a:pt x="263" y="109"/>
                              </a:lnTo>
                              <a:lnTo>
                                <a:pt x="263" y="110"/>
                              </a:lnTo>
                              <a:lnTo>
                                <a:pt x="263" y="110"/>
                              </a:lnTo>
                              <a:lnTo>
                                <a:pt x="264" y="110"/>
                              </a:lnTo>
                              <a:lnTo>
                                <a:pt x="264" y="111"/>
                              </a:lnTo>
                              <a:lnTo>
                                <a:pt x="264" y="111"/>
                              </a:lnTo>
                              <a:lnTo>
                                <a:pt x="264" y="112"/>
                              </a:lnTo>
                              <a:lnTo>
                                <a:pt x="264" y="112"/>
                              </a:lnTo>
                              <a:lnTo>
                                <a:pt x="264" y="112"/>
                              </a:lnTo>
                              <a:lnTo>
                                <a:pt x="264" y="113"/>
                              </a:lnTo>
                              <a:lnTo>
                                <a:pt x="264" y="113"/>
                              </a:lnTo>
                              <a:lnTo>
                                <a:pt x="265" y="114"/>
                              </a:lnTo>
                              <a:lnTo>
                                <a:pt x="265" y="115"/>
                              </a:lnTo>
                              <a:lnTo>
                                <a:pt x="265" y="116"/>
                              </a:lnTo>
                              <a:lnTo>
                                <a:pt x="265" y="117"/>
                              </a:lnTo>
                              <a:lnTo>
                                <a:pt x="266" y="118"/>
                              </a:lnTo>
                              <a:lnTo>
                                <a:pt x="266" y="119"/>
                              </a:lnTo>
                              <a:lnTo>
                                <a:pt x="266" y="119"/>
                              </a:lnTo>
                              <a:lnTo>
                                <a:pt x="266" y="120"/>
                              </a:lnTo>
                              <a:lnTo>
                                <a:pt x="267" y="121"/>
                              </a:lnTo>
                              <a:lnTo>
                                <a:pt x="267" y="121"/>
                              </a:lnTo>
                              <a:lnTo>
                                <a:pt x="267" y="122"/>
                              </a:lnTo>
                              <a:lnTo>
                                <a:pt x="267" y="122"/>
                              </a:lnTo>
                              <a:lnTo>
                                <a:pt x="267" y="123"/>
                              </a:lnTo>
                              <a:lnTo>
                                <a:pt x="268" y="123"/>
                              </a:lnTo>
                              <a:lnTo>
                                <a:pt x="268" y="124"/>
                              </a:lnTo>
                              <a:lnTo>
                                <a:pt x="268" y="125"/>
                              </a:lnTo>
                              <a:lnTo>
                                <a:pt x="268" y="125"/>
                              </a:lnTo>
                              <a:lnTo>
                                <a:pt x="269" y="126"/>
                              </a:lnTo>
                              <a:lnTo>
                                <a:pt x="269" y="126"/>
                              </a:lnTo>
                              <a:lnTo>
                                <a:pt x="269" y="127"/>
                              </a:lnTo>
                              <a:lnTo>
                                <a:pt x="269" y="127"/>
                              </a:lnTo>
                              <a:lnTo>
                                <a:pt x="270" y="128"/>
                              </a:lnTo>
                              <a:lnTo>
                                <a:pt x="270" y="128"/>
                              </a:lnTo>
                              <a:lnTo>
                                <a:pt x="270" y="129"/>
                              </a:lnTo>
                              <a:lnTo>
                                <a:pt x="271" y="130"/>
                              </a:lnTo>
                              <a:lnTo>
                                <a:pt x="271" y="130"/>
                              </a:lnTo>
                              <a:lnTo>
                                <a:pt x="271" y="131"/>
                              </a:lnTo>
                              <a:lnTo>
                                <a:pt x="271" y="131"/>
                              </a:lnTo>
                              <a:lnTo>
                                <a:pt x="272" y="132"/>
                              </a:lnTo>
                              <a:lnTo>
                                <a:pt x="272" y="132"/>
                              </a:lnTo>
                              <a:lnTo>
                                <a:pt x="272" y="132"/>
                              </a:lnTo>
                              <a:lnTo>
                                <a:pt x="273" y="133"/>
                              </a:lnTo>
                              <a:lnTo>
                                <a:pt x="273" y="133"/>
                              </a:lnTo>
                              <a:lnTo>
                                <a:pt x="273" y="134"/>
                              </a:lnTo>
                              <a:lnTo>
                                <a:pt x="274" y="134"/>
                              </a:lnTo>
                              <a:lnTo>
                                <a:pt x="274" y="135"/>
                              </a:lnTo>
                              <a:lnTo>
                                <a:pt x="274" y="135"/>
                              </a:lnTo>
                              <a:lnTo>
                                <a:pt x="275" y="135"/>
                              </a:lnTo>
                              <a:lnTo>
                                <a:pt x="275" y="136"/>
                              </a:lnTo>
                              <a:lnTo>
                                <a:pt x="275" y="136"/>
                              </a:lnTo>
                              <a:lnTo>
                                <a:pt x="276" y="136"/>
                              </a:lnTo>
                              <a:lnTo>
                                <a:pt x="276" y="137"/>
                              </a:lnTo>
                              <a:lnTo>
                                <a:pt x="276" y="137"/>
                              </a:lnTo>
                              <a:lnTo>
                                <a:pt x="277" y="137"/>
                              </a:lnTo>
                              <a:lnTo>
                                <a:pt x="277" y="138"/>
                              </a:lnTo>
                              <a:lnTo>
                                <a:pt x="277" y="138"/>
                              </a:lnTo>
                              <a:lnTo>
                                <a:pt x="278" y="138"/>
                              </a:lnTo>
                              <a:lnTo>
                                <a:pt x="278" y="138"/>
                              </a:lnTo>
                              <a:lnTo>
                                <a:pt x="278" y="139"/>
                              </a:lnTo>
                              <a:lnTo>
                                <a:pt x="279" y="139"/>
                              </a:lnTo>
                              <a:lnTo>
                                <a:pt x="279" y="139"/>
                              </a:lnTo>
                              <a:lnTo>
                                <a:pt x="279" y="139"/>
                              </a:lnTo>
                              <a:lnTo>
                                <a:pt x="280" y="139"/>
                              </a:lnTo>
                              <a:lnTo>
                                <a:pt x="280" y="139"/>
                              </a:lnTo>
                              <a:lnTo>
                                <a:pt x="280" y="139"/>
                              </a:lnTo>
                              <a:lnTo>
                                <a:pt x="281" y="140"/>
                              </a:lnTo>
                              <a:lnTo>
                                <a:pt x="281" y="140"/>
                              </a:lnTo>
                              <a:lnTo>
                                <a:pt x="281" y="140"/>
                              </a:lnTo>
                              <a:lnTo>
                                <a:pt x="281" y="140"/>
                              </a:lnTo>
                              <a:lnTo>
                                <a:pt x="282" y="140"/>
                              </a:lnTo>
                              <a:lnTo>
                                <a:pt x="282" y="140"/>
                              </a:lnTo>
                              <a:lnTo>
                                <a:pt x="282" y="140"/>
                              </a:lnTo>
                              <a:lnTo>
                                <a:pt x="283" y="140"/>
                              </a:lnTo>
                              <a:lnTo>
                                <a:pt x="283" y="140"/>
                              </a:lnTo>
                              <a:lnTo>
                                <a:pt x="283" y="140"/>
                              </a:lnTo>
                              <a:lnTo>
                                <a:pt x="283" y="140"/>
                              </a:lnTo>
                              <a:lnTo>
                                <a:pt x="284" y="140"/>
                              </a:lnTo>
                              <a:lnTo>
                                <a:pt x="284" y="140"/>
                              </a:lnTo>
                              <a:lnTo>
                                <a:pt x="284" y="140"/>
                              </a:lnTo>
                              <a:lnTo>
                                <a:pt x="284" y="140"/>
                              </a:lnTo>
                              <a:lnTo>
                                <a:pt x="285" y="140"/>
                              </a:lnTo>
                              <a:lnTo>
                                <a:pt x="285" y="140"/>
                              </a:lnTo>
                              <a:lnTo>
                                <a:pt x="285" y="139"/>
                              </a:lnTo>
                              <a:lnTo>
                                <a:pt x="285" y="139"/>
                              </a:lnTo>
                              <a:lnTo>
                                <a:pt x="286" y="139"/>
                              </a:lnTo>
                              <a:lnTo>
                                <a:pt x="286" y="139"/>
                              </a:lnTo>
                              <a:lnTo>
                                <a:pt x="286" y="139"/>
                              </a:lnTo>
                              <a:lnTo>
                                <a:pt x="286" y="139"/>
                              </a:lnTo>
                              <a:lnTo>
                                <a:pt x="287" y="139"/>
                              </a:lnTo>
                              <a:lnTo>
                                <a:pt x="287" y="138"/>
                              </a:lnTo>
                              <a:lnTo>
                                <a:pt x="287" y="138"/>
                              </a:lnTo>
                              <a:lnTo>
                                <a:pt x="287" y="138"/>
                              </a:lnTo>
                              <a:lnTo>
                                <a:pt x="288" y="138"/>
                              </a:lnTo>
                              <a:lnTo>
                                <a:pt x="288" y="137"/>
                              </a:lnTo>
                              <a:lnTo>
                                <a:pt x="288" y="137"/>
                              </a:lnTo>
                              <a:lnTo>
                                <a:pt x="288" y="137"/>
                              </a:lnTo>
                              <a:lnTo>
                                <a:pt x="289" y="136"/>
                              </a:lnTo>
                              <a:lnTo>
                                <a:pt x="289" y="136"/>
                              </a:lnTo>
                              <a:lnTo>
                                <a:pt x="289" y="136"/>
                              </a:lnTo>
                              <a:lnTo>
                                <a:pt x="290" y="135"/>
                              </a:lnTo>
                              <a:lnTo>
                                <a:pt x="290" y="135"/>
                              </a:lnTo>
                              <a:lnTo>
                                <a:pt x="290" y="134"/>
                              </a:lnTo>
                              <a:lnTo>
                                <a:pt x="290" y="134"/>
                              </a:lnTo>
                              <a:lnTo>
                                <a:pt x="291" y="134"/>
                              </a:lnTo>
                              <a:lnTo>
                                <a:pt x="291" y="133"/>
                              </a:lnTo>
                              <a:lnTo>
                                <a:pt x="291" y="132"/>
                              </a:lnTo>
                              <a:lnTo>
                                <a:pt x="292" y="132"/>
                              </a:lnTo>
                              <a:lnTo>
                                <a:pt x="292" y="131"/>
                              </a:lnTo>
                              <a:lnTo>
                                <a:pt x="292" y="131"/>
                              </a:lnTo>
                              <a:lnTo>
                                <a:pt x="293" y="130"/>
                              </a:lnTo>
                              <a:lnTo>
                                <a:pt x="293" y="129"/>
                              </a:lnTo>
                              <a:lnTo>
                                <a:pt x="293" y="129"/>
                              </a:lnTo>
                              <a:lnTo>
                                <a:pt x="294" y="128"/>
                              </a:lnTo>
                              <a:lnTo>
                                <a:pt x="294" y="127"/>
                              </a:lnTo>
                              <a:lnTo>
                                <a:pt x="294" y="126"/>
                              </a:lnTo>
                              <a:lnTo>
                                <a:pt x="295" y="126"/>
                              </a:lnTo>
                              <a:lnTo>
                                <a:pt x="295" y="125"/>
                              </a:lnTo>
                              <a:lnTo>
                                <a:pt x="295" y="123"/>
                              </a:lnTo>
                              <a:lnTo>
                                <a:pt x="296" y="122"/>
                              </a:lnTo>
                              <a:lnTo>
                                <a:pt x="297" y="121"/>
                              </a:lnTo>
                              <a:lnTo>
                                <a:pt x="297" y="119"/>
                              </a:lnTo>
                              <a:lnTo>
                                <a:pt x="298" y="118"/>
                              </a:lnTo>
                              <a:lnTo>
                                <a:pt x="298" y="116"/>
                              </a:lnTo>
                              <a:lnTo>
                                <a:pt x="299" y="115"/>
                              </a:lnTo>
                              <a:lnTo>
                                <a:pt x="299" y="114"/>
                              </a:lnTo>
                              <a:lnTo>
                                <a:pt x="299" y="113"/>
                              </a:lnTo>
                              <a:lnTo>
                                <a:pt x="300" y="113"/>
                              </a:lnTo>
                              <a:lnTo>
                                <a:pt x="300" y="112"/>
                              </a:lnTo>
                              <a:lnTo>
                                <a:pt x="300" y="111"/>
                              </a:lnTo>
                              <a:lnTo>
                                <a:pt x="301" y="111"/>
                              </a:lnTo>
                              <a:lnTo>
                                <a:pt x="301" y="110"/>
                              </a:lnTo>
                              <a:lnTo>
                                <a:pt x="301" y="110"/>
                              </a:lnTo>
                              <a:lnTo>
                                <a:pt x="302" y="109"/>
                              </a:lnTo>
                              <a:lnTo>
                                <a:pt x="302" y="109"/>
                              </a:lnTo>
                              <a:lnTo>
                                <a:pt x="302" y="108"/>
                              </a:lnTo>
                              <a:lnTo>
                                <a:pt x="302" y="108"/>
                              </a:lnTo>
                              <a:lnTo>
                                <a:pt x="303" y="108"/>
                              </a:lnTo>
                              <a:lnTo>
                                <a:pt x="303" y="108"/>
                              </a:lnTo>
                              <a:lnTo>
                                <a:pt x="303" y="107"/>
                              </a:lnTo>
                              <a:lnTo>
                                <a:pt x="303" y="107"/>
                              </a:lnTo>
                              <a:lnTo>
                                <a:pt x="304" y="107"/>
                              </a:lnTo>
                              <a:lnTo>
                                <a:pt x="304" y="107"/>
                              </a:lnTo>
                              <a:lnTo>
                                <a:pt x="304" y="107"/>
                              </a:lnTo>
                              <a:lnTo>
                                <a:pt x="304" y="107"/>
                              </a:lnTo>
                              <a:lnTo>
                                <a:pt x="304" y="107"/>
                              </a:lnTo>
                              <a:lnTo>
                                <a:pt x="305" y="107"/>
                              </a:lnTo>
                              <a:lnTo>
                                <a:pt x="305" y="107"/>
                              </a:lnTo>
                              <a:lnTo>
                                <a:pt x="305" y="108"/>
                              </a:lnTo>
                              <a:lnTo>
                                <a:pt x="305" y="108"/>
                              </a:lnTo>
                              <a:lnTo>
                                <a:pt x="306" y="108"/>
                              </a:lnTo>
                              <a:lnTo>
                                <a:pt x="306" y="108"/>
                              </a:lnTo>
                              <a:lnTo>
                                <a:pt x="306" y="109"/>
                              </a:lnTo>
                              <a:lnTo>
                                <a:pt x="306" y="109"/>
                              </a:lnTo>
                              <a:lnTo>
                                <a:pt x="307" y="110"/>
                              </a:lnTo>
                              <a:lnTo>
                                <a:pt x="307" y="110"/>
                              </a:lnTo>
                              <a:lnTo>
                                <a:pt x="307" y="111"/>
                              </a:lnTo>
                              <a:lnTo>
                                <a:pt x="307" y="111"/>
                              </a:lnTo>
                              <a:lnTo>
                                <a:pt x="307" y="111"/>
                              </a:lnTo>
                              <a:lnTo>
                                <a:pt x="308" y="112"/>
                              </a:lnTo>
                              <a:lnTo>
                                <a:pt x="308" y="112"/>
                              </a:lnTo>
                              <a:lnTo>
                                <a:pt x="308" y="113"/>
                              </a:lnTo>
                              <a:lnTo>
                                <a:pt x="308" y="114"/>
                              </a:lnTo>
                              <a:lnTo>
                                <a:pt x="309" y="115"/>
                              </a:lnTo>
                              <a:lnTo>
                                <a:pt x="309" y="116"/>
                              </a:lnTo>
                              <a:lnTo>
                                <a:pt x="309" y="117"/>
                              </a:lnTo>
                              <a:lnTo>
                                <a:pt x="310" y="118"/>
                              </a:lnTo>
                              <a:lnTo>
                                <a:pt x="310" y="119"/>
                              </a:lnTo>
                              <a:lnTo>
                                <a:pt x="310" y="120"/>
                              </a:lnTo>
                              <a:lnTo>
                                <a:pt x="311" y="122"/>
                              </a:lnTo>
                              <a:lnTo>
                                <a:pt x="311" y="123"/>
                              </a:lnTo>
                              <a:lnTo>
                                <a:pt x="312" y="125"/>
                              </a:lnTo>
                              <a:lnTo>
                                <a:pt x="312" y="126"/>
                              </a:lnTo>
                              <a:lnTo>
                                <a:pt x="313" y="128"/>
                              </a:lnTo>
                              <a:lnTo>
                                <a:pt x="313" y="129"/>
                              </a:lnTo>
                              <a:lnTo>
                                <a:pt x="313" y="130"/>
                              </a:lnTo>
                              <a:lnTo>
                                <a:pt x="314" y="131"/>
                              </a:lnTo>
                              <a:lnTo>
                                <a:pt x="314" y="131"/>
                              </a:lnTo>
                              <a:lnTo>
                                <a:pt x="314" y="132"/>
                              </a:lnTo>
                              <a:lnTo>
                                <a:pt x="314" y="133"/>
                              </a:lnTo>
                              <a:lnTo>
                                <a:pt x="315" y="134"/>
                              </a:lnTo>
                              <a:lnTo>
                                <a:pt x="315" y="134"/>
                              </a:lnTo>
                              <a:lnTo>
                                <a:pt x="315" y="135"/>
                              </a:lnTo>
                              <a:lnTo>
                                <a:pt x="315" y="136"/>
                              </a:lnTo>
                              <a:lnTo>
                                <a:pt x="316" y="136"/>
                              </a:lnTo>
                              <a:lnTo>
                                <a:pt x="316" y="137"/>
                              </a:lnTo>
                              <a:lnTo>
                                <a:pt x="316" y="137"/>
                              </a:lnTo>
                              <a:lnTo>
                                <a:pt x="316" y="138"/>
                              </a:lnTo>
                              <a:lnTo>
                                <a:pt x="317" y="138"/>
                              </a:lnTo>
                              <a:lnTo>
                                <a:pt x="317" y="139"/>
                              </a:lnTo>
                              <a:lnTo>
                                <a:pt x="317" y="139"/>
                              </a:lnTo>
                              <a:lnTo>
                                <a:pt x="317" y="140"/>
                              </a:lnTo>
                              <a:lnTo>
                                <a:pt x="317" y="140"/>
                              </a:lnTo>
                              <a:lnTo>
                                <a:pt x="318" y="140"/>
                              </a:lnTo>
                              <a:lnTo>
                                <a:pt x="318" y="141"/>
                              </a:lnTo>
                              <a:lnTo>
                                <a:pt x="318" y="141"/>
                              </a:lnTo>
                              <a:lnTo>
                                <a:pt x="318" y="142"/>
                              </a:lnTo>
                              <a:lnTo>
                                <a:pt x="319" y="142"/>
                              </a:lnTo>
                              <a:lnTo>
                                <a:pt x="319" y="143"/>
                              </a:lnTo>
                              <a:lnTo>
                                <a:pt x="319" y="143"/>
                              </a:lnTo>
                              <a:lnTo>
                                <a:pt x="319" y="143"/>
                              </a:lnTo>
                              <a:lnTo>
                                <a:pt x="320" y="144"/>
                              </a:lnTo>
                              <a:lnTo>
                                <a:pt x="320" y="144"/>
                              </a:lnTo>
                              <a:lnTo>
                                <a:pt x="320" y="144"/>
                              </a:lnTo>
                              <a:lnTo>
                                <a:pt x="320" y="145"/>
                              </a:lnTo>
                              <a:lnTo>
                                <a:pt x="321" y="145"/>
                              </a:lnTo>
                              <a:lnTo>
                                <a:pt x="321" y="145"/>
                              </a:lnTo>
                              <a:lnTo>
                                <a:pt x="321" y="146"/>
                              </a:lnTo>
                              <a:lnTo>
                                <a:pt x="321" y="146"/>
                              </a:lnTo>
                              <a:lnTo>
                                <a:pt x="322" y="146"/>
                              </a:lnTo>
                              <a:lnTo>
                                <a:pt x="322" y="146"/>
                              </a:lnTo>
                              <a:lnTo>
                                <a:pt x="322" y="147"/>
                              </a:lnTo>
                              <a:lnTo>
                                <a:pt x="322" y="147"/>
                              </a:lnTo>
                              <a:lnTo>
                                <a:pt x="323" y="147"/>
                              </a:lnTo>
                              <a:lnTo>
                                <a:pt x="323" y="147"/>
                              </a:lnTo>
                              <a:lnTo>
                                <a:pt x="323" y="148"/>
                              </a:lnTo>
                              <a:lnTo>
                                <a:pt x="323" y="148"/>
                              </a:lnTo>
                              <a:lnTo>
                                <a:pt x="324" y="148"/>
                              </a:lnTo>
                            </a:path>
                          </a:pathLst>
                        </a:custGeom>
                        <a:noFill/>
                        <a:ln w="4763">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1" name="Freeform 149"/>
                        <a:cNvSpPr>
                          <a:spLocks/>
                        </a:cNvSpPr>
                      </a:nvSpPr>
                      <a:spPr bwMode="auto">
                        <a:xfrm>
                          <a:off x="2157856" y="11060815"/>
                          <a:ext cx="2736118" cy="42552"/>
                        </a:xfrm>
                        <a:custGeom>
                          <a:avLst/>
                          <a:gdLst/>
                          <a:ahLst/>
                          <a:cxnLst>
                            <a:cxn ang="0">
                              <a:pos x="2" y="26"/>
                            </a:cxn>
                            <a:cxn ang="0">
                              <a:pos x="4" y="27"/>
                            </a:cxn>
                            <a:cxn ang="0">
                              <a:pos x="7" y="27"/>
                            </a:cxn>
                            <a:cxn ang="0">
                              <a:pos x="12" y="26"/>
                            </a:cxn>
                            <a:cxn ang="0">
                              <a:pos x="22" y="24"/>
                            </a:cxn>
                            <a:cxn ang="0">
                              <a:pos x="30" y="24"/>
                            </a:cxn>
                            <a:cxn ang="0">
                              <a:pos x="43" y="24"/>
                            </a:cxn>
                            <a:cxn ang="0">
                              <a:pos x="64" y="26"/>
                            </a:cxn>
                            <a:cxn ang="0">
                              <a:pos x="81" y="26"/>
                            </a:cxn>
                            <a:cxn ang="0">
                              <a:pos x="110" y="27"/>
                            </a:cxn>
                            <a:cxn ang="0">
                              <a:pos x="134" y="28"/>
                            </a:cxn>
                            <a:cxn ang="0">
                              <a:pos x="167" y="28"/>
                            </a:cxn>
                            <a:cxn ang="0">
                              <a:pos x="194" y="28"/>
                            </a:cxn>
                            <a:cxn ang="0">
                              <a:pos x="232" y="28"/>
                            </a:cxn>
                            <a:cxn ang="0">
                              <a:pos x="286" y="29"/>
                            </a:cxn>
                            <a:cxn ang="0">
                              <a:pos x="336" y="29"/>
                            </a:cxn>
                            <a:cxn ang="0">
                              <a:pos x="406" y="29"/>
                            </a:cxn>
                            <a:cxn ang="0">
                              <a:pos x="466" y="30"/>
                            </a:cxn>
                            <a:cxn ang="0">
                              <a:pos x="505" y="30"/>
                            </a:cxn>
                            <a:cxn ang="0">
                              <a:pos x="528" y="30"/>
                            </a:cxn>
                            <a:cxn ang="0">
                              <a:pos x="553" y="30"/>
                            </a:cxn>
                            <a:cxn ang="0">
                              <a:pos x="592" y="30"/>
                            </a:cxn>
                            <a:cxn ang="0">
                              <a:pos x="628" y="30"/>
                            </a:cxn>
                            <a:cxn ang="0">
                              <a:pos x="676" y="30"/>
                            </a:cxn>
                            <a:cxn ang="0">
                              <a:pos x="728" y="29"/>
                            </a:cxn>
                            <a:cxn ang="0">
                              <a:pos x="763" y="29"/>
                            </a:cxn>
                            <a:cxn ang="0">
                              <a:pos x="794" y="29"/>
                            </a:cxn>
                            <a:cxn ang="0">
                              <a:pos x="834" y="29"/>
                            </a:cxn>
                            <a:cxn ang="0">
                              <a:pos x="893" y="28"/>
                            </a:cxn>
                            <a:cxn ang="0">
                              <a:pos x="930" y="28"/>
                            </a:cxn>
                            <a:cxn ang="0">
                              <a:pos x="970" y="28"/>
                            </a:cxn>
                            <a:cxn ang="0">
                              <a:pos x="1003" y="28"/>
                            </a:cxn>
                            <a:cxn ang="0">
                              <a:pos x="1042" y="27"/>
                            </a:cxn>
                            <a:cxn ang="0">
                              <a:pos x="1068" y="27"/>
                            </a:cxn>
                            <a:cxn ang="0">
                              <a:pos x="1114" y="27"/>
                            </a:cxn>
                            <a:cxn ang="0">
                              <a:pos x="1172" y="27"/>
                            </a:cxn>
                            <a:cxn ang="0">
                              <a:pos x="1201" y="27"/>
                            </a:cxn>
                            <a:cxn ang="0">
                              <a:pos x="1253" y="27"/>
                            </a:cxn>
                            <a:cxn ang="0">
                              <a:pos x="1295" y="26"/>
                            </a:cxn>
                            <a:cxn ang="0">
                              <a:pos x="1348" y="26"/>
                            </a:cxn>
                            <a:cxn ang="0">
                              <a:pos x="1406" y="26"/>
                            </a:cxn>
                            <a:cxn ang="0">
                              <a:pos x="1453" y="26"/>
                            </a:cxn>
                            <a:cxn ang="0">
                              <a:pos x="1497" y="25"/>
                            </a:cxn>
                            <a:cxn ang="0">
                              <a:pos x="1549" y="25"/>
                            </a:cxn>
                            <a:cxn ang="0">
                              <a:pos x="1593" y="24"/>
                            </a:cxn>
                            <a:cxn ang="0">
                              <a:pos x="1641" y="23"/>
                            </a:cxn>
                            <a:cxn ang="0">
                              <a:pos x="1662" y="23"/>
                            </a:cxn>
                            <a:cxn ang="0">
                              <a:pos x="1688" y="22"/>
                            </a:cxn>
                            <a:cxn ang="0">
                              <a:pos x="1719" y="22"/>
                            </a:cxn>
                            <a:cxn ang="0">
                              <a:pos x="1749" y="23"/>
                            </a:cxn>
                            <a:cxn ang="0">
                              <a:pos x="1778" y="22"/>
                            </a:cxn>
                            <a:cxn ang="0">
                              <a:pos x="1809" y="21"/>
                            </a:cxn>
                            <a:cxn ang="0">
                              <a:pos x="1847" y="20"/>
                            </a:cxn>
                            <a:cxn ang="0">
                              <a:pos x="1872" y="19"/>
                            </a:cxn>
                            <a:cxn ang="0">
                              <a:pos x="1895" y="17"/>
                            </a:cxn>
                            <a:cxn ang="0">
                              <a:pos x="1915" y="16"/>
                            </a:cxn>
                            <a:cxn ang="0">
                              <a:pos x="1936" y="14"/>
                            </a:cxn>
                            <a:cxn ang="0">
                              <a:pos x="1954" y="13"/>
                            </a:cxn>
                            <a:cxn ang="0">
                              <a:pos x="1971" y="11"/>
                            </a:cxn>
                            <a:cxn ang="0">
                              <a:pos x="1996" y="8"/>
                            </a:cxn>
                            <a:cxn ang="0">
                              <a:pos x="2007" y="7"/>
                            </a:cxn>
                            <a:cxn ang="0">
                              <a:pos x="2027" y="4"/>
                            </a:cxn>
                            <a:cxn ang="0">
                              <a:pos x="2041" y="2"/>
                            </a:cxn>
                          </a:cxnLst>
                          <a:rect l="0" t="0" r="r" b="b"/>
                          <a:pathLst>
                            <a:path w="2050" h="30">
                              <a:moveTo>
                                <a:pt x="0" y="25"/>
                              </a:moveTo>
                              <a:lnTo>
                                <a:pt x="0" y="25"/>
                              </a:lnTo>
                              <a:lnTo>
                                <a:pt x="0" y="25"/>
                              </a:lnTo>
                              <a:lnTo>
                                <a:pt x="1" y="26"/>
                              </a:lnTo>
                              <a:lnTo>
                                <a:pt x="1" y="26"/>
                              </a:lnTo>
                              <a:lnTo>
                                <a:pt x="1" y="26"/>
                              </a:lnTo>
                              <a:lnTo>
                                <a:pt x="1" y="26"/>
                              </a:lnTo>
                              <a:lnTo>
                                <a:pt x="2" y="26"/>
                              </a:lnTo>
                              <a:lnTo>
                                <a:pt x="2" y="26"/>
                              </a:lnTo>
                              <a:lnTo>
                                <a:pt x="2" y="26"/>
                              </a:lnTo>
                              <a:lnTo>
                                <a:pt x="3" y="26"/>
                              </a:lnTo>
                              <a:lnTo>
                                <a:pt x="3" y="27"/>
                              </a:lnTo>
                              <a:lnTo>
                                <a:pt x="3" y="27"/>
                              </a:lnTo>
                              <a:lnTo>
                                <a:pt x="4" y="27"/>
                              </a:lnTo>
                              <a:lnTo>
                                <a:pt x="4" y="27"/>
                              </a:lnTo>
                              <a:lnTo>
                                <a:pt x="4" y="27"/>
                              </a:lnTo>
                              <a:lnTo>
                                <a:pt x="5" y="27"/>
                              </a:lnTo>
                              <a:lnTo>
                                <a:pt x="5" y="27"/>
                              </a:lnTo>
                              <a:lnTo>
                                <a:pt x="5" y="27"/>
                              </a:lnTo>
                              <a:lnTo>
                                <a:pt x="6" y="27"/>
                              </a:lnTo>
                              <a:lnTo>
                                <a:pt x="6" y="27"/>
                              </a:lnTo>
                              <a:lnTo>
                                <a:pt x="7" y="27"/>
                              </a:lnTo>
                              <a:lnTo>
                                <a:pt x="7" y="27"/>
                              </a:lnTo>
                              <a:lnTo>
                                <a:pt x="7" y="27"/>
                              </a:lnTo>
                              <a:lnTo>
                                <a:pt x="8" y="27"/>
                              </a:lnTo>
                              <a:lnTo>
                                <a:pt x="8" y="27"/>
                              </a:lnTo>
                              <a:lnTo>
                                <a:pt x="9" y="27"/>
                              </a:lnTo>
                              <a:lnTo>
                                <a:pt x="9" y="26"/>
                              </a:lnTo>
                              <a:lnTo>
                                <a:pt x="10" y="26"/>
                              </a:lnTo>
                              <a:lnTo>
                                <a:pt x="11" y="26"/>
                              </a:lnTo>
                              <a:lnTo>
                                <a:pt x="11" y="26"/>
                              </a:lnTo>
                              <a:lnTo>
                                <a:pt x="12" y="26"/>
                              </a:lnTo>
                              <a:lnTo>
                                <a:pt x="13" y="26"/>
                              </a:lnTo>
                              <a:lnTo>
                                <a:pt x="15" y="25"/>
                              </a:lnTo>
                              <a:lnTo>
                                <a:pt x="16" y="25"/>
                              </a:lnTo>
                              <a:lnTo>
                                <a:pt x="18" y="25"/>
                              </a:lnTo>
                              <a:lnTo>
                                <a:pt x="19" y="25"/>
                              </a:lnTo>
                              <a:lnTo>
                                <a:pt x="20" y="25"/>
                              </a:lnTo>
                              <a:lnTo>
                                <a:pt x="21" y="24"/>
                              </a:lnTo>
                              <a:lnTo>
                                <a:pt x="22" y="24"/>
                              </a:lnTo>
                              <a:lnTo>
                                <a:pt x="23" y="24"/>
                              </a:lnTo>
                              <a:lnTo>
                                <a:pt x="24" y="24"/>
                              </a:lnTo>
                              <a:lnTo>
                                <a:pt x="25" y="24"/>
                              </a:lnTo>
                              <a:lnTo>
                                <a:pt x="26" y="24"/>
                              </a:lnTo>
                              <a:lnTo>
                                <a:pt x="28" y="24"/>
                              </a:lnTo>
                              <a:lnTo>
                                <a:pt x="29" y="24"/>
                              </a:lnTo>
                              <a:lnTo>
                                <a:pt x="29" y="24"/>
                              </a:lnTo>
                              <a:lnTo>
                                <a:pt x="30" y="24"/>
                              </a:lnTo>
                              <a:lnTo>
                                <a:pt x="32" y="24"/>
                              </a:lnTo>
                              <a:lnTo>
                                <a:pt x="33" y="24"/>
                              </a:lnTo>
                              <a:lnTo>
                                <a:pt x="35" y="24"/>
                              </a:lnTo>
                              <a:lnTo>
                                <a:pt x="36" y="24"/>
                              </a:lnTo>
                              <a:lnTo>
                                <a:pt x="38" y="24"/>
                              </a:lnTo>
                              <a:lnTo>
                                <a:pt x="39" y="24"/>
                              </a:lnTo>
                              <a:lnTo>
                                <a:pt x="41" y="24"/>
                              </a:lnTo>
                              <a:lnTo>
                                <a:pt x="43" y="24"/>
                              </a:lnTo>
                              <a:lnTo>
                                <a:pt x="46" y="24"/>
                              </a:lnTo>
                              <a:lnTo>
                                <a:pt x="48" y="25"/>
                              </a:lnTo>
                              <a:lnTo>
                                <a:pt x="50" y="25"/>
                              </a:lnTo>
                              <a:lnTo>
                                <a:pt x="53" y="25"/>
                              </a:lnTo>
                              <a:lnTo>
                                <a:pt x="55" y="25"/>
                              </a:lnTo>
                              <a:lnTo>
                                <a:pt x="58" y="25"/>
                              </a:lnTo>
                              <a:lnTo>
                                <a:pt x="61" y="26"/>
                              </a:lnTo>
                              <a:lnTo>
                                <a:pt x="64" y="26"/>
                              </a:lnTo>
                              <a:lnTo>
                                <a:pt x="66" y="26"/>
                              </a:lnTo>
                              <a:lnTo>
                                <a:pt x="68" y="26"/>
                              </a:lnTo>
                              <a:lnTo>
                                <a:pt x="70" y="26"/>
                              </a:lnTo>
                              <a:lnTo>
                                <a:pt x="72" y="26"/>
                              </a:lnTo>
                              <a:lnTo>
                                <a:pt x="74" y="26"/>
                              </a:lnTo>
                              <a:lnTo>
                                <a:pt x="76" y="26"/>
                              </a:lnTo>
                              <a:lnTo>
                                <a:pt x="78" y="26"/>
                              </a:lnTo>
                              <a:lnTo>
                                <a:pt x="81" y="26"/>
                              </a:lnTo>
                              <a:lnTo>
                                <a:pt x="86" y="27"/>
                              </a:lnTo>
                              <a:lnTo>
                                <a:pt x="90" y="27"/>
                              </a:lnTo>
                              <a:lnTo>
                                <a:pt x="94" y="27"/>
                              </a:lnTo>
                              <a:lnTo>
                                <a:pt x="96" y="27"/>
                              </a:lnTo>
                              <a:lnTo>
                                <a:pt x="99" y="27"/>
                              </a:lnTo>
                              <a:lnTo>
                                <a:pt x="102" y="27"/>
                              </a:lnTo>
                              <a:lnTo>
                                <a:pt x="106" y="27"/>
                              </a:lnTo>
                              <a:lnTo>
                                <a:pt x="110" y="27"/>
                              </a:lnTo>
                              <a:lnTo>
                                <a:pt x="113" y="27"/>
                              </a:lnTo>
                              <a:lnTo>
                                <a:pt x="116" y="27"/>
                              </a:lnTo>
                              <a:lnTo>
                                <a:pt x="118" y="27"/>
                              </a:lnTo>
                              <a:lnTo>
                                <a:pt x="120" y="28"/>
                              </a:lnTo>
                              <a:lnTo>
                                <a:pt x="123" y="28"/>
                              </a:lnTo>
                              <a:lnTo>
                                <a:pt x="126" y="28"/>
                              </a:lnTo>
                              <a:lnTo>
                                <a:pt x="129" y="28"/>
                              </a:lnTo>
                              <a:lnTo>
                                <a:pt x="134" y="28"/>
                              </a:lnTo>
                              <a:lnTo>
                                <a:pt x="139" y="28"/>
                              </a:lnTo>
                              <a:lnTo>
                                <a:pt x="143" y="28"/>
                              </a:lnTo>
                              <a:lnTo>
                                <a:pt x="147" y="28"/>
                              </a:lnTo>
                              <a:lnTo>
                                <a:pt x="153" y="28"/>
                              </a:lnTo>
                              <a:lnTo>
                                <a:pt x="158" y="28"/>
                              </a:lnTo>
                              <a:lnTo>
                                <a:pt x="161" y="28"/>
                              </a:lnTo>
                              <a:lnTo>
                                <a:pt x="164" y="28"/>
                              </a:lnTo>
                              <a:lnTo>
                                <a:pt x="167" y="28"/>
                              </a:lnTo>
                              <a:lnTo>
                                <a:pt x="169" y="28"/>
                              </a:lnTo>
                              <a:lnTo>
                                <a:pt x="171" y="28"/>
                              </a:lnTo>
                              <a:lnTo>
                                <a:pt x="174" y="28"/>
                              </a:lnTo>
                              <a:lnTo>
                                <a:pt x="178" y="28"/>
                              </a:lnTo>
                              <a:lnTo>
                                <a:pt x="182" y="28"/>
                              </a:lnTo>
                              <a:lnTo>
                                <a:pt x="186" y="28"/>
                              </a:lnTo>
                              <a:lnTo>
                                <a:pt x="190" y="28"/>
                              </a:lnTo>
                              <a:lnTo>
                                <a:pt x="194" y="28"/>
                              </a:lnTo>
                              <a:lnTo>
                                <a:pt x="199" y="28"/>
                              </a:lnTo>
                              <a:lnTo>
                                <a:pt x="203" y="28"/>
                              </a:lnTo>
                              <a:lnTo>
                                <a:pt x="206" y="28"/>
                              </a:lnTo>
                              <a:lnTo>
                                <a:pt x="210" y="28"/>
                              </a:lnTo>
                              <a:lnTo>
                                <a:pt x="215" y="28"/>
                              </a:lnTo>
                              <a:lnTo>
                                <a:pt x="221" y="28"/>
                              </a:lnTo>
                              <a:lnTo>
                                <a:pt x="227" y="28"/>
                              </a:lnTo>
                              <a:lnTo>
                                <a:pt x="232" y="28"/>
                              </a:lnTo>
                              <a:lnTo>
                                <a:pt x="237" y="28"/>
                              </a:lnTo>
                              <a:lnTo>
                                <a:pt x="242" y="28"/>
                              </a:lnTo>
                              <a:lnTo>
                                <a:pt x="249" y="28"/>
                              </a:lnTo>
                              <a:lnTo>
                                <a:pt x="257" y="29"/>
                              </a:lnTo>
                              <a:lnTo>
                                <a:pt x="265" y="29"/>
                              </a:lnTo>
                              <a:lnTo>
                                <a:pt x="272" y="29"/>
                              </a:lnTo>
                              <a:lnTo>
                                <a:pt x="280" y="29"/>
                              </a:lnTo>
                              <a:lnTo>
                                <a:pt x="286" y="29"/>
                              </a:lnTo>
                              <a:lnTo>
                                <a:pt x="291" y="29"/>
                              </a:lnTo>
                              <a:lnTo>
                                <a:pt x="297" y="29"/>
                              </a:lnTo>
                              <a:lnTo>
                                <a:pt x="303" y="29"/>
                              </a:lnTo>
                              <a:lnTo>
                                <a:pt x="309" y="29"/>
                              </a:lnTo>
                              <a:lnTo>
                                <a:pt x="315" y="29"/>
                              </a:lnTo>
                              <a:lnTo>
                                <a:pt x="321" y="29"/>
                              </a:lnTo>
                              <a:lnTo>
                                <a:pt x="329" y="29"/>
                              </a:lnTo>
                              <a:lnTo>
                                <a:pt x="336" y="29"/>
                              </a:lnTo>
                              <a:lnTo>
                                <a:pt x="345" y="29"/>
                              </a:lnTo>
                              <a:lnTo>
                                <a:pt x="355" y="29"/>
                              </a:lnTo>
                              <a:lnTo>
                                <a:pt x="364" y="29"/>
                              </a:lnTo>
                              <a:lnTo>
                                <a:pt x="372" y="29"/>
                              </a:lnTo>
                              <a:lnTo>
                                <a:pt x="379" y="29"/>
                              </a:lnTo>
                              <a:lnTo>
                                <a:pt x="387" y="29"/>
                              </a:lnTo>
                              <a:lnTo>
                                <a:pt x="397" y="29"/>
                              </a:lnTo>
                              <a:lnTo>
                                <a:pt x="406" y="29"/>
                              </a:lnTo>
                              <a:lnTo>
                                <a:pt x="415" y="29"/>
                              </a:lnTo>
                              <a:lnTo>
                                <a:pt x="423" y="29"/>
                              </a:lnTo>
                              <a:lnTo>
                                <a:pt x="432" y="29"/>
                              </a:lnTo>
                              <a:lnTo>
                                <a:pt x="441" y="29"/>
                              </a:lnTo>
                              <a:lnTo>
                                <a:pt x="448" y="30"/>
                              </a:lnTo>
                              <a:lnTo>
                                <a:pt x="454" y="30"/>
                              </a:lnTo>
                              <a:lnTo>
                                <a:pt x="460" y="30"/>
                              </a:lnTo>
                              <a:lnTo>
                                <a:pt x="466" y="30"/>
                              </a:lnTo>
                              <a:lnTo>
                                <a:pt x="472" y="30"/>
                              </a:lnTo>
                              <a:lnTo>
                                <a:pt x="479" y="30"/>
                              </a:lnTo>
                              <a:lnTo>
                                <a:pt x="485" y="30"/>
                              </a:lnTo>
                              <a:lnTo>
                                <a:pt x="490" y="30"/>
                              </a:lnTo>
                              <a:lnTo>
                                <a:pt x="494" y="30"/>
                              </a:lnTo>
                              <a:lnTo>
                                <a:pt x="498" y="30"/>
                              </a:lnTo>
                              <a:lnTo>
                                <a:pt x="501" y="30"/>
                              </a:lnTo>
                              <a:lnTo>
                                <a:pt x="505" y="30"/>
                              </a:lnTo>
                              <a:lnTo>
                                <a:pt x="508" y="30"/>
                              </a:lnTo>
                              <a:lnTo>
                                <a:pt x="510" y="30"/>
                              </a:lnTo>
                              <a:lnTo>
                                <a:pt x="512" y="30"/>
                              </a:lnTo>
                              <a:lnTo>
                                <a:pt x="514" y="30"/>
                              </a:lnTo>
                              <a:lnTo>
                                <a:pt x="516" y="30"/>
                              </a:lnTo>
                              <a:lnTo>
                                <a:pt x="519" y="30"/>
                              </a:lnTo>
                              <a:lnTo>
                                <a:pt x="524" y="30"/>
                              </a:lnTo>
                              <a:lnTo>
                                <a:pt x="528" y="30"/>
                              </a:lnTo>
                              <a:lnTo>
                                <a:pt x="531" y="30"/>
                              </a:lnTo>
                              <a:lnTo>
                                <a:pt x="534" y="30"/>
                              </a:lnTo>
                              <a:lnTo>
                                <a:pt x="537" y="30"/>
                              </a:lnTo>
                              <a:lnTo>
                                <a:pt x="540" y="30"/>
                              </a:lnTo>
                              <a:lnTo>
                                <a:pt x="542" y="30"/>
                              </a:lnTo>
                              <a:lnTo>
                                <a:pt x="545" y="30"/>
                              </a:lnTo>
                              <a:lnTo>
                                <a:pt x="549" y="30"/>
                              </a:lnTo>
                              <a:lnTo>
                                <a:pt x="553" y="30"/>
                              </a:lnTo>
                              <a:lnTo>
                                <a:pt x="557" y="30"/>
                              </a:lnTo>
                              <a:lnTo>
                                <a:pt x="561" y="30"/>
                              </a:lnTo>
                              <a:lnTo>
                                <a:pt x="564" y="30"/>
                              </a:lnTo>
                              <a:lnTo>
                                <a:pt x="568" y="30"/>
                              </a:lnTo>
                              <a:lnTo>
                                <a:pt x="573" y="30"/>
                              </a:lnTo>
                              <a:lnTo>
                                <a:pt x="579" y="30"/>
                              </a:lnTo>
                              <a:lnTo>
                                <a:pt x="587" y="30"/>
                              </a:lnTo>
                              <a:lnTo>
                                <a:pt x="592" y="30"/>
                              </a:lnTo>
                              <a:lnTo>
                                <a:pt x="596" y="30"/>
                              </a:lnTo>
                              <a:lnTo>
                                <a:pt x="602" y="30"/>
                              </a:lnTo>
                              <a:lnTo>
                                <a:pt x="605" y="30"/>
                              </a:lnTo>
                              <a:lnTo>
                                <a:pt x="608" y="30"/>
                              </a:lnTo>
                              <a:lnTo>
                                <a:pt x="611" y="30"/>
                              </a:lnTo>
                              <a:lnTo>
                                <a:pt x="615" y="30"/>
                              </a:lnTo>
                              <a:lnTo>
                                <a:pt x="622" y="30"/>
                              </a:lnTo>
                              <a:lnTo>
                                <a:pt x="628" y="30"/>
                              </a:lnTo>
                              <a:lnTo>
                                <a:pt x="634" y="30"/>
                              </a:lnTo>
                              <a:lnTo>
                                <a:pt x="639" y="30"/>
                              </a:lnTo>
                              <a:lnTo>
                                <a:pt x="644" y="30"/>
                              </a:lnTo>
                              <a:lnTo>
                                <a:pt x="649" y="30"/>
                              </a:lnTo>
                              <a:lnTo>
                                <a:pt x="655" y="30"/>
                              </a:lnTo>
                              <a:lnTo>
                                <a:pt x="661" y="30"/>
                              </a:lnTo>
                              <a:lnTo>
                                <a:pt x="667" y="30"/>
                              </a:lnTo>
                              <a:lnTo>
                                <a:pt x="676" y="30"/>
                              </a:lnTo>
                              <a:lnTo>
                                <a:pt x="684" y="30"/>
                              </a:lnTo>
                              <a:lnTo>
                                <a:pt x="690" y="30"/>
                              </a:lnTo>
                              <a:lnTo>
                                <a:pt x="696" y="30"/>
                              </a:lnTo>
                              <a:lnTo>
                                <a:pt x="702" y="30"/>
                              </a:lnTo>
                              <a:lnTo>
                                <a:pt x="708" y="30"/>
                              </a:lnTo>
                              <a:lnTo>
                                <a:pt x="715" y="30"/>
                              </a:lnTo>
                              <a:lnTo>
                                <a:pt x="722" y="29"/>
                              </a:lnTo>
                              <a:lnTo>
                                <a:pt x="728" y="29"/>
                              </a:lnTo>
                              <a:lnTo>
                                <a:pt x="732" y="29"/>
                              </a:lnTo>
                              <a:lnTo>
                                <a:pt x="735" y="29"/>
                              </a:lnTo>
                              <a:lnTo>
                                <a:pt x="739" y="29"/>
                              </a:lnTo>
                              <a:lnTo>
                                <a:pt x="744" y="29"/>
                              </a:lnTo>
                              <a:lnTo>
                                <a:pt x="750" y="29"/>
                              </a:lnTo>
                              <a:lnTo>
                                <a:pt x="754" y="29"/>
                              </a:lnTo>
                              <a:lnTo>
                                <a:pt x="759" y="29"/>
                              </a:lnTo>
                              <a:lnTo>
                                <a:pt x="763" y="29"/>
                              </a:lnTo>
                              <a:lnTo>
                                <a:pt x="768" y="29"/>
                              </a:lnTo>
                              <a:lnTo>
                                <a:pt x="773" y="29"/>
                              </a:lnTo>
                              <a:lnTo>
                                <a:pt x="777" y="29"/>
                              </a:lnTo>
                              <a:lnTo>
                                <a:pt x="780" y="29"/>
                              </a:lnTo>
                              <a:lnTo>
                                <a:pt x="783" y="29"/>
                              </a:lnTo>
                              <a:lnTo>
                                <a:pt x="787" y="29"/>
                              </a:lnTo>
                              <a:lnTo>
                                <a:pt x="790" y="29"/>
                              </a:lnTo>
                              <a:lnTo>
                                <a:pt x="794" y="29"/>
                              </a:lnTo>
                              <a:lnTo>
                                <a:pt x="799" y="29"/>
                              </a:lnTo>
                              <a:lnTo>
                                <a:pt x="803" y="29"/>
                              </a:lnTo>
                              <a:lnTo>
                                <a:pt x="810" y="29"/>
                              </a:lnTo>
                              <a:lnTo>
                                <a:pt x="816" y="29"/>
                              </a:lnTo>
                              <a:lnTo>
                                <a:pt x="822" y="29"/>
                              </a:lnTo>
                              <a:lnTo>
                                <a:pt x="825" y="29"/>
                              </a:lnTo>
                              <a:lnTo>
                                <a:pt x="829" y="29"/>
                              </a:lnTo>
                              <a:lnTo>
                                <a:pt x="834" y="29"/>
                              </a:lnTo>
                              <a:lnTo>
                                <a:pt x="839" y="29"/>
                              </a:lnTo>
                              <a:lnTo>
                                <a:pt x="844" y="29"/>
                              </a:lnTo>
                              <a:lnTo>
                                <a:pt x="852" y="29"/>
                              </a:lnTo>
                              <a:lnTo>
                                <a:pt x="861" y="29"/>
                              </a:lnTo>
                              <a:lnTo>
                                <a:pt x="872" y="29"/>
                              </a:lnTo>
                              <a:lnTo>
                                <a:pt x="881" y="29"/>
                              </a:lnTo>
                              <a:lnTo>
                                <a:pt x="887" y="29"/>
                              </a:lnTo>
                              <a:lnTo>
                                <a:pt x="893" y="28"/>
                              </a:lnTo>
                              <a:lnTo>
                                <a:pt x="899" y="28"/>
                              </a:lnTo>
                              <a:lnTo>
                                <a:pt x="904" y="28"/>
                              </a:lnTo>
                              <a:lnTo>
                                <a:pt x="908" y="28"/>
                              </a:lnTo>
                              <a:lnTo>
                                <a:pt x="911" y="28"/>
                              </a:lnTo>
                              <a:lnTo>
                                <a:pt x="915" y="28"/>
                              </a:lnTo>
                              <a:lnTo>
                                <a:pt x="920" y="28"/>
                              </a:lnTo>
                              <a:lnTo>
                                <a:pt x="925" y="28"/>
                              </a:lnTo>
                              <a:lnTo>
                                <a:pt x="930" y="28"/>
                              </a:lnTo>
                              <a:lnTo>
                                <a:pt x="935" y="28"/>
                              </a:lnTo>
                              <a:lnTo>
                                <a:pt x="940" y="28"/>
                              </a:lnTo>
                              <a:lnTo>
                                <a:pt x="945" y="28"/>
                              </a:lnTo>
                              <a:lnTo>
                                <a:pt x="949" y="28"/>
                              </a:lnTo>
                              <a:lnTo>
                                <a:pt x="952" y="28"/>
                              </a:lnTo>
                              <a:lnTo>
                                <a:pt x="957" y="28"/>
                              </a:lnTo>
                              <a:lnTo>
                                <a:pt x="963" y="28"/>
                              </a:lnTo>
                              <a:lnTo>
                                <a:pt x="970" y="28"/>
                              </a:lnTo>
                              <a:lnTo>
                                <a:pt x="975" y="28"/>
                              </a:lnTo>
                              <a:lnTo>
                                <a:pt x="981" y="28"/>
                              </a:lnTo>
                              <a:lnTo>
                                <a:pt x="987" y="28"/>
                              </a:lnTo>
                              <a:lnTo>
                                <a:pt x="992" y="28"/>
                              </a:lnTo>
                              <a:lnTo>
                                <a:pt x="994" y="28"/>
                              </a:lnTo>
                              <a:lnTo>
                                <a:pt x="997" y="28"/>
                              </a:lnTo>
                              <a:lnTo>
                                <a:pt x="999" y="28"/>
                              </a:lnTo>
                              <a:lnTo>
                                <a:pt x="1003" y="28"/>
                              </a:lnTo>
                              <a:lnTo>
                                <a:pt x="1008" y="28"/>
                              </a:lnTo>
                              <a:lnTo>
                                <a:pt x="1015" y="27"/>
                              </a:lnTo>
                              <a:lnTo>
                                <a:pt x="1022" y="27"/>
                              </a:lnTo>
                              <a:lnTo>
                                <a:pt x="1028" y="27"/>
                              </a:lnTo>
                              <a:lnTo>
                                <a:pt x="1033" y="27"/>
                              </a:lnTo>
                              <a:lnTo>
                                <a:pt x="1037" y="27"/>
                              </a:lnTo>
                              <a:lnTo>
                                <a:pt x="1039" y="27"/>
                              </a:lnTo>
                              <a:lnTo>
                                <a:pt x="1042" y="27"/>
                              </a:lnTo>
                              <a:lnTo>
                                <a:pt x="1044" y="27"/>
                              </a:lnTo>
                              <a:lnTo>
                                <a:pt x="1047" y="27"/>
                              </a:lnTo>
                              <a:lnTo>
                                <a:pt x="1049" y="27"/>
                              </a:lnTo>
                              <a:lnTo>
                                <a:pt x="1052" y="27"/>
                              </a:lnTo>
                              <a:lnTo>
                                <a:pt x="1056" y="27"/>
                              </a:lnTo>
                              <a:lnTo>
                                <a:pt x="1060" y="27"/>
                              </a:lnTo>
                              <a:lnTo>
                                <a:pt x="1064" y="27"/>
                              </a:lnTo>
                              <a:lnTo>
                                <a:pt x="1068" y="27"/>
                              </a:lnTo>
                              <a:lnTo>
                                <a:pt x="1072" y="27"/>
                              </a:lnTo>
                              <a:lnTo>
                                <a:pt x="1078" y="27"/>
                              </a:lnTo>
                              <a:lnTo>
                                <a:pt x="1083" y="27"/>
                              </a:lnTo>
                              <a:lnTo>
                                <a:pt x="1087" y="27"/>
                              </a:lnTo>
                              <a:lnTo>
                                <a:pt x="1093" y="27"/>
                              </a:lnTo>
                              <a:lnTo>
                                <a:pt x="1098" y="27"/>
                              </a:lnTo>
                              <a:lnTo>
                                <a:pt x="1104" y="27"/>
                              </a:lnTo>
                              <a:lnTo>
                                <a:pt x="1114" y="27"/>
                              </a:lnTo>
                              <a:lnTo>
                                <a:pt x="1128" y="27"/>
                              </a:lnTo>
                              <a:lnTo>
                                <a:pt x="1139" y="27"/>
                              </a:lnTo>
                              <a:lnTo>
                                <a:pt x="1149" y="27"/>
                              </a:lnTo>
                              <a:lnTo>
                                <a:pt x="1156" y="27"/>
                              </a:lnTo>
                              <a:lnTo>
                                <a:pt x="1162" y="27"/>
                              </a:lnTo>
                              <a:lnTo>
                                <a:pt x="1166" y="27"/>
                              </a:lnTo>
                              <a:lnTo>
                                <a:pt x="1170" y="27"/>
                              </a:lnTo>
                              <a:lnTo>
                                <a:pt x="1172" y="27"/>
                              </a:lnTo>
                              <a:lnTo>
                                <a:pt x="1174" y="27"/>
                              </a:lnTo>
                              <a:lnTo>
                                <a:pt x="1176" y="27"/>
                              </a:lnTo>
                              <a:lnTo>
                                <a:pt x="1179" y="27"/>
                              </a:lnTo>
                              <a:lnTo>
                                <a:pt x="1181" y="27"/>
                              </a:lnTo>
                              <a:lnTo>
                                <a:pt x="1184" y="27"/>
                              </a:lnTo>
                              <a:lnTo>
                                <a:pt x="1188" y="27"/>
                              </a:lnTo>
                              <a:lnTo>
                                <a:pt x="1194" y="27"/>
                              </a:lnTo>
                              <a:lnTo>
                                <a:pt x="1201" y="27"/>
                              </a:lnTo>
                              <a:lnTo>
                                <a:pt x="1209" y="27"/>
                              </a:lnTo>
                              <a:lnTo>
                                <a:pt x="1217" y="27"/>
                              </a:lnTo>
                              <a:lnTo>
                                <a:pt x="1224" y="27"/>
                              </a:lnTo>
                              <a:lnTo>
                                <a:pt x="1230" y="27"/>
                              </a:lnTo>
                              <a:lnTo>
                                <a:pt x="1237" y="27"/>
                              </a:lnTo>
                              <a:lnTo>
                                <a:pt x="1243" y="27"/>
                              </a:lnTo>
                              <a:lnTo>
                                <a:pt x="1248" y="27"/>
                              </a:lnTo>
                              <a:lnTo>
                                <a:pt x="1253" y="27"/>
                              </a:lnTo>
                              <a:lnTo>
                                <a:pt x="1257" y="27"/>
                              </a:lnTo>
                              <a:lnTo>
                                <a:pt x="1261" y="27"/>
                              </a:lnTo>
                              <a:lnTo>
                                <a:pt x="1265" y="27"/>
                              </a:lnTo>
                              <a:lnTo>
                                <a:pt x="1269" y="27"/>
                              </a:lnTo>
                              <a:lnTo>
                                <a:pt x="1274" y="26"/>
                              </a:lnTo>
                              <a:lnTo>
                                <a:pt x="1280" y="26"/>
                              </a:lnTo>
                              <a:lnTo>
                                <a:pt x="1288" y="26"/>
                              </a:lnTo>
                              <a:lnTo>
                                <a:pt x="1295" y="26"/>
                              </a:lnTo>
                              <a:lnTo>
                                <a:pt x="1303" y="26"/>
                              </a:lnTo>
                              <a:lnTo>
                                <a:pt x="1311" y="26"/>
                              </a:lnTo>
                              <a:lnTo>
                                <a:pt x="1318" y="26"/>
                              </a:lnTo>
                              <a:lnTo>
                                <a:pt x="1323" y="26"/>
                              </a:lnTo>
                              <a:lnTo>
                                <a:pt x="1327" y="26"/>
                              </a:lnTo>
                              <a:lnTo>
                                <a:pt x="1334" y="26"/>
                              </a:lnTo>
                              <a:lnTo>
                                <a:pt x="1341" y="26"/>
                              </a:lnTo>
                              <a:lnTo>
                                <a:pt x="1348" y="26"/>
                              </a:lnTo>
                              <a:lnTo>
                                <a:pt x="1355" y="26"/>
                              </a:lnTo>
                              <a:lnTo>
                                <a:pt x="1361" y="26"/>
                              </a:lnTo>
                              <a:lnTo>
                                <a:pt x="1367" y="26"/>
                              </a:lnTo>
                              <a:lnTo>
                                <a:pt x="1373" y="26"/>
                              </a:lnTo>
                              <a:lnTo>
                                <a:pt x="1380" y="26"/>
                              </a:lnTo>
                              <a:lnTo>
                                <a:pt x="1388" y="26"/>
                              </a:lnTo>
                              <a:lnTo>
                                <a:pt x="1398" y="26"/>
                              </a:lnTo>
                              <a:lnTo>
                                <a:pt x="1406" y="26"/>
                              </a:lnTo>
                              <a:lnTo>
                                <a:pt x="1412" y="26"/>
                              </a:lnTo>
                              <a:lnTo>
                                <a:pt x="1417" y="26"/>
                              </a:lnTo>
                              <a:lnTo>
                                <a:pt x="1423" y="26"/>
                              </a:lnTo>
                              <a:lnTo>
                                <a:pt x="1429" y="26"/>
                              </a:lnTo>
                              <a:lnTo>
                                <a:pt x="1435" y="26"/>
                              </a:lnTo>
                              <a:lnTo>
                                <a:pt x="1441" y="26"/>
                              </a:lnTo>
                              <a:lnTo>
                                <a:pt x="1446" y="26"/>
                              </a:lnTo>
                              <a:lnTo>
                                <a:pt x="1453" y="26"/>
                              </a:lnTo>
                              <a:lnTo>
                                <a:pt x="1461" y="26"/>
                              </a:lnTo>
                              <a:lnTo>
                                <a:pt x="1466" y="25"/>
                              </a:lnTo>
                              <a:lnTo>
                                <a:pt x="1471" y="25"/>
                              </a:lnTo>
                              <a:lnTo>
                                <a:pt x="1477" y="26"/>
                              </a:lnTo>
                              <a:lnTo>
                                <a:pt x="1482" y="26"/>
                              </a:lnTo>
                              <a:lnTo>
                                <a:pt x="1486" y="26"/>
                              </a:lnTo>
                              <a:lnTo>
                                <a:pt x="1491" y="25"/>
                              </a:lnTo>
                              <a:lnTo>
                                <a:pt x="1497" y="25"/>
                              </a:lnTo>
                              <a:lnTo>
                                <a:pt x="1504" y="25"/>
                              </a:lnTo>
                              <a:lnTo>
                                <a:pt x="1512" y="25"/>
                              </a:lnTo>
                              <a:lnTo>
                                <a:pt x="1520" y="25"/>
                              </a:lnTo>
                              <a:lnTo>
                                <a:pt x="1527" y="25"/>
                              </a:lnTo>
                              <a:lnTo>
                                <a:pt x="1532" y="25"/>
                              </a:lnTo>
                              <a:lnTo>
                                <a:pt x="1538" y="25"/>
                              </a:lnTo>
                              <a:lnTo>
                                <a:pt x="1544" y="25"/>
                              </a:lnTo>
                              <a:lnTo>
                                <a:pt x="1549" y="25"/>
                              </a:lnTo>
                              <a:lnTo>
                                <a:pt x="1554" y="25"/>
                              </a:lnTo>
                              <a:lnTo>
                                <a:pt x="1559" y="25"/>
                              </a:lnTo>
                              <a:lnTo>
                                <a:pt x="1564" y="25"/>
                              </a:lnTo>
                              <a:lnTo>
                                <a:pt x="1568" y="25"/>
                              </a:lnTo>
                              <a:lnTo>
                                <a:pt x="1572" y="25"/>
                              </a:lnTo>
                              <a:lnTo>
                                <a:pt x="1577" y="25"/>
                              </a:lnTo>
                              <a:lnTo>
                                <a:pt x="1584" y="25"/>
                              </a:lnTo>
                              <a:lnTo>
                                <a:pt x="1593" y="24"/>
                              </a:lnTo>
                              <a:lnTo>
                                <a:pt x="1602" y="24"/>
                              </a:lnTo>
                              <a:lnTo>
                                <a:pt x="1607" y="24"/>
                              </a:lnTo>
                              <a:lnTo>
                                <a:pt x="1613" y="24"/>
                              </a:lnTo>
                              <a:lnTo>
                                <a:pt x="1619" y="24"/>
                              </a:lnTo>
                              <a:lnTo>
                                <a:pt x="1624" y="24"/>
                              </a:lnTo>
                              <a:lnTo>
                                <a:pt x="1629" y="24"/>
                              </a:lnTo>
                              <a:lnTo>
                                <a:pt x="1635" y="24"/>
                              </a:lnTo>
                              <a:lnTo>
                                <a:pt x="1641" y="23"/>
                              </a:lnTo>
                              <a:lnTo>
                                <a:pt x="1645" y="23"/>
                              </a:lnTo>
                              <a:lnTo>
                                <a:pt x="1647" y="23"/>
                              </a:lnTo>
                              <a:lnTo>
                                <a:pt x="1649" y="23"/>
                              </a:lnTo>
                              <a:lnTo>
                                <a:pt x="1651" y="23"/>
                              </a:lnTo>
                              <a:lnTo>
                                <a:pt x="1654" y="23"/>
                              </a:lnTo>
                              <a:lnTo>
                                <a:pt x="1656" y="23"/>
                              </a:lnTo>
                              <a:lnTo>
                                <a:pt x="1659" y="23"/>
                              </a:lnTo>
                              <a:lnTo>
                                <a:pt x="1662" y="23"/>
                              </a:lnTo>
                              <a:lnTo>
                                <a:pt x="1666" y="22"/>
                              </a:lnTo>
                              <a:lnTo>
                                <a:pt x="1669" y="22"/>
                              </a:lnTo>
                              <a:lnTo>
                                <a:pt x="1673" y="22"/>
                              </a:lnTo>
                              <a:lnTo>
                                <a:pt x="1676" y="22"/>
                              </a:lnTo>
                              <a:lnTo>
                                <a:pt x="1678" y="22"/>
                              </a:lnTo>
                              <a:lnTo>
                                <a:pt x="1681" y="22"/>
                              </a:lnTo>
                              <a:lnTo>
                                <a:pt x="1685" y="22"/>
                              </a:lnTo>
                              <a:lnTo>
                                <a:pt x="1688" y="22"/>
                              </a:lnTo>
                              <a:lnTo>
                                <a:pt x="1692" y="22"/>
                              </a:lnTo>
                              <a:lnTo>
                                <a:pt x="1695" y="22"/>
                              </a:lnTo>
                              <a:lnTo>
                                <a:pt x="1697" y="22"/>
                              </a:lnTo>
                              <a:lnTo>
                                <a:pt x="1700" y="22"/>
                              </a:lnTo>
                              <a:lnTo>
                                <a:pt x="1703" y="22"/>
                              </a:lnTo>
                              <a:lnTo>
                                <a:pt x="1706" y="22"/>
                              </a:lnTo>
                              <a:lnTo>
                                <a:pt x="1713" y="22"/>
                              </a:lnTo>
                              <a:lnTo>
                                <a:pt x="1719" y="22"/>
                              </a:lnTo>
                              <a:lnTo>
                                <a:pt x="1723" y="23"/>
                              </a:lnTo>
                              <a:lnTo>
                                <a:pt x="1727" y="23"/>
                              </a:lnTo>
                              <a:lnTo>
                                <a:pt x="1730" y="23"/>
                              </a:lnTo>
                              <a:lnTo>
                                <a:pt x="1734" y="23"/>
                              </a:lnTo>
                              <a:lnTo>
                                <a:pt x="1738" y="23"/>
                              </a:lnTo>
                              <a:lnTo>
                                <a:pt x="1742" y="23"/>
                              </a:lnTo>
                              <a:lnTo>
                                <a:pt x="1746" y="23"/>
                              </a:lnTo>
                              <a:lnTo>
                                <a:pt x="1749" y="23"/>
                              </a:lnTo>
                              <a:lnTo>
                                <a:pt x="1753" y="23"/>
                              </a:lnTo>
                              <a:lnTo>
                                <a:pt x="1757" y="23"/>
                              </a:lnTo>
                              <a:lnTo>
                                <a:pt x="1761" y="23"/>
                              </a:lnTo>
                              <a:lnTo>
                                <a:pt x="1764" y="23"/>
                              </a:lnTo>
                              <a:lnTo>
                                <a:pt x="1767" y="23"/>
                              </a:lnTo>
                              <a:lnTo>
                                <a:pt x="1771" y="22"/>
                              </a:lnTo>
                              <a:lnTo>
                                <a:pt x="1774" y="22"/>
                              </a:lnTo>
                              <a:lnTo>
                                <a:pt x="1778" y="22"/>
                              </a:lnTo>
                              <a:lnTo>
                                <a:pt x="1782" y="22"/>
                              </a:lnTo>
                              <a:lnTo>
                                <a:pt x="1785" y="22"/>
                              </a:lnTo>
                              <a:lnTo>
                                <a:pt x="1787" y="22"/>
                              </a:lnTo>
                              <a:lnTo>
                                <a:pt x="1790" y="22"/>
                              </a:lnTo>
                              <a:lnTo>
                                <a:pt x="1794" y="22"/>
                              </a:lnTo>
                              <a:lnTo>
                                <a:pt x="1800" y="22"/>
                              </a:lnTo>
                              <a:lnTo>
                                <a:pt x="1805" y="22"/>
                              </a:lnTo>
                              <a:lnTo>
                                <a:pt x="1809" y="21"/>
                              </a:lnTo>
                              <a:lnTo>
                                <a:pt x="1814" y="21"/>
                              </a:lnTo>
                              <a:lnTo>
                                <a:pt x="1818" y="21"/>
                              </a:lnTo>
                              <a:lnTo>
                                <a:pt x="1822" y="21"/>
                              </a:lnTo>
                              <a:lnTo>
                                <a:pt x="1825" y="21"/>
                              </a:lnTo>
                              <a:lnTo>
                                <a:pt x="1827" y="21"/>
                              </a:lnTo>
                              <a:lnTo>
                                <a:pt x="1832" y="21"/>
                              </a:lnTo>
                              <a:lnTo>
                                <a:pt x="1840" y="20"/>
                              </a:lnTo>
                              <a:lnTo>
                                <a:pt x="1847" y="20"/>
                              </a:lnTo>
                              <a:lnTo>
                                <a:pt x="1852" y="20"/>
                              </a:lnTo>
                              <a:lnTo>
                                <a:pt x="1855" y="20"/>
                              </a:lnTo>
                              <a:lnTo>
                                <a:pt x="1858" y="20"/>
                              </a:lnTo>
                              <a:lnTo>
                                <a:pt x="1861" y="20"/>
                              </a:lnTo>
                              <a:lnTo>
                                <a:pt x="1864" y="19"/>
                              </a:lnTo>
                              <a:lnTo>
                                <a:pt x="1867" y="19"/>
                              </a:lnTo>
                              <a:lnTo>
                                <a:pt x="1870" y="19"/>
                              </a:lnTo>
                              <a:lnTo>
                                <a:pt x="1872" y="19"/>
                              </a:lnTo>
                              <a:lnTo>
                                <a:pt x="1873" y="19"/>
                              </a:lnTo>
                              <a:lnTo>
                                <a:pt x="1876" y="18"/>
                              </a:lnTo>
                              <a:lnTo>
                                <a:pt x="1880" y="18"/>
                              </a:lnTo>
                              <a:lnTo>
                                <a:pt x="1883" y="18"/>
                              </a:lnTo>
                              <a:lnTo>
                                <a:pt x="1886" y="17"/>
                              </a:lnTo>
                              <a:lnTo>
                                <a:pt x="1889" y="17"/>
                              </a:lnTo>
                              <a:lnTo>
                                <a:pt x="1892" y="17"/>
                              </a:lnTo>
                              <a:lnTo>
                                <a:pt x="1895" y="17"/>
                              </a:lnTo>
                              <a:lnTo>
                                <a:pt x="1899" y="17"/>
                              </a:lnTo>
                              <a:lnTo>
                                <a:pt x="1903" y="16"/>
                              </a:lnTo>
                              <a:lnTo>
                                <a:pt x="1906" y="16"/>
                              </a:lnTo>
                              <a:lnTo>
                                <a:pt x="1908" y="16"/>
                              </a:lnTo>
                              <a:lnTo>
                                <a:pt x="1910" y="16"/>
                              </a:lnTo>
                              <a:lnTo>
                                <a:pt x="1912" y="16"/>
                              </a:lnTo>
                              <a:lnTo>
                                <a:pt x="1913" y="16"/>
                              </a:lnTo>
                              <a:lnTo>
                                <a:pt x="1915" y="16"/>
                              </a:lnTo>
                              <a:lnTo>
                                <a:pt x="1918" y="15"/>
                              </a:lnTo>
                              <a:lnTo>
                                <a:pt x="1920" y="15"/>
                              </a:lnTo>
                              <a:lnTo>
                                <a:pt x="1922" y="15"/>
                              </a:lnTo>
                              <a:lnTo>
                                <a:pt x="1925" y="15"/>
                              </a:lnTo>
                              <a:lnTo>
                                <a:pt x="1928" y="15"/>
                              </a:lnTo>
                              <a:lnTo>
                                <a:pt x="1931" y="15"/>
                              </a:lnTo>
                              <a:lnTo>
                                <a:pt x="1934" y="14"/>
                              </a:lnTo>
                              <a:lnTo>
                                <a:pt x="1936" y="14"/>
                              </a:lnTo>
                              <a:lnTo>
                                <a:pt x="1939" y="14"/>
                              </a:lnTo>
                              <a:lnTo>
                                <a:pt x="1942" y="14"/>
                              </a:lnTo>
                              <a:lnTo>
                                <a:pt x="1944" y="14"/>
                              </a:lnTo>
                              <a:lnTo>
                                <a:pt x="1947" y="13"/>
                              </a:lnTo>
                              <a:lnTo>
                                <a:pt x="1950" y="13"/>
                              </a:lnTo>
                              <a:lnTo>
                                <a:pt x="1951" y="13"/>
                              </a:lnTo>
                              <a:lnTo>
                                <a:pt x="1953" y="13"/>
                              </a:lnTo>
                              <a:lnTo>
                                <a:pt x="1954" y="13"/>
                              </a:lnTo>
                              <a:lnTo>
                                <a:pt x="1955" y="13"/>
                              </a:lnTo>
                              <a:lnTo>
                                <a:pt x="1956" y="12"/>
                              </a:lnTo>
                              <a:lnTo>
                                <a:pt x="1958" y="12"/>
                              </a:lnTo>
                              <a:lnTo>
                                <a:pt x="1960" y="12"/>
                              </a:lnTo>
                              <a:lnTo>
                                <a:pt x="1962" y="12"/>
                              </a:lnTo>
                              <a:lnTo>
                                <a:pt x="1965" y="11"/>
                              </a:lnTo>
                              <a:lnTo>
                                <a:pt x="1968" y="11"/>
                              </a:lnTo>
                              <a:lnTo>
                                <a:pt x="1971" y="11"/>
                              </a:lnTo>
                              <a:lnTo>
                                <a:pt x="1974" y="10"/>
                              </a:lnTo>
                              <a:lnTo>
                                <a:pt x="1977" y="10"/>
                              </a:lnTo>
                              <a:lnTo>
                                <a:pt x="1981" y="10"/>
                              </a:lnTo>
                              <a:lnTo>
                                <a:pt x="1985" y="9"/>
                              </a:lnTo>
                              <a:lnTo>
                                <a:pt x="1989" y="9"/>
                              </a:lnTo>
                              <a:lnTo>
                                <a:pt x="1992" y="9"/>
                              </a:lnTo>
                              <a:lnTo>
                                <a:pt x="1994" y="8"/>
                              </a:lnTo>
                              <a:lnTo>
                                <a:pt x="1996" y="8"/>
                              </a:lnTo>
                              <a:lnTo>
                                <a:pt x="1997" y="8"/>
                              </a:lnTo>
                              <a:lnTo>
                                <a:pt x="1998" y="8"/>
                              </a:lnTo>
                              <a:lnTo>
                                <a:pt x="1999" y="8"/>
                              </a:lnTo>
                              <a:lnTo>
                                <a:pt x="2000" y="8"/>
                              </a:lnTo>
                              <a:lnTo>
                                <a:pt x="2001" y="8"/>
                              </a:lnTo>
                              <a:lnTo>
                                <a:pt x="2004" y="8"/>
                              </a:lnTo>
                              <a:lnTo>
                                <a:pt x="2005" y="8"/>
                              </a:lnTo>
                              <a:lnTo>
                                <a:pt x="2007" y="7"/>
                              </a:lnTo>
                              <a:lnTo>
                                <a:pt x="2008" y="7"/>
                              </a:lnTo>
                              <a:lnTo>
                                <a:pt x="2010" y="7"/>
                              </a:lnTo>
                              <a:lnTo>
                                <a:pt x="2012" y="7"/>
                              </a:lnTo>
                              <a:lnTo>
                                <a:pt x="2013" y="6"/>
                              </a:lnTo>
                              <a:lnTo>
                                <a:pt x="2016" y="6"/>
                              </a:lnTo>
                              <a:lnTo>
                                <a:pt x="2018" y="6"/>
                              </a:lnTo>
                              <a:lnTo>
                                <a:pt x="2022" y="5"/>
                              </a:lnTo>
                              <a:lnTo>
                                <a:pt x="2027" y="4"/>
                              </a:lnTo>
                              <a:lnTo>
                                <a:pt x="2031" y="4"/>
                              </a:lnTo>
                              <a:lnTo>
                                <a:pt x="2033" y="3"/>
                              </a:lnTo>
                              <a:lnTo>
                                <a:pt x="2035" y="3"/>
                              </a:lnTo>
                              <a:lnTo>
                                <a:pt x="2037" y="3"/>
                              </a:lnTo>
                              <a:lnTo>
                                <a:pt x="2038" y="2"/>
                              </a:lnTo>
                              <a:lnTo>
                                <a:pt x="2039" y="2"/>
                              </a:lnTo>
                              <a:lnTo>
                                <a:pt x="2040" y="2"/>
                              </a:lnTo>
                              <a:lnTo>
                                <a:pt x="2041" y="2"/>
                              </a:lnTo>
                              <a:lnTo>
                                <a:pt x="2042" y="1"/>
                              </a:lnTo>
                              <a:lnTo>
                                <a:pt x="2044" y="1"/>
                              </a:lnTo>
                              <a:lnTo>
                                <a:pt x="2046" y="1"/>
                              </a:lnTo>
                              <a:lnTo>
                                <a:pt x="2047" y="0"/>
                              </a:lnTo>
                              <a:lnTo>
                                <a:pt x="2048" y="0"/>
                              </a:lnTo>
                              <a:lnTo>
                                <a:pt x="2049" y="0"/>
                              </a:lnTo>
                              <a:lnTo>
                                <a:pt x="2050" y="0"/>
                              </a:lnTo>
                            </a:path>
                          </a:pathLst>
                        </a:custGeom>
                        <a:noFill/>
                        <a:ln w="4763">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2" name="Freeform 150"/>
                        <a:cNvSpPr>
                          <a:spLocks/>
                        </a:cNvSpPr>
                      </a:nvSpPr>
                      <a:spPr bwMode="auto">
                        <a:xfrm>
                          <a:off x="4893974" y="10154457"/>
                          <a:ext cx="815497" cy="931891"/>
                        </a:xfrm>
                        <a:custGeom>
                          <a:avLst/>
                          <a:gdLst/>
                          <a:ahLst/>
                          <a:cxnLst>
                            <a:cxn ang="0">
                              <a:pos x="11" y="635"/>
                            </a:cxn>
                            <a:cxn ang="0">
                              <a:pos x="24" y="630"/>
                            </a:cxn>
                            <a:cxn ang="0">
                              <a:pos x="32" y="625"/>
                            </a:cxn>
                            <a:cxn ang="0">
                              <a:pos x="36" y="621"/>
                            </a:cxn>
                            <a:cxn ang="0">
                              <a:pos x="39" y="618"/>
                            </a:cxn>
                            <a:cxn ang="0">
                              <a:pos x="46" y="610"/>
                            </a:cxn>
                            <a:cxn ang="0">
                              <a:pos x="51" y="600"/>
                            </a:cxn>
                            <a:cxn ang="0">
                              <a:pos x="57" y="588"/>
                            </a:cxn>
                            <a:cxn ang="0">
                              <a:pos x="62" y="572"/>
                            </a:cxn>
                            <a:cxn ang="0">
                              <a:pos x="67" y="555"/>
                            </a:cxn>
                            <a:cxn ang="0">
                              <a:pos x="71" y="536"/>
                            </a:cxn>
                            <a:cxn ang="0">
                              <a:pos x="74" y="515"/>
                            </a:cxn>
                            <a:cxn ang="0">
                              <a:pos x="76" y="506"/>
                            </a:cxn>
                            <a:cxn ang="0">
                              <a:pos x="76" y="500"/>
                            </a:cxn>
                            <a:cxn ang="0">
                              <a:pos x="77" y="495"/>
                            </a:cxn>
                            <a:cxn ang="0">
                              <a:pos x="80" y="464"/>
                            </a:cxn>
                            <a:cxn ang="0">
                              <a:pos x="83" y="427"/>
                            </a:cxn>
                            <a:cxn ang="0">
                              <a:pos x="86" y="385"/>
                            </a:cxn>
                            <a:cxn ang="0">
                              <a:pos x="90" y="310"/>
                            </a:cxn>
                            <a:cxn ang="0">
                              <a:pos x="96" y="162"/>
                            </a:cxn>
                            <a:cxn ang="0">
                              <a:pos x="100" y="75"/>
                            </a:cxn>
                            <a:cxn ang="0">
                              <a:pos x="104" y="17"/>
                            </a:cxn>
                            <a:cxn ang="0">
                              <a:pos x="108" y="0"/>
                            </a:cxn>
                            <a:cxn ang="0">
                              <a:pos x="112" y="23"/>
                            </a:cxn>
                            <a:cxn ang="0">
                              <a:pos x="116" y="87"/>
                            </a:cxn>
                            <a:cxn ang="0">
                              <a:pos x="119" y="144"/>
                            </a:cxn>
                            <a:cxn ang="0">
                              <a:pos x="121" y="170"/>
                            </a:cxn>
                            <a:cxn ang="0">
                              <a:pos x="123" y="225"/>
                            </a:cxn>
                            <a:cxn ang="0">
                              <a:pos x="130" y="351"/>
                            </a:cxn>
                            <a:cxn ang="0">
                              <a:pos x="134" y="416"/>
                            </a:cxn>
                            <a:cxn ang="0">
                              <a:pos x="137" y="463"/>
                            </a:cxn>
                            <a:cxn ang="0">
                              <a:pos x="141" y="504"/>
                            </a:cxn>
                            <a:cxn ang="0">
                              <a:pos x="144" y="533"/>
                            </a:cxn>
                            <a:cxn ang="0">
                              <a:pos x="147" y="554"/>
                            </a:cxn>
                            <a:cxn ang="0">
                              <a:pos x="151" y="572"/>
                            </a:cxn>
                            <a:cxn ang="0">
                              <a:pos x="154" y="587"/>
                            </a:cxn>
                            <a:cxn ang="0">
                              <a:pos x="158" y="599"/>
                            </a:cxn>
                            <a:cxn ang="0">
                              <a:pos x="161" y="606"/>
                            </a:cxn>
                            <a:cxn ang="0">
                              <a:pos x="166" y="613"/>
                            </a:cxn>
                            <a:cxn ang="0">
                              <a:pos x="171" y="618"/>
                            </a:cxn>
                            <a:cxn ang="0">
                              <a:pos x="178" y="621"/>
                            </a:cxn>
                            <a:cxn ang="0">
                              <a:pos x="186" y="623"/>
                            </a:cxn>
                            <a:cxn ang="0">
                              <a:pos x="197" y="622"/>
                            </a:cxn>
                            <a:cxn ang="0">
                              <a:pos x="209" y="619"/>
                            </a:cxn>
                            <a:cxn ang="0">
                              <a:pos x="222" y="614"/>
                            </a:cxn>
                            <a:cxn ang="0">
                              <a:pos x="235" y="611"/>
                            </a:cxn>
                            <a:cxn ang="0">
                              <a:pos x="249" y="611"/>
                            </a:cxn>
                            <a:cxn ang="0">
                              <a:pos x="256" y="612"/>
                            </a:cxn>
                            <a:cxn ang="0">
                              <a:pos x="266" y="615"/>
                            </a:cxn>
                            <a:cxn ang="0">
                              <a:pos x="282" y="623"/>
                            </a:cxn>
                            <a:cxn ang="0">
                              <a:pos x="297" y="631"/>
                            </a:cxn>
                            <a:cxn ang="0">
                              <a:pos x="309" y="636"/>
                            </a:cxn>
                            <a:cxn ang="0">
                              <a:pos x="332" y="643"/>
                            </a:cxn>
                            <a:cxn ang="0">
                              <a:pos x="343" y="646"/>
                            </a:cxn>
                            <a:cxn ang="0">
                              <a:pos x="358" y="650"/>
                            </a:cxn>
                            <a:cxn ang="0">
                              <a:pos x="376" y="652"/>
                            </a:cxn>
                            <a:cxn ang="0">
                              <a:pos x="389" y="654"/>
                            </a:cxn>
                            <a:cxn ang="0">
                              <a:pos x="413" y="655"/>
                            </a:cxn>
                            <a:cxn ang="0">
                              <a:pos x="437" y="656"/>
                            </a:cxn>
                            <a:cxn ang="0">
                              <a:pos x="473" y="657"/>
                            </a:cxn>
                            <a:cxn ang="0">
                              <a:pos x="498" y="657"/>
                            </a:cxn>
                            <a:cxn ang="0">
                              <a:pos x="540" y="657"/>
                            </a:cxn>
                            <a:cxn ang="0">
                              <a:pos x="578" y="657"/>
                            </a:cxn>
                          </a:cxnLst>
                          <a:rect l="0" t="0" r="r" b="b"/>
                          <a:pathLst>
                            <a:path w="611" h="657">
                              <a:moveTo>
                                <a:pt x="0" y="639"/>
                              </a:moveTo>
                              <a:lnTo>
                                <a:pt x="1" y="638"/>
                              </a:lnTo>
                              <a:lnTo>
                                <a:pt x="2" y="638"/>
                              </a:lnTo>
                              <a:lnTo>
                                <a:pt x="4" y="637"/>
                              </a:lnTo>
                              <a:lnTo>
                                <a:pt x="6" y="637"/>
                              </a:lnTo>
                              <a:lnTo>
                                <a:pt x="8" y="636"/>
                              </a:lnTo>
                              <a:lnTo>
                                <a:pt x="9" y="635"/>
                              </a:lnTo>
                              <a:lnTo>
                                <a:pt x="11" y="635"/>
                              </a:lnTo>
                              <a:lnTo>
                                <a:pt x="13" y="634"/>
                              </a:lnTo>
                              <a:lnTo>
                                <a:pt x="15" y="633"/>
                              </a:lnTo>
                              <a:lnTo>
                                <a:pt x="16" y="633"/>
                              </a:lnTo>
                              <a:lnTo>
                                <a:pt x="18" y="632"/>
                              </a:lnTo>
                              <a:lnTo>
                                <a:pt x="20" y="631"/>
                              </a:lnTo>
                              <a:lnTo>
                                <a:pt x="21" y="631"/>
                              </a:lnTo>
                              <a:lnTo>
                                <a:pt x="23" y="630"/>
                              </a:lnTo>
                              <a:lnTo>
                                <a:pt x="24" y="630"/>
                              </a:lnTo>
                              <a:lnTo>
                                <a:pt x="25" y="629"/>
                              </a:lnTo>
                              <a:lnTo>
                                <a:pt x="26" y="628"/>
                              </a:lnTo>
                              <a:lnTo>
                                <a:pt x="28" y="628"/>
                              </a:lnTo>
                              <a:lnTo>
                                <a:pt x="29" y="627"/>
                              </a:lnTo>
                              <a:lnTo>
                                <a:pt x="30" y="626"/>
                              </a:lnTo>
                              <a:lnTo>
                                <a:pt x="31" y="626"/>
                              </a:lnTo>
                              <a:lnTo>
                                <a:pt x="32" y="625"/>
                              </a:lnTo>
                              <a:lnTo>
                                <a:pt x="32" y="625"/>
                              </a:lnTo>
                              <a:lnTo>
                                <a:pt x="33" y="624"/>
                              </a:lnTo>
                              <a:lnTo>
                                <a:pt x="34" y="624"/>
                              </a:lnTo>
                              <a:lnTo>
                                <a:pt x="34" y="623"/>
                              </a:lnTo>
                              <a:lnTo>
                                <a:pt x="34" y="623"/>
                              </a:lnTo>
                              <a:lnTo>
                                <a:pt x="35" y="622"/>
                              </a:lnTo>
                              <a:lnTo>
                                <a:pt x="35" y="622"/>
                              </a:lnTo>
                              <a:lnTo>
                                <a:pt x="36" y="622"/>
                              </a:lnTo>
                              <a:lnTo>
                                <a:pt x="36" y="621"/>
                              </a:lnTo>
                              <a:lnTo>
                                <a:pt x="37" y="621"/>
                              </a:lnTo>
                              <a:lnTo>
                                <a:pt x="37" y="621"/>
                              </a:lnTo>
                              <a:lnTo>
                                <a:pt x="37" y="620"/>
                              </a:lnTo>
                              <a:lnTo>
                                <a:pt x="37" y="620"/>
                              </a:lnTo>
                              <a:lnTo>
                                <a:pt x="38" y="620"/>
                              </a:lnTo>
                              <a:lnTo>
                                <a:pt x="38" y="619"/>
                              </a:lnTo>
                              <a:lnTo>
                                <a:pt x="39" y="619"/>
                              </a:lnTo>
                              <a:lnTo>
                                <a:pt x="39" y="618"/>
                              </a:lnTo>
                              <a:lnTo>
                                <a:pt x="40" y="617"/>
                              </a:lnTo>
                              <a:lnTo>
                                <a:pt x="41" y="616"/>
                              </a:lnTo>
                              <a:lnTo>
                                <a:pt x="42" y="615"/>
                              </a:lnTo>
                              <a:lnTo>
                                <a:pt x="43" y="614"/>
                              </a:lnTo>
                              <a:lnTo>
                                <a:pt x="43" y="613"/>
                              </a:lnTo>
                              <a:lnTo>
                                <a:pt x="44" y="612"/>
                              </a:lnTo>
                              <a:lnTo>
                                <a:pt x="45" y="611"/>
                              </a:lnTo>
                              <a:lnTo>
                                <a:pt x="46" y="610"/>
                              </a:lnTo>
                              <a:lnTo>
                                <a:pt x="46" y="609"/>
                              </a:lnTo>
                              <a:lnTo>
                                <a:pt x="47" y="608"/>
                              </a:lnTo>
                              <a:lnTo>
                                <a:pt x="48" y="607"/>
                              </a:lnTo>
                              <a:lnTo>
                                <a:pt x="49" y="605"/>
                              </a:lnTo>
                              <a:lnTo>
                                <a:pt x="49" y="604"/>
                              </a:lnTo>
                              <a:lnTo>
                                <a:pt x="50" y="603"/>
                              </a:lnTo>
                              <a:lnTo>
                                <a:pt x="51" y="602"/>
                              </a:lnTo>
                              <a:lnTo>
                                <a:pt x="51" y="600"/>
                              </a:lnTo>
                              <a:lnTo>
                                <a:pt x="52" y="599"/>
                              </a:lnTo>
                              <a:lnTo>
                                <a:pt x="53" y="598"/>
                              </a:lnTo>
                              <a:lnTo>
                                <a:pt x="53" y="597"/>
                              </a:lnTo>
                              <a:lnTo>
                                <a:pt x="54" y="595"/>
                              </a:lnTo>
                              <a:lnTo>
                                <a:pt x="54" y="594"/>
                              </a:lnTo>
                              <a:lnTo>
                                <a:pt x="55" y="592"/>
                              </a:lnTo>
                              <a:lnTo>
                                <a:pt x="56" y="590"/>
                              </a:lnTo>
                              <a:lnTo>
                                <a:pt x="57" y="588"/>
                              </a:lnTo>
                              <a:lnTo>
                                <a:pt x="58" y="586"/>
                              </a:lnTo>
                              <a:lnTo>
                                <a:pt x="58" y="584"/>
                              </a:lnTo>
                              <a:lnTo>
                                <a:pt x="59" y="583"/>
                              </a:lnTo>
                              <a:lnTo>
                                <a:pt x="60" y="581"/>
                              </a:lnTo>
                              <a:lnTo>
                                <a:pt x="60" y="579"/>
                              </a:lnTo>
                              <a:lnTo>
                                <a:pt x="61" y="576"/>
                              </a:lnTo>
                              <a:lnTo>
                                <a:pt x="62" y="574"/>
                              </a:lnTo>
                              <a:lnTo>
                                <a:pt x="62" y="572"/>
                              </a:lnTo>
                              <a:lnTo>
                                <a:pt x="63" y="570"/>
                              </a:lnTo>
                              <a:lnTo>
                                <a:pt x="64" y="568"/>
                              </a:lnTo>
                              <a:lnTo>
                                <a:pt x="64" y="566"/>
                              </a:lnTo>
                              <a:lnTo>
                                <a:pt x="65" y="564"/>
                              </a:lnTo>
                              <a:lnTo>
                                <a:pt x="65" y="561"/>
                              </a:lnTo>
                              <a:lnTo>
                                <a:pt x="66" y="559"/>
                              </a:lnTo>
                              <a:lnTo>
                                <a:pt x="66" y="557"/>
                              </a:lnTo>
                              <a:lnTo>
                                <a:pt x="67" y="555"/>
                              </a:lnTo>
                              <a:lnTo>
                                <a:pt x="67" y="553"/>
                              </a:lnTo>
                              <a:lnTo>
                                <a:pt x="68" y="550"/>
                              </a:lnTo>
                              <a:lnTo>
                                <a:pt x="68" y="548"/>
                              </a:lnTo>
                              <a:lnTo>
                                <a:pt x="69" y="546"/>
                              </a:lnTo>
                              <a:lnTo>
                                <a:pt x="69" y="543"/>
                              </a:lnTo>
                              <a:lnTo>
                                <a:pt x="70" y="541"/>
                              </a:lnTo>
                              <a:lnTo>
                                <a:pt x="70" y="539"/>
                              </a:lnTo>
                              <a:lnTo>
                                <a:pt x="71" y="536"/>
                              </a:lnTo>
                              <a:lnTo>
                                <a:pt x="71" y="534"/>
                              </a:lnTo>
                              <a:lnTo>
                                <a:pt x="72" y="531"/>
                              </a:lnTo>
                              <a:lnTo>
                                <a:pt x="72" y="529"/>
                              </a:lnTo>
                              <a:lnTo>
                                <a:pt x="73" y="526"/>
                              </a:lnTo>
                              <a:lnTo>
                                <a:pt x="73" y="524"/>
                              </a:lnTo>
                              <a:lnTo>
                                <a:pt x="73" y="521"/>
                              </a:lnTo>
                              <a:lnTo>
                                <a:pt x="74" y="518"/>
                              </a:lnTo>
                              <a:lnTo>
                                <a:pt x="74" y="515"/>
                              </a:lnTo>
                              <a:lnTo>
                                <a:pt x="75" y="512"/>
                              </a:lnTo>
                              <a:lnTo>
                                <a:pt x="75" y="511"/>
                              </a:lnTo>
                              <a:lnTo>
                                <a:pt x="75" y="510"/>
                              </a:lnTo>
                              <a:lnTo>
                                <a:pt x="75" y="509"/>
                              </a:lnTo>
                              <a:lnTo>
                                <a:pt x="75" y="508"/>
                              </a:lnTo>
                              <a:lnTo>
                                <a:pt x="75" y="507"/>
                              </a:lnTo>
                              <a:lnTo>
                                <a:pt x="75" y="506"/>
                              </a:lnTo>
                              <a:lnTo>
                                <a:pt x="76" y="506"/>
                              </a:lnTo>
                              <a:lnTo>
                                <a:pt x="76" y="505"/>
                              </a:lnTo>
                              <a:lnTo>
                                <a:pt x="76" y="504"/>
                              </a:lnTo>
                              <a:lnTo>
                                <a:pt x="76" y="504"/>
                              </a:lnTo>
                              <a:lnTo>
                                <a:pt x="76" y="503"/>
                              </a:lnTo>
                              <a:lnTo>
                                <a:pt x="76" y="502"/>
                              </a:lnTo>
                              <a:lnTo>
                                <a:pt x="76" y="502"/>
                              </a:lnTo>
                              <a:lnTo>
                                <a:pt x="76" y="501"/>
                              </a:lnTo>
                              <a:lnTo>
                                <a:pt x="76" y="500"/>
                              </a:lnTo>
                              <a:lnTo>
                                <a:pt x="76" y="500"/>
                              </a:lnTo>
                              <a:lnTo>
                                <a:pt x="76" y="499"/>
                              </a:lnTo>
                              <a:lnTo>
                                <a:pt x="77" y="498"/>
                              </a:lnTo>
                              <a:lnTo>
                                <a:pt x="77" y="498"/>
                              </a:lnTo>
                              <a:lnTo>
                                <a:pt x="77" y="497"/>
                              </a:lnTo>
                              <a:lnTo>
                                <a:pt x="77" y="496"/>
                              </a:lnTo>
                              <a:lnTo>
                                <a:pt x="77" y="496"/>
                              </a:lnTo>
                              <a:lnTo>
                                <a:pt x="77" y="495"/>
                              </a:lnTo>
                              <a:lnTo>
                                <a:pt x="77" y="493"/>
                              </a:lnTo>
                              <a:lnTo>
                                <a:pt x="78" y="489"/>
                              </a:lnTo>
                              <a:lnTo>
                                <a:pt x="78" y="485"/>
                              </a:lnTo>
                              <a:lnTo>
                                <a:pt x="79" y="481"/>
                              </a:lnTo>
                              <a:lnTo>
                                <a:pt x="79" y="476"/>
                              </a:lnTo>
                              <a:lnTo>
                                <a:pt x="79" y="472"/>
                              </a:lnTo>
                              <a:lnTo>
                                <a:pt x="80" y="468"/>
                              </a:lnTo>
                              <a:lnTo>
                                <a:pt x="80" y="464"/>
                              </a:lnTo>
                              <a:lnTo>
                                <a:pt x="81" y="460"/>
                              </a:lnTo>
                              <a:lnTo>
                                <a:pt x="81" y="455"/>
                              </a:lnTo>
                              <a:lnTo>
                                <a:pt x="81" y="451"/>
                              </a:lnTo>
                              <a:lnTo>
                                <a:pt x="82" y="446"/>
                              </a:lnTo>
                              <a:lnTo>
                                <a:pt x="82" y="442"/>
                              </a:lnTo>
                              <a:lnTo>
                                <a:pt x="83" y="437"/>
                              </a:lnTo>
                              <a:lnTo>
                                <a:pt x="83" y="432"/>
                              </a:lnTo>
                              <a:lnTo>
                                <a:pt x="83" y="427"/>
                              </a:lnTo>
                              <a:lnTo>
                                <a:pt x="84" y="422"/>
                              </a:lnTo>
                              <a:lnTo>
                                <a:pt x="84" y="418"/>
                              </a:lnTo>
                              <a:lnTo>
                                <a:pt x="84" y="412"/>
                              </a:lnTo>
                              <a:lnTo>
                                <a:pt x="85" y="407"/>
                              </a:lnTo>
                              <a:lnTo>
                                <a:pt x="85" y="402"/>
                              </a:lnTo>
                              <a:lnTo>
                                <a:pt x="85" y="396"/>
                              </a:lnTo>
                              <a:lnTo>
                                <a:pt x="85" y="391"/>
                              </a:lnTo>
                              <a:lnTo>
                                <a:pt x="86" y="385"/>
                              </a:lnTo>
                              <a:lnTo>
                                <a:pt x="86" y="379"/>
                              </a:lnTo>
                              <a:lnTo>
                                <a:pt x="87" y="372"/>
                              </a:lnTo>
                              <a:lnTo>
                                <a:pt x="87" y="365"/>
                              </a:lnTo>
                              <a:lnTo>
                                <a:pt x="87" y="356"/>
                              </a:lnTo>
                              <a:lnTo>
                                <a:pt x="88" y="345"/>
                              </a:lnTo>
                              <a:lnTo>
                                <a:pt x="88" y="334"/>
                              </a:lnTo>
                              <a:lnTo>
                                <a:pt x="89" y="323"/>
                              </a:lnTo>
                              <a:lnTo>
                                <a:pt x="90" y="310"/>
                              </a:lnTo>
                              <a:lnTo>
                                <a:pt x="90" y="297"/>
                              </a:lnTo>
                              <a:lnTo>
                                <a:pt x="91" y="283"/>
                              </a:lnTo>
                              <a:lnTo>
                                <a:pt x="92" y="268"/>
                              </a:lnTo>
                              <a:lnTo>
                                <a:pt x="92" y="251"/>
                              </a:lnTo>
                              <a:lnTo>
                                <a:pt x="93" y="229"/>
                              </a:lnTo>
                              <a:lnTo>
                                <a:pt x="94" y="203"/>
                              </a:lnTo>
                              <a:lnTo>
                                <a:pt x="95" y="180"/>
                              </a:lnTo>
                              <a:lnTo>
                                <a:pt x="96" y="162"/>
                              </a:lnTo>
                              <a:lnTo>
                                <a:pt x="97" y="147"/>
                              </a:lnTo>
                              <a:lnTo>
                                <a:pt x="97" y="134"/>
                              </a:lnTo>
                              <a:lnTo>
                                <a:pt x="98" y="122"/>
                              </a:lnTo>
                              <a:lnTo>
                                <a:pt x="98" y="111"/>
                              </a:lnTo>
                              <a:lnTo>
                                <a:pt x="99" y="101"/>
                              </a:lnTo>
                              <a:lnTo>
                                <a:pt x="99" y="91"/>
                              </a:lnTo>
                              <a:lnTo>
                                <a:pt x="100" y="83"/>
                              </a:lnTo>
                              <a:lnTo>
                                <a:pt x="100" y="75"/>
                              </a:lnTo>
                              <a:lnTo>
                                <a:pt x="101" y="67"/>
                              </a:lnTo>
                              <a:lnTo>
                                <a:pt x="101" y="59"/>
                              </a:lnTo>
                              <a:lnTo>
                                <a:pt x="102" y="50"/>
                              </a:lnTo>
                              <a:lnTo>
                                <a:pt x="102" y="42"/>
                              </a:lnTo>
                              <a:lnTo>
                                <a:pt x="103" y="35"/>
                              </a:lnTo>
                              <a:lnTo>
                                <a:pt x="103" y="28"/>
                              </a:lnTo>
                              <a:lnTo>
                                <a:pt x="104" y="22"/>
                              </a:lnTo>
                              <a:lnTo>
                                <a:pt x="104" y="17"/>
                              </a:lnTo>
                              <a:lnTo>
                                <a:pt x="105" y="12"/>
                              </a:lnTo>
                              <a:lnTo>
                                <a:pt x="105" y="9"/>
                              </a:lnTo>
                              <a:lnTo>
                                <a:pt x="106" y="6"/>
                              </a:lnTo>
                              <a:lnTo>
                                <a:pt x="106" y="3"/>
                              </a:lnTo>
                              <a:lnTo>
                                <a:pt x="107" y="1"/>
                              </a:lnTo>
                              <a:lnTo>
                                <a:pt x="107" y="0"/>
                              </a:lnTo>
                              <a:lnTo>
                                <a:pt x="108" y="0"/>
                              </a:lnTo>
                              <a:lnTo>
                                <a:pt x="108" y="0"/>
                              </a:lnTo>
                              <a:lnTo>
                                <a:pt x="109" y="0"/>
                              </a:lnTo>
                              <a:lnTo>
                                <a:pt x="109" y="1"/>
                              </a:lnTo>
                              <a:lnTo>
                                <a:pt x="110" y="3"/>
                              </a:lnTo>
                              <a:lnTo>
                                <a:pt x="110" y="6"/>
                              </a:lnTo>
                              <a:lnTo>
                                <a:pt x="110" y="9"/>
                              </a:lnTo>
                              <a:lnTo>
                                <a:pt x="111" y="13"/>
                              </a:lnTo>
                              <a:lnTo>
                                <a:pt x="112" y="18"/>
                              </a:lnTo>
                              <a:lnTo>
                                <a:pt x="112" y="23"/>
                              </a:lnTo>
                              <a:lnTo>
                                <a:pt x="113" y="29"/>
                              </a:lnTo>
                              <a:lnTo>
                                <a:pt x="113" y="36"/>
                              </a:lnTo>
                              <a:lnTo>
                                <a:pt x="114" y="44"/>
                              </a:lnTo>
                              <a:lnTo>
                                <a:pt x="114" y="52"/>
                              </a:lnTo>
                              <a:lnTo>
                                <a:pt x="115" y="62"/>
                              </a:lnTo>
                              <a:lnTo>
                                <a:pt x="115" y="70"/>
                              </a:lnTo>
                              <a:lnTo>
                                <a:pt x="116" y="79"/>
                              </a:lnTo>
                              <a:lnTo>
                                <a:pt x="116" y="87"/>
                              </a:lnTo>
                              <a:lnTo>
                                <a:pt x="117" y="96"/>
                              </a:lnTo>
                              <a:lnTo>
                                <a:pt x="117" y="107"/>
                              </a:lnTo>
                              <a:lnTo>
                                <a:pt x="118" y="118"/>
                              </a:lnTo>
                              <a:lnTo>
                                <a:pt x="118" y="126"/>
                              </a:lnTo>
                              <a:lnTo>
                                <a:pt x="119" y="131"/>
                              </a:lnTo>
                              <a:lnTo>
                                <a:pt x="119" y="135"/>
                              </a:lnTo>
                              <a:lnTo>
                                <a:pt x="119" y="139"/>
                              </a:lnTo>
                              <a:lnTo>
                                <a:pt x="119" y="144"/>
                              </a:lnTo>
                              <a:lnTo>
                                <a:pt x="119" y="148"/>
                              </a:lnTo>
                              <a:lnTo>
                                <a:pt x="120" y="151"/>
                              </a:lnTo>
                              <a:lnTo>
                                <a:pt x="120" y="155"/>
                              </a:lnTo>
                              <a:lnTo>
                                <a:pt x="120" y="159"/>
                              </a:lnTo>
                              <a:lnTo>
                                <a:pt x="120" y="162"/>
                              </a:lnTo>
                              <a:lnTo>
                                <a:pt x="120" y="164"/>
                              </a:lnTo>
                              <a:lnTo>
                                <a:pt x="120" y="167"/>
                              </a:lnTo>
                              <a:lnTo>
                                <a:pt x="121" y="170"/>
                              </a:lnTo>
                              <a:lnTo>
                                <a:pt x="121" y="173"/>
                              </a:lnTo>
                              <a:lnTo>
                                <a:pt x="121" y="175"/>
                              </a:lnTo>
                              <a:lnTo>
                                <a:pt x="121" y="177"/>
                              </a:lnTo>
                              <a:lnTo>
                                <a:pt x="121" y="178"/>
                              </a:lnTo>
                              <a:lnTo>
                                <a:pt x="121" y="180"/>
                              </a:lnTo>
                              <a:lnTo>
                                <a:pt x="121" y="182"/>
                              </a:lnTo>
                              <a:lnTo>
                                <a:pt x="122" y="199"/>
                              </a:lnTo>
                              <a:lnTo>
                                <a:pt x="123" y="225"/>
                              </a:lnTo>
                              <a:lnTo>
                                <a:pt x="124" y="246"/>
                              </a:lnTo>
                              <a:lnTo>
                                <a:pt x="125" y="265"/>
                              </a:lnTo>
                              <a:lnTo>
                                <a:pt x="126" y="282"/>
                              </a:lnTo>
                              <a:lnTo>
                                <a:pt x="127" y="297"/>
                              </a:lnTo>
                              <a:lnTo>
                                <a:pt x="127" y="312"/>
                              </a:lnTo>
                              <a:lnTo>
                                <a:pt x="128" y="326"/>
                              </a:lnTo>
                              <a:lnTo>
                                <a:pt x="129" y="339"/>
                              </a:lnTo>
                              <a:lnTo>
                                <a:pt x="130" y="351"/>
                              </a:lnTo>
                              <a:lnTo>
                                <a:pt x="130" y="364"/>
                              </a:lnTo>
                              <a:lnTo>
                                <a:pt x="131" y="374"/>
                              </a:lnTo>
                              <a:lnTo>
                                <a:pt x="131" y="382"/>
                              </a:lnTo>
                              <a:lnTo>
                                <a:pt x="132" y="389"/>
                              </a:lnTo>
                              <a:lnTo>
                                <a:pt x="132" y="396"/>
                              </a:lnTo>
                              <a:lnTo>
                                <a:pt x="133" y="403"/>
                              </a:lnTo>
                              <a:lnTo>
                                <a:pt x="133" y="409"/>
                              </a:lnTo>
                              <a:lnTo>
                                <a:pt x="134" y="416"/>
                              </a:lnTo>
                              <a:lnTo>
                                <a:pt x="134" y="422"/>
                              </a:lnTo>
                              <a:lnTo>
                                <a:pt x="134" y="428"/>
                              </a:lnTo>
                              <a:lnTo>
                                <a:pt x="135" y="434"/>
                              </a:lnTo>
                              <a:lnTo>
                                <a:pt x="135" y="440"/>
                              </a:lnTo>
                              <a:lnTo>
                                <a:pt x="135" y="446"/>
                              </a:lnTo>
                              <a:lnTo>
                                <a:pt x="136" y="452"/>
                              </a:lnTo>
                              <a:lnTo>
                                <a:pt x="136" y="457"/>
                              </a:lnTo>
                              <a:lnTo>
                                <a:pt x="137" y="463"/>
                              </a:lnTo>
                              <a:lnTo>
                                <a:pt x="137" y="469"/>
                              </a:lnTo>
                              <a:lnTo>
                                <a:pt x="138" y="474"/>
                              </a:lnTo>
                              <a:lnTo>
                                <a:pt x="138" y="479"/>
                              </a:lnTo>
                              <a:lnTo>
                                <a:pt x="139" y="485"/>
                              </a:lnTo>
                              <a:lnTo>
                                <a:pt x="139" y="490"/>
                              </a:lnTo>
                              <a:lnTo>
                                <a:pt x="140" y="495"/>
                              </a:lnTo>
                              <a:lnTo>
                                <a:pt x="140" y="499"/>
                              </a:lnTo>
                              <a:lnTo>
                                <a:pt x="141" y="504"/>
                              </a:lnTo>
                              <a:lnTo>
                                <a:pt x="141" y="508"/>
                              </a:lnTo>
                              <a:lnTo>
                                <a:pt x="142" y="513"/>
                              </a:lnTo>
                              <a:lnTo>
                                <a:pt x="142" y="518"/>
                              </a:lnTo>
                              <a:lnTo>
                                <a:pt x="143" y="521"/>
                              </a:lnTo>
                              <a:lnTo>
                                <a:pt x="143" y="524"/>
                              </a:lnTo>
                              <a:lnTo>
                                <a:pt x="143" y="527"/>
                              </a:lnTo>
                              <a:lnTo>
                                <a:pt x="144" y="530"/>
                              </a:lnTo>
                              <a:lnTo>
                                <a:pt x="144" y="533"/>
                              </a:lnTo>
                              <a:lnTo>
                                <a:pt x="144" y="536"/>
                              </a:lnTo>
                              <a:lnTo>
                                <a:pt x="145" y="538"/>
                              </a:lnTo>
                              <a:lnTo>
                                <a:pt x="145" y="541"/>
                              </a:lnTo>
                              <a:lnTo>
                                <a:pt x="146" y="544"/>
                              </a:lnTo>
                              <a:lnTo>
                                <a:pt x="146" y="546"/>
                              </a:lnTo>
                              <a:lnTo>
                                <a:pt x="146" y="549"/>
                              </a:lnTo>
                              <a:lnTo>
                                <a:pt x="147" y="551"/>
                              </a:lnTo>
                              <a:lnTo>
                                <a:pt x="147" y="554"/>
                              </a:lnTo>
                              <a:lnTo>
                                <a:pt x="148" y="557"/>
                              </a:lnTo>
                              <a:lnTo>
                                <a:pt x="148" y="559"/>
                              </a:lnTo>
                              <a:lnTo>
                                <a:pt x="148" y="561"/>
                              </a:lnTo>
                              <a:lnTo>
                                <a:pt x="149" y="564"/>
                              </a:lnTo>
                              <a:lnTo>
                                <a:pt x="149" y="566"/>
                              </a:lnTo>
                              <a:lnTo>
                                <a:pt x="150" y="568"/>
                              </a:lnTo>
                              <a:lnTo>
                                <a:pt x="150" y="570"/>
                              </a:lnTo>
                              <a:lnTo>
                                <a:pt x="151" y="572"/>
                              </a:lnTo>
                              <a:lnTo>
                                <a:pt x="151" y="574"/>
                              </a:lnTo>
                              <a:lnTo>
                                <a:pt x="151" y="576"/>
                              </a:lnTo>
                              <a:lnTo>
                                <a:pt x="152" y="578"/>
                              </a:lnTo>
                              <a:lnTo>
                                <a:pt x="152" y="580"/>
                              </a:lnTo>
                              <a:lnTo>
                                <a:pt x="153" y="582"/>
                              </a:lnTo>
                              <a:lnTo>
                                <a:pt x="153" y="584"/>
                              </a:lnTo>
                              <a:lnTo>
                                <a:pt x="154" y="586"/>
                              </a:lnTo>
                              <a:lnTo>
                                <a:pt x="154" y="587"/>
                              </a:lnTo>
                              <a:lnTo>
                                <a:pt x="155" y="589"/>
                              </a:lnTo>
                              <a:lnTo>
                                <a:pt x="155" y="591"/>
                              </a:lnTo>
                              <a:lnTo>
                                <a:pt x="156" y="592"/>
                              </a:lnTo>
                              <a:lnTo>
                                <a:pt x="157" y="594"/>
                              </a:lnTo>
                              <a:lnTo>
                                <a:pt x="157" y="595"/>
                              </a:lnTo>
                              <a:lnTo>
                                <a:pt x="157" y="597"/>
                              </a:lnTo>
                              <a:lnTo>
                                <a:pt x="158" y="598"/>
                              </a:lnTo>
                              <a:lnTo>
                                <a:pt x="158" y="599"/>
                              </a:lnTo>
                              <a:lnTo>
                                <a:pt x="159" y="600"/>
                              </a:lnTo>
                              <a:lnTo>
                                <a:pt x="159" y="601"/>
                              </a:lnTo>
                              <a:lnTo>
                                <a:pt x="159" y="602"/>
                              </a:lnTo>
                              <a:lnTo>
                                <a:pt x="160" y="603"/>
                              </a:lnTo>
                              <a:lnTo>
                                <a:pt x="160" y="603"/>
                              </a:lnTo>
                              <a:lnTo>
                                <a:pt x="161" y="604"/>
                              </a:lnTo>
                              <a:lnTo>
                                <a:pt x="161" y="605"/>
                              </a:lnTo>
                              <a:lnTo>
                                <a:pt x="161" y="606"/>
                              </a:lnTo>
                              <a:lnTo>
                                <a:pt x="162" y="607"/>
                              </a:lnTo>
                              <a:lnTo>
                                <a:pt x="162" y="608"/>
                              </a:lnTo>
                              <a:lnTo>
                                <a:pt x="163" y="609"/>
                              </a:lnTo>
                              <a:lnTo>
                                <a:pt x="164" y="610"/>
                              </a:lnTo>
                              <a:lnTo>
                                <a:pt x="164" y="611"/>
                              </a:lnTo>
                              <a:lnTo>
                                <a:pt x="165" y="612"/>
                              </a:lnTo>
                              <a:lnTo>
                                <a:pt x="165" y="612"/>
                              </a:lnTo>
                              <a:lnTo>
                                <a:pt x="166" y="613"/>
                              </a:lnTo>
                              <a:lnTo>
                                <a:pt x="167" y="614"/>
                              </a:lnTo>
                              <a:lnTo>
                                <a:pt x="168" y="615"/>
                              </a:lnTo>
                              <a:lnTo>
                                <a:pt x="168" y="615"/>
                              </a:lnTo>
                              <a:lnTo>
                                <a:pt x="169" y="616"/>
                              </a:lnTo>
                              <a:lnTo>
                                <a:pt x="169" y="616"/>
                              </a:lnTo>
                              <a:lnTo>
                                <a:pt x="170" y="617"/>
                              </a:lnTo>
                              <a:lnTo>
                                <a:pt x="171" y="617"/>
                              </a:lnTo>
                              <a:lnTo>
                                <a:pt x="171" y="618"/>
                              </a:lnTo>
                              <a:lnTo>
                                <a:pt x="172" y="618"/>
                              </a:lnTo>
                              <a:lnTo>
                                <a:pt x="173" y="619"/>
                              </a:lnTo>
                              <a:lnTo>
                                <a:pt x="174" y="619"/>
                              </a:lnTo>
                              <a:lnTo>
                                <a:pt x="174" y="620"/>
                              </a:lnTo>
                              <a:lnTo>
                                <a:pt x="175" y="620"/>
                              </a:lnTo>
                              <a:lnTo>
                                <a:pt x="176" y="620"/>
                              </a:lnTo>
                              <a:lnTo>
                                <a:pt x="177" y="621"/>
                              </a:lnTo>
                              <a:lnTo>
                                <a:pt x="178" y="621"/>
                              </a:lnTo>
                              <a:lnTo>
                                <a:pt x="179" y="621"/>
                              </a:lnTo>
                              <a:lnTo>
                                <a:pt x="180" y="622"/>
                              </a:lnTo>
                              <a:lnTo>
                                <a:pt x="181" y="622"/>
                              </a:lnTo>
                              <a:lnTo>
                                <a:pt x="182" y="622"/>
                              </a:lnTo>
                              <a:lnTo>
                                <a:pt x="183" y="622"/>
                              </a:lnTo>
                              <a:lnTo>
                                <a:pt x="184" y="623"/>
                              </a:lnTo>
                              <a:lnTo>
                                <a:pt x="185" y="623"/>
                              </a:lnTo>
                              <a:lnTo>
                                <a:pt x="186" y="623"/>
                              </a:lnTo>
                              <a:lnTo>
                                <a:pt x="187" y="623"/>
                              </a:lnTo>
                              <a:lnTo>
                                <a:pt x="189" y="623"/>
                              </a:lnTo>
                              <a:lnTo>
                                <a:pt x="190" y="623"/>
                              </a:lnTo>
                              <a:lnTo>
                                <a:pt x="191" y="623"/>
                              </a:lnTo>
                              <a:lnTo>
                                <a:pt x="193" y="623"/>
                              </a:lnTo>
                              <a:lnTo>
                                <a:pt x="194" y="622"/>
                              </a:lnTo>
                              <a:lnTo>
                                <a:pt x="196" y="622"/>
                              </a:lnTo>
                              <a:lnTo>
                                <a:pt x="197" y="622"/>
                              </a:lnTo>
                              <a:lnTo>
                                <a:pt x="199" y="621"/>
                              </a:lnTo>
                              <a:lnTo>
                                <a:pt x="201" y="621"/>
                              </a:lnTo>
                              <a:lnTo>
                                <a:pt x="202" y="621"/>
                              </a:lnTo>
                              <a:lnTo>
                                <a:pt x="204" y="620"/>
                              </a:lnTo>
                              <a:lnTo>
                                <a:pt x="206" y="620"/>
                              </a:lnTo>
                              <a:lnTo>
                                <a:pt x="207" y="619"/>
                              </a:lnTo>
                              <a:lnTo>
                                <a:pt x="208" y="619"/>
                              </a:lnTo>
                              <a:lnTo>
                                <a:pt x="209" y="619"/>
                              </a:lnTo>
                              <a:lnTo>
                                <a:pt x="211" y="618"/>
                              </a:lnTo>
                              <a:lnTo>
                                <a:pt x="211" y="618"/>
                              </a:lnTo>
                              <a:lnTo>
                                <a:pt x="212" y="618"/>
                              </a:lnTo>
                              <a:lnTo>
                                <a:pt x="213" y="617"/>
                              </a:lnTo>
                              <a:lnTo>
                                <a:pt x="215" y="616"/>
                              </a:lnTo>
                              <a:lnTo>
                                <a:pt x="218" y="615"/>
                              </a:lnTo>
                              <a:lnTo>
                                <a:pt x="220" y="615"/>
                              </a:lnTo>
                              <a:lnTo>
                                <a:pt x="222" y="614"/>
                              </a:lnTo>
                              <a:lnTo>
                                <a:pt x="224" y="613"/>
                              </a:lnTo>
                              <a:lnTo>
                                <a:pt x="225" y="613"/>
                              </a:lnTo>
                              <a:lnTo>
                                <a:pt x="227" y="613"/>
                              </a:lnTo>
                              <a:lnTo>
                                <a:pt x="228" y="612"/>
                              </a:lnTo>
                              <a:lnTo>
                                <a:pt x="230" y="612"/>
                              </a:lnTo>
                              <a:lnTo>
                                <a:pt x="231" y="612"/>
                              </a:lnTo>
                              <a:lnTo>
                                <a:pt x="233" y="612"/>
                              </a:lnTo>
                              <a:lnTo>
                                <a:pt x="235" y="611"/>
                              </a:lnTo>
                              <a:lnTo>
                                <a:pt x="236" y="611"/>
                              </a:lnTo>
                              <a:lnTo>
                                <a:pt x="238" y="611"/>
                              </a:lnTo>
                              <a:lnTo>
                                <a:pt x="240" y="611"/>
                              </a:lnTo>
                              <a:lnTo>
                                <a:pt x="242" y="611"/>
                              </a:lnTo>
                              <a:lnTo>
                                <a:pt x="243" y="611"/>
                              </a:lnTo>
                              <a:lnTo>
                                <a:pt x="245" y="611"/>
                              </a:lnTo>
                              <a:lnTo>
                                <a:pt x="247" y="611"/>
                              </a:lnTo>
                              <a:lnTo>
                                <a:pt x="249" y="611"/>
                              </a:lnTo>
                              <a:lnTo>
                                <a:pt x="250" y="611"/>
                              </a:lnTo>
                              <a:lnTo>
                                <a:pt x="251" y="611"/>
                              </a:lnTo>
                              <a:lnTo>
                                <a:pt x="252" y="612"/>
                              </a:lnTo>
                              <a:lnTo>
                                <a:pt x="253" y="612"/>
                              </a:lnTo>
                              <a:lnTo>
                                <a:pt x="254" y="612"/>
                              </a:lnTo>
                              <a:lnTo>
                                <a:pt x="255" y="612"/>
                              </a:lnTo>
                              <a:lnTo>
                                <a:pt x="255" y="612"/>
                              </a:lnTo>
                              <a:lnTo>
                                <a:pt x="256" y="612"/>
                              </a:lnTo>
                              <a:lnTo>
                                <a:pt x="257" y="612"/>
                              </a:lnTo>
                              <a:lnTo>
                                <a:pt x="258" y="612"/>
                              </a:lnTo>
                              <a:lnTo>
                                <a:pt x="260" y="613"/>
                              </a:lnTo>
                              <a:lnTo>
                                <a:pt x="261" y="613"/>
                              </a:lnTo>
                              <a:lnTo>
                                <a:pt x="262" y="613"/>
                              </a:lnTo>
                              <a:lnTo>
                                <a:pt x="264" y="614"/>
                              </a:lnTo>
                              <a:lnTo>
                                <a:pt x="265" y="614"/>
                              </a:lnTo>
                              <a:lnTo>
                                <a:pt x="266" y="615"/>
                              </a:lnTo>
                              <a:lnTo>
                                <a:pt x="268" y="616"/>
                              </a:lnTo>
                              <a:lnTo>
                                <a:pt x="269" y="616"/>
                              </a:lnTo>
                              <a:lnTo>
                                <a:pt x="271" y="617"/>
                              </a:lnTo>
                              <a:lnTo>
                                <a:pt x="272" y="618"/>
                              </a:lnTo>
                              <a:lnTo>
                                <a:pt x="274" y="619"/>
                              </a:lnTo>
                              <a:lnTo>
                                <a:pt x="276" y="620"/>
                              </a:lnTo>
                              <a:lnTo>
                                <a:pt x="279" y="621"/>
                              </a:lnTo>
                              <a:lnTo>
                                <a:pt x="282" y="623"/>
                              </a:lnTo>
                              <a:lnTo>
                                <a:pt x="284" y="625"/>
                              </a:lnTo>
                              <a:lnTo>
                                <a:pt x="287" y="626"/>
                              </a:lnTo>
                              <a:lnTo>
                                <a:pt x="289" y="627"/>
                              </a:lnTo>
                              <a:lnTo>
                                <a:pt x="291" y="629"/>
                              </a:lnTo>
                              <a:lnTo>
                                <a:pt x="293" y="629"/>
                              </a:lnTo>
                              <a:lnTo>
                                <a:pt x="295" y="630"/>
                              </a:lnTo>
                              <a:lnTo>
                                <a:pt x="296" y="631"/>
                              </a:lnTo>
                              <a:lnTo>
                                <a:pt x="297" y="631"/>
                              </a:lnTo>
                              <a:lnTo>
                                <a:pt x="298" y="632"/>
                              </a:lnTo>
                              <a:lnTo>
                                <a:pt x="299" y="632"/>
                              </a:lnTo>
                              <a:lnTo>
                                <a:pt x="299" y="632"/>
                              </a:lnTo>
                              <a:lnTo>
                                <a:pt x="301" y="633"/>
                              </a:lnTo>
                              <a:lnTo>
                                <a:pt x="302" y="633"/>
                              </a:lnTo>
                              <a:lnTo>
                                <a:pt x="304" y="634"/>
                              </a:lnTo>
                              <a:lnTo>
                                <a:pt x="307" y="635"/>
                              </a:lnTo>
                              <a:lnTo>
                                <a:pt x="309" y="636"/>
                              </a:lnTo>
                              <a:lnTo>
                                <a:pt x="312" y="637"/>
                              </a:lnTo>
                              <a:lnTo>
                                <a:pt x="314" y="638"/>
                              </a:lnTo>
                              <a:lnTo>
                                <a:pt x="317" y="639"/>
                              </a:lnTo>
                              <a:lnTo>
                                <a:pt x="320" y="639"/>
                              </a:lnTo>
                              <a:lnTo>
                                <a:pt x="323" y="640"/>
                              </a:lnTo>
                              <a:lnTo>
                                <a:pt x="326" y="641"/>
                              </a:lnTo>
                              <a:lnTo>
                                <a:pt x="329" y="642"/>
                              </a:lnTo>
                              <a:lnTo>
                                <a:pt x="332" y="643"/>
                              </a:lnTo>
                              <a:lnTo>
                                <a:pt x="334" y="644"/>
                              </a:lnTo>
                              <a:lnTo>
                                <a:pt x="336" y="644"/>
                              </a:lnTo>
                              <a:lnTo>
                                <a:pt x="338" y="645"/>
                              </a:lnTo>
                              <a:lnTo>
                                <a:pt x="339" y="645"/>
                              </a:lnTo>
                              <a:lnTo>
                                <a:pt x="340" y="645"/>
                              </a:lnTo>
                              <a:lnTo>
                                <a:pt x="341" y="646"/>
                              </a:lnTo>
                              <a:lnTo>
                                <a:pt x="342" y="646"/>
                              </a:lnTo>
                              <a:lnTo>
                                <a:pt x="343" y="646"/>
                              </a:lnTo>
                              <a:lnTo>
                                <a:pt x="343" y="646"/>
                              </a:lnTo>
                              <a:lnTo>
                                <a:pt x="345" y="647"/>
                              </a:lnTo>
                              <a:lnTo>
                                <a:pt x="348" y="647"/>
                              </a:lnTo>
                              <a:lnTo>
                                <a:pt x="350" y="648"/>
                              </a:lnTo>
                              <a:lnTo>
                                <a:pt x="352" y="648"/>
                              </a:lnTo>
                              <a:lnTo>
                                <a:pt x="354" y="649"/>
                              </a:lnTo>
                              <a:lnTo>
                                <a:pt x="356" y="649"/>
                              </a:lnTo>
                              <a:lnTo>
                                <a:pt x="358" y="650"/>
                              </a:lnTo>
                              <a:lnTo>
                                <a:pt x="360" y="650"/>
                              </a:lnTo>
                              <a:lnTo>
                                <a:pt x="362" y="650"/>
                              </a:lnTo>
                              <a:lnTo>
                                <a:pt x="364" y="651"/>
                              </a:lnTo>
                              <a:lnTo>
                                <a:pt x="367" y="651"/>
                              </a:lnTo>
                              <a:lnTo>
                                <a:pt x="369" y="652"/>
                              </a:lnTo>
                              <a:lnTo>
                                <a:pt x="371" y="652"/>
                              </a:lnTo>
                              <a:lnTo>
                                <a:pt x="373" y="652"/>
                              </a:lnTo>
                              <a:lnTo>
                                <a:pt x="376" y="652"/>
                              </a:lnTo>
                              <a:lnTo>
                                <a:pt x="378" y="653"/>
                              </a:lnTo>
                              <a:lnTo>
                                <a:pt x="380" y="653"/>
                              </a:lnTo>
                              <a:lnTo>
                                <a:pt x="382" y="653"/>
                              </a:lnTo>
                              <a:lnTo>
                                <a:pt x="384" y="653"/>
                              </a:lnTo>
                              <a:lnTo>
                                <a:pt x="385" y="653"/>
                              </a:lnTo>
                              <a:lnTo>
                                <a:pt x="386" y="654"/>
                              </a:lnTo>
                              <a:lnTo>
                                <a:pt x="387" y="654"/>
                              </a:lnTo>
                              <a:lnTo>
                                <a:pt x="389" y="654"/>
                              </a:lnTo>
                              <a:lnTo>
                                <a:pt x="391" y="654"/>
                              </a:lnTo>
                              <a:lnTo>
                                <a:pt x="394" y="654"/>
                              </a:lnTo>
                              <a:lnTo>
                                <a:pt x="396" y="654"/>
                              </a:lnTo>
                              <a:lnTo>
                                <a:pt x="399" y="655"/>
                              </a:lnTo>
                              <a:lnTo>
                                <a:pt x="402" y="655"/>
                              </a:lnTo>
                              <a:lnTo>
                                <a:pt x="406" y="655"/>
                              </a:lnTo>
                              <a:lnTo>
                                <a:pt x="410" y="655"/>
                              </a:lnTo>
                              <a:lnTo>
                                <a:pt x="413" y="655"/>
                              </a:lnTo>
                              <a:lnTo>
                                <a:pt x="416" y="655"/>
                              </a:lnTo>
                              <a:lnTo>
                                <a:pt x="420" y="656"/>
                              </a:lnTo>
                              <a:lnTo>
                                <a:pt x="423" y="656"/>
                              </a:lnTo>
                              <a:lnTo>
                                <a:pt x="427" y="656"/>
                              </a:lnTo>
                              <a:lnTo>
                                <a:pt x="430" y="656"/>
                              </a:lnTo>
                              <a:lnTo>
                                <a:pt x="432" y="656"/>
                              </a:lnTo>
                              <a:lnTo>
                                <a:pt x="435" y="656"/>
                              </a:lnTo>
                              <a:lnTo>
                                <a:pt x="437" y="656"/>
                              </a:lnTo>
                              <a:lnTo>
                                <a:pt x="441" y="656"/>
                              </a:lnTo>
                              <a:lnTo>
                                <a:pt x="444" y="656"/>
                              </a:lnTo>
                              <a:lnTo>
                                <a:pt x="448" y="656"/>
                              </a:lnTo>
                              <a:lnTo>
                                <a:pt x="454" y="656"/>
                              </a:lnTo>
                              <a:lnTo>
                                <a:pt x="460" y="656"/>
                              </a:lnTo>
                              <a:lnTo>
                                <a:pt x="466" y="656"/>
                              </a:lnTo>
                              <a:lnTo>
                                <a:pt x="470" y="657"/>
                              </a:lnTo>
                              <a:lnTo>
                                <a:pt x="473" y="657"/>
                              </a:lnTo>
                              <a:lnTo>
                                <a:pt x="475" y="657"/>
                              </a:lnTo>
                              <a:lnTo>
                                <a:pt x="478" y="657"/>
                              </a:lnTo>
                              <a:lnTo>
                                <a:pt x="481" y="657"/>
                              </a:lnTo>
                              <a:lnTo>
                                <a:pt x="485" y="657"/>
                              </a:lnTo>
                              <a:lnTo>
                                <a:pt x="488" y="657"/>
                              </a:lnTo>
                              <a:lnTo>
                                <a:pt x="492" y="657"/>
                              </a:lnTo>
                              <a:lnTo>
                                <a:pt x="495" y="657"/>
                              </a:lnTo>
                              <a:lnTo>
                                <a:pt x="498" y="657"/>
                              </a:lnTo>
                              <a:lnTo>
                                <a:pt x="502" y="657"/>
                              </a:lnTo>
                              <a:lnTo>
                                <a:pt x="507" y="657"/>
                              </a:lnTo>
                              <a:lnTo>
                                <a:pt x="512" y="657"/>
                              </a:lnTo>
                              <a:lnTo>
                                <a:pt x="519" y="657"/>
                              </a:lnTo>
                              <a:lnTo>
                                <a:pt x="524" y="657"/>
                              </a:lnTo>
                              <a:lnTo>
                                <a:pt x="529" y="657"/>
                              </a:lnTo>
                              <a:lnTo>
                                <a:pt x="534" y="657"/>
                              </a:lnTo>
                              <a:lnTo>
                                <a:pt x="540" y="657"/>
                              </a:lnTo>
                              <a:lnTo>
                                <a:pt x="546" y="657"/>
                              </a:lnTo>
                              <a:lnTo>
                                <a:pt x="550" y="657"/>
                              </a:lnTo>
                              <a:lnTo>
                                <a:pt x="555" y="657"/>
                              </a:lnTo>
                              <a:lnTo>
                                <a:pt x="561" y="657"/>
                              </a:lnTo>
                              <a:lnTo>
                                <a:pt x="565" y="657"/>
                              </a:lnTo>
                              <a:lnTo>
                                <a:pt x="569" y="657"/>
                              </a:lnTo>
                              <a:lnTo>
                                <a:pt x="573" y="657"/>
                              </a:lnTo>
                              <a:lnTo>
                                <a:pt x="578" y="657"/>
                              </a:lnTo>
                              <a:lnTo>
                                <a:pt x="583" y="657"/>
                              </a:lnTo>
                              <a:lnTo>
                                <a:pt x="588" y="657"/>
                              </a:lnTo>
                              <a:lnTo>
                                <a:pt x="592" y="657"/>
                              </a:lnTo>
                              <a:lnTo>
                                <a:pt x="596" y="657"/>
                              </a:lnTo>
                              <a:lnTo>
                                <a:pt x="601" y="657"/>
                              </a:lnTo>
                              <a:lnTo>
                                <a:pt x="607" y="657"/>
                              </a:lnTo>
                              <a:lnTo>
                                <a:pt x="611" y="657"/>
                              </a:lnTo>
                            </a:path>
                          </a:pathLst>
                        </a:custGeom>
                        <a:noFill/>
                        <a:ln w="4763">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3" name="Freeform 151"/>
                        <a:cNvSpPr>
                          <a:spLocks/>
                        </a:cNvSpPr>
                      </a:nvSpPr>
                      <a:spPr bwMode="auto">
                        <a:xfrm>
                          <a:off x="5709470" y="10978548"/>
                          <a:ext cx="2571951" cy="126238"/>
                        </a:xfrm>
                        <a:custGeom>
                          <a:avLst/>
                          <a:gdLst/>
                          <a:ahLst/>
                          <a:cxnLst>
                            <a:cxn ang="0">
                              <a:pos x="30" y="76"/>
                            </a:cxn>
                            <a:cxn ang="0">
                              <a:pos x="85" y="76"/>
                            </a:cxn>
                            <a:cxn ang="0">
                              <a:pos x="129" y="76"/>
                            </a:cxn>
                            <a:cxn ang="0">
                              <a:pos x="182" y="76"/>
                            </a:cxn>
                            <a:cxn ang="0">
                              <a:pos x="237" y="75"/>
                            </a:cxn>
                            <a:cxn ang="0">
                              <a:pos x="295" y="75"/>
                            </a:cxn>
                            <a:cxn ang="0">
                              <a:pos x="357" y="74"/>
                            </a:cxn>
                            <a:cxn ang="0">
                              <a:pos x="405" y="74"/>
                            </a:cxn>
                            <a:cxn ang="0">
                              <a:pos x="439" y="74"/>
                            </a:cxn>
                            <a:cxn ang="0">
                              <a:pos x="475" y="74"/>
                            </a:cxn>
                            <a:cxn ang="0">
                              <a:pos x="533" y="73"/>
                            </a:cxn>
                            <a:cxn ang="0">
                              <a:pos x="586" y="72"/>
                            </a:cxn>
                            <a:cxn ang="0">
                              <a:pos x="636" y="71"/>
                            </a:cxn>
                            <a:cxn ang="0">
                              <a:pos x="684" y="71"/>
                            </a:cxn>
                            <a:cxn ang="0">
                              <a:pos x="712" y="70"/>
                            </a:cxn>
                            <a:cxn ang="0">
                              <a:pos x="769" y="69"/>
                            </a:cxn>
                            <a:cxn ang="0">
                              <a:pos x="808" y="69"/>
                            </a:cxn>
                            <a:cxn ang="0">
                              <a:pos x="851" y="67"/>
                            </a:cxn>
                            <a:cxn ang="0">
                              <a:pos x="868" y="65"/>
                            </a:cxn>
                            <a:cxn ang="0">
                              <a:pos x="892" y="62"/>
                            </a:cxn>
                            <a:cxn ang="0">
                              <a:pos x="912" y="59"/>
                            </a:cxn>
                            <a:cxn ang="0">
                              <a:pos x="942" y="54"/>
                            </a:cxn>
                            <a:cxn ang="0">
                              <a:pos x="957" y="52"/>
                            </a:cxn>
                            <a:cxn ang="0">
                              <a:pos x="997" y="46"/>
                            </a:cxn>
                            <a:cxn ang="0">
                              <a:pos x="1027" y="43"/>
                            </a:cxn>
                            <a:cxn ang="0">
                              <a:pos x="1056" y="41"/>
                            </a:cxn>
                            <a:cxn ang="0">
                              <a:pos x="1098" y="39"/>
                            </a:cxn>
                            <a:cxn ang="0">
                              <a:pos x="1139" y="40"/>
                            </a:cxn>
                            <a:cxn ang="0">
                              <a:pos x="1177" y="41"/>
                            </a:cxn>
                            <a:cxn ang="0">
                              <a:pos x="1226" y="43"/>
                            </a:cxn>
                            <a:cxn ang="0">
                              <a:pos x="1277" y="45"/>
                            </a:cxn>
                            <a:cxn ang="0">
                              <a:pos x="1317" y="46"/>
                            </a:cxn>
                            <a:cxn ang="0">
                              <a:pos x="1361" y="48"/>
                            </a:cxn>
                            <a:cxn ang="0">
                              <a:pos x="1408" y="49"/>
                            </a:cxn>
                            <a:cxn ang="0">
                              <a:pos x="1457" y="49"/>
                            </a:cxn>
                            <a:cxn ang="0">
                              <a:pos x="1508" y="50"/>
                            </a:cxn>
                            <a:cxn ang="0">
                              <a:pos x="1530" y="49"/>
                            </a:cxn>
                            <a:cxn ang="0">
                              <a:pos x="1552" y="47"/>
                            </a:cxn>
                            <a:cxn ang="0">
                              <a:pos x="1566" y="43"/>
                            </a:cxn>
                            <a:cxn ang="0">
                              <a:pos x="1572" y="41"/>
                            </a:cxn>
                            <a:cxn ang="0">
                              <a:pos x="1586" y="35"/>
                            </a:cxn>
                            <a:cxn ang="0">
                              <a:pos x="1602" y="26"/>
                            </a:cxn>
                            <a:cxn ang="0">
                              <a:pos x="1609" y="21"/>
                            </a:cxn>
                            <a:cxn ang="0">
                              <a:pos x="1619" y="14"/>
                            </a:cxn>
                            <a:cxn ang="0">
                              <a:pos x="1637" y="4"/>
                            </a:cxn>
                            <a:cxn ang="0">
                              <a:pos x="1651" y="0"/>
                            </a:cxn>
                            <a:cxn ang="0">
                              <a:pos x="1664" y="1"/>
                            </a:cxn>
                            <a:cxn ang="0">
                              <a:pos x="1681" y="7"/>
                            </a:cxn>
                            <a:cxn ang="0">
                              <a:pos x="1696" y="16"/>
                            </a:cxn>
                            <a:cxn ang="0">
                              <a:pos x="1700" y="19"/>
                            </a:cxn>
                            <a:cxn ang="0">
                              <a:pos x="1732" y="42"/>
                            </a:cxn>
                            <a:cxn ang="0">
                              <a:pos x="1742" y="49"/>
                            </a:cxn>
                            <a:cxn ang="0">
                              <a:pos x="1753" y="56"/>
                            </a:cxn>
                            <a:cxn ang="0">
                              <a:pos x="1768" y="63"/>
                            </a:cxn>
                            <a:cxn ang="0">
                              <a:pos x="1782" y="69"/>
                            </a:cxn>
                            <a:cxn ang="0">
                              <a:pos x="1787" y="71"/>
                            </a:cxn>
                            <a:cxn ang="0">
                              <a:pos x="1800" y="75"/>
                            </a:cxn>
                            <a:cxn ang="0">
                              <a:pos x="1816" y="79"/>
                            </a:cxn>
                            <a:cxn ang="0">
                              <a:pos x="1829" y="82"/>
                            </a:cxn>
                            <a:cxn ang="0">
                              <a:pos x="1843" y="84"/>
                            </a:cxn>
                            <a:cxn ang="0">
                              <a:pos x="1862" y="86"/>
                            </a:cxn>
                            <a:cxn ang="0">
                              <a:pos x="1878" y="87"/>
                            </a:cxn>
                            <a:cxn ang="0">
                              <a:pos x="1910" y="88"/>
                            </a:cxn>
                          </a:cxnLst>
                          <a:rect l="0" t="0" r="r" b="b"/>
                          <a:pathLst>
                            <a:path w="1927" h="89">
                              <a:moveTo>
                                <a:pt x="0" y="76"/>
                              </a:moveTo>
                              <a:lnTo>
                                <a:pt x="5" y="76"/>
                              </a:lnTo>
                              <a:lnTo>
                                <a:pt x="9" y="76"/>
                              </a:lnTo>
                              <a:lnTo>
                                <a:pt x="13" y="76"/>
                              </a:lnTo>
                              <a:lnTo>
                                <a:pt x="17" y="76"/>
                              </a:lnTo>
                              <a:lnTo>
                                <a:pt x="22" y="76"/>
                              </a:lnTo>
                              <a:lnTo>
                                <a:pt x="26" y="76"/>
                              </a:lnTo>
                              <a:lnTo>
                                <a:pt x="30" y="76"/>
                              </a:lnTo>
                              <a:lnTo>
                                <a:pt x="35" y="76"/>
                              </a:lnTo>
                              <a:lnTo>
                                <a:pt x="43" y="76"/>
                              </a:lnTo>
                              <a:lnTo>
                                <a:pt x="53" y="76"/>
                              </a:lnTo>
                              <a:lnTo>
                                <a:pt x="62" y="76"/>
                              </a:lnTo>
                              <a:lnTo>
                                <a:pt x="72" y="76"/>
                              </a:lnTo>
                              <a:lnTo>
                                <a:pt x="79" y="76"/>
                              </a:lnTo>
                              <a:lnTo>
                                <a:pt x="82" y="76"/>
                              </a:lnTo>
                              <a:lnTo>
                                <a:pt x="85" y="76"/>
                              </a:lnTo>
                              <a:lnTo>
                                <a:pt x="88" y="76"/>
                              </a:lnTo>
                              <a:lnTo>
                                <a:pt x="92" y="76"/>
                              </a:lnTo>
                              <a:lnTo>
                                <a:pt x="97" y="76"/>
                              </a:lnTo>
                              <a:lnTo>
                                <a:pt x="102" y="76"/>
                              </a:lnTo>
                              <a:lnTo>
                                <a:pt x="107" y="76"/>
                              </a:lnTo>
                              <a:lnTo>
                                <a:pt x="114" y="76"/>
                              </a:lnTo>
                              <a:lnTo>
                                <a:pt x="121" y="76"/>
                              </a:lnTo>
                              <a:lnTo>
                                <a:pt x="129" y="76"/>
                              </a:lnTo>
                              <a:lnTo>
                                <a:pt x="137" y="76"/>
                              </a:lnTo>
                              <a:lnTo>
                                <a:pt x="144" y="76"/>
                              </a:lnTo>
                              <a:lnTo>
                                <a:pt x="152" y="76"/>
                              </a:lnTo>
                              <a:lnTo>
                                <a:pt x="160" y="76"/>
                              </a:lnTo>
                              <a:lnTo>
                                <a:pt x="167" y="76"/>
                              </a:lnTo>
                              <a:lnTo>
                                <a:pt x="173" y="76"/>
                              </a:lnTo>
                              <a:lnTo>
                                <a:pt x="177" y="76"/>
                              </a:lnTo>
                              <a:lnTo>
                                <a:pt x="182" y="76"/>
                              </a:lnTo>
                              <a:lnTo>
                                <a:pt x="188" y="76"/>
                              </a:lnTo>
                              <a:lnTo>
                                <a:pt x="195" y="76"/>
                              </a:lnTo>
                              <a:lnTo>
                                <a:pt x="203" y="76"/>
                              </a:lnTo>
                              <a:lnTo>
                                <a:pt x="211" y="76"/>
                              </a:lnTo>
                              <a:lnTo>
                                <a:pt x="219" y="76"/>
                              </a:lnTo>
                              <a:lnTo>
                                <a:pt x="225" y="75"/>
                              </a:lnTo>
                              <a:lnTo>
                                <a:pt x="231" y="75"/>
                              </a:lnTo>
                              <a:lnTo>
                                <a:pt x="237" y="75"/>
                              </a:lnTo>
                              <a:lnTo>
                                <a:pt x="245" y="75"/>
                              </a:lnTo>
                              <a:lnTo>
                                <a:pt x="252" y="75"/>
                              </a:lnTo>
                              <a:lnTo>
                                <a:pt x="258" y="75"/>
                              </a:lnTo>
                              <a:lnTo>
                                <a:pt x="267" y="75"/>
                              </a:lnTo>
                              <a:lnTo>
                                <a:pt x="277" y="75"/>
                              </a:lnTo>
                              <a:lnTo>
                                <a:pt x="284" y="75"/>
                              </a:lnTo>
                              <a:lnTo>
                                <a:pt x="290" y="75"/>
                              </a:lnTo>
                              <a:lnTo>
                                <a:pt x="295" y="75"/>
                              </a:lnTo>
                              <a:lnTo>
                                <a:pt x="300" y="75"/>
                              </a:lnTo>
                              <a:lnTo>
                                <a:pt x="306" y="75"/>
                              </a:lnTo>
                              <a:lnTo>
                                <a:pt x="314" y="75"/>
                              </a:lnTo>
                              <a:lnTo>
                                <a:pt x="324" y="75"/>
                              </a:lnTo>
                              <a:lnTo>
                                <a:pt x="335" y="75"/>
                              </a:lnTo>
                              <a:lnTo>
                                <a:pt x="344" y="74"/>
                              </a:lnTo>
                              <a:lnTo>
                                <a:pt x="352" y="74"/>
                              </a:lnTo>
                              <a:lnTo>
                                <a:pt x="357" y="74"/>
                              </a:lnTo>
                              <a:lnTo>
                                <a:pt x="361" y="74"/>
                              </a:lnTo>
                              <a:lnTo>
                                <a:pt x="366" y="74"/>
                              </a:lnTo>
                              <a:lnTo>
                                <a:pt x="373" y="74"/>
                              </a:lnTo>
                              <a:lnTo>
                                <a:pt x="381" y="74"/>
                              </a:lnTo>
                              <a:lnTo>
                                <a:pt x="387" y="74"/>
                              </a:lnTo>
                              <a:lnTo>
                                <a:pt x="392" y="74"/>
                              </a:lnTo>
                              <a:lnTo>
                                <a:pt x="399" y="74"/>
                              </a:lnTo>
                              <a:lnTo>
                                <a:pt x="405" y="74"/>
                              </a:lnTo>
                              <a:lnTo>
                                <a:pt x="409" y="74"/>
                              </a:lnTo>
                              <a:lnTo>
                                <a:pt x="414" y="74"/>
                              </a:lnTo>
                              <a:lnTo>
                                <a:pt x="420" y="74"/>
                              </a:lnTo>
                              <a:lnTo>
                                <a:pt x="426" y="74"/>
                              </a:lnTo>
                              <a:lnTo>
                                <a:pt x="431" y="74"/>
                              </a:lnTo>
                              <a:lnTo>
                                <a:pt x="433" y="74"/>
                              </a:lnTo>
                              <a:lnTo>
                                <a:pt x="436" y="74"/>
                              </a:lnTo>
                              <a:lnTo>
                                <a:pt x="439" y="74"/>
                              </a:lnTo>
                              <a:lnTo>
                                <a:pt x="442" y="74"/>
                              </a:lnTo>
                              <a:lnTo>
                                <a:pt x="444" y="74"/>
                              </a:lnTo>
                              <a:lnTo>
                                <a:pt x="447" y="74"/>
                              </a:lnTo>
                              <a:lnTo>
                                <a:pt x="451" y="74"/>
                              </a:lnTo>
                              <a:lnTo>
                                <a:pt x="456" y="74"/>
                              </a:lnTo>
                              <a:lnTo>
                                <a:pt x="462" y="74"/>
                              </a:lnTo>
                              <a:lnTo>
                                <a:pt x="468" y="74"/>
                              </a:lnTo>
                              <a:lnTo>
                                <a:pt x="475" y="74"/>
                              </a:lnTo>
                              <a:lnTo>
                                <a:pt x="481" y="73"/>
                              </a:lnTo>
                              <a:lnTo>
                                <a:pt x="487" y="73"/>
                              </a:lnTo>
                              <a:lnTo>
                                <a:pt x="493" y="73"/>
                              </a:lnTo>
                              <a:lnTo>
                                <a:pt x="500" y="73"/>
                              </a:lnTo>
                              <a:lnTo>
                                <a:pt x="509" y="73"/>
                              </a:lnTo>
                              <a:lnTo>
                                <a:pt x="517" y="73"/>
                              </a:lnTo>
                              <a:lnTo>
                                <a:pt x="525" y="73"/>
                              </a:lnTo>
                              <a:lnTo>
                                <a:pt x="533" y="73"/>
                              </a:lnTo>
                              <a:lnTo>
                                <a:pt x="538" y="73"/>
                              </a:lnTo>
                              <a:lnTo>
                                <a:pt x="546" y="73"/>
                              </a:lnTo>
                              <a:lnTo>
                                <a:pt x="554" y="73"/>
                              </a:lnTo>
                              <a:lnTo>
                                <a:pt x="562" y="73"/>
                              </a:lnTo>
                              <a:lnTo>
                                <a:pt x="570" y="73"/>
                              </a:lnTo>
                              <a:lnTo>
                                <a:pt x="577" y="72"/>
                              </a:lnTo>
                              <a:lnTo>
                                <a:pt x="581" y="72"/>
                              </a:lnTo>
                              <a:lnTo>
                                <a:pt x="586" y="72"/>
                              </a:lnTo>
                              <a:lnTo>
                                <a:pt x="592" y="72"/>
                              </a:lnTo>
                              <a:lnTo>
                                <a:pt x="598" y="72"/>
                              </a:lnTo>
                              <a:lnTo>
                                <a:pt x="604" y="72"/>
                              </a:lnTo>
                              <a:lnTo>
                                <a:pt x="611" y="72"/>
                              </a:lnTo>
                              <a:lnTo>
                                <a:pt x="617" y="72"/>
                              </a:lnTo>
                              <a:lnTo>
                                <a:pt x="623" y="72"/>
                              </a:lnTo>
                              <a:lnTo>
                                <a:pt x="629" y="72"/>
                              </a:lnTo>
                              <a:lnTo>
                                <a:pt x="636" y="71"/>
                              </a:lnTo>
                              <a:lnTo>
                                <a:pt x="644" y="71"/>
                              </a:lnTo>
                              <a:lnTo>
                                <a:pt x="653" y="71"/>
                              </a:lnTo>
                              <a:lnTo>
                                <a:pt x="659" y="71"/>
                              </a:lnTo>
                              <a:lnTo>
                                <a:pt x="664" y="71"/>
                              </a:lnTo>
                              <a:lnTo>
                                <a:pt x="668" y="71"/>
                              </a:lnTo>
                              <a:lnTo>
                                <a:pt x="673" y="71"/>
                              </a:lnTo>
                              <a:lnTo>
                                <a:pt x="679" y="71"/>
                              </a:lnTo>
                              <a:lnTo>
                                <a:pt x="684" y="71"/>
                              </a:lnTo>
                              <a:lnTo>
                                <a:pt x="689" y="71"/>
                              </a:lnTo>
                              <a:lnTo>
                                <a:pt x="693" y="71"/>
                              </a:lnTo>
                              <a:lnTo>
                                <a:pt x="695" y="71"/>
                              </a:lnTo>
                              <a:lnTo>
                                <a:pt x="698" y="71"/>
                              </a:lnTo>
                              <a:lnTo>
                                <a:pt x="702" y="71"/>
                              </a:lnTo>
                              <a:lnTo>
                                <a:pt x="706" y="71"/>
                              </a:lnTo>
                              <a:lnTo>
                                <a:pt x="709" y="71"/>
                              </a:lnTo>
                              <a:lnTo>
                                <a:pt x="712" y="70"/>
                              </a:lnTo>
                              <a:lnTo>
                                <a:pt x="719" y="70"/>
                              </a:lnTo>
                              <a:lnTo>
                                <a:pt x="728" y="70"/>
                              </a:lnTo>
                              <a:lnTo>
                                <a:pt x="736" y="70"/>
                              </a:lnTo>
                              <a:lnTo>
                                <a:pt x="742" y="70"/>
                              </a:lnTo>
                              <a:lnTo>
                                <a:pt x="746" y="70"/>
                              </a:lnTo>
                              <a:lnTo>
                                <a:pt x="754" y="70"/>
                              </a:lnTo>
                              <a:lnTo>
                                <a:pt x="763" y="69"/>
                              </a:lnTo>
                              <a:lnTo>
                                <a:pt x="769" y="69"/>
                              </a:lnTo>
                              <a:lnTo>
                                <a:pt x="774" y="69"/>
                              </a:lnTo>
                              <a:lnTo>
                                <a:pt x="779" y="69"/>
                              </a:lnTo>
                              <a:lnTo>
                                <a:pt x="783" y="69"/>
                              </a:lnTo>
                              <a:lnTo>
                                <a:pt x="787" y="69"/>
                              </a:lnTo>
                              <a:lnTo>
                                <a:pt x="792" y="69"/>
                              </a:lnTo>
                              <a:lnTo>
                                <a:pt x="796" y="69"/>
                              </a:lnTo>
                              <a:lnTo>
                                <a:pt x="802" y="69"/>
                              </a:lnTo>
                              <a:lnTo>
                                <a:pt x="808" y="69"/>
                              </a:lnTo>
                              <a:lnTo>
                                <a:pt x="813" y="69"/>
                              </a:lnTo>
                              <a:lnTo>
                                <a:pt x="818" y="68"/>
                              </a:lnTo>
                              <a:lnTo>
                                <a:pt x="825" y="68"/>
                              </a:lnTo>
                              <a:lnTo>
                                <a:pt x="836" y="68"/>
                              </a:lnTo>
                              <a:lnTo>
                                <a:pt x="842" y="68"/>
                              </a:lnTo>
                              <a:lnTo>
                                <a:pt x="845" y="68"/>
                              </a:lnTo>
                              <a:lnTo>
                                <a:pt x="848" y="67"/>
                              </a:lnTo>
                              <a:lnTo>
                                <a:pt x="851" y="67"/>
                              </a:lnTo>
                              <a:lnTo>
                                <a:pt x="854" y="67"/>
                              </a:lnTo>
                              <a:lnTo>
                                <a:pt x="857" y="67"/>
                              </a:lnTo>
                              <a:lnTo>
                                <a:pt x="860" y="66"/>
                              </a:lnTo>
                              <a:lnTo>
                                <a:pt x="863" y="66"/>
                              </a:lnTo>
                              <a:lnTo>
                                <a:pt x="864" y="66"/>
                              </a:lnTo>
                              <a:lnTo>
                                <a:pt x="866" y="66"/>
                              </a:lnTo>
                              <a:lnTo>
                                <a:pt x="867" y="66"/>
                              </a:lnTo>
                              <a:lnTo>
                                <a:pt x="868" y="65"/>
                              </a:lnTo>
                              <a:lnTo>
                                <a:pt x="869" y="65"/>
                              </a:lnTo>
                              <a:lnTo>
                                <a:pt x="870" y="65"/>
                              </a:lnTo>
                              <a:lnTo>
                                <a:pt x="872" y="65"/>
                              </a:lnTo>
                              <a:lnTo>
                                <a:pt x="876" y="64"/>
                              </a:lnTo>
                              <a:lnTo>
                                <a:pt x="880" y="64"/>
                              </a:lnTo>
                              <a:lnTo>
                                <a:pt x="884" y="63"/>
                              </a:lnTo>
                              <a:lnTo>
                                <a:pt x="888" y="63"/>
                              </a:lnTo>
                              <a:lnTo>
                                <a:pt x="892" y="62"/>
                              </a:lnTo>
                              <a:lnTo>
                                <a:pt x="895" y="62"/>
                              </a:lnTo>
                              <a:lnTo>
                                <a:pt x="899" y="61"/>
                              </a:lnTo>
                              <a:lnTo>
                                <a:pt x="904" y="60"/>
                              </a:lnTo>
                              <a:lnTo>
                                <a:pt x="907" y="60"/>
                              </a:lnTo>
                              <a:lnTo>
                                <a:pt x="909" y="60"/>
                              </a:lnTo>
                              <a:lnTo>
                                <a:pt x="910" y="59"/>
                              </a:lnTo>
                              <a:lnTo>
                                <a:pt x="911" y="59"/>
                              </a:lnTo>
                              <a:lnTo>
                                <a:pt x="912" y="59"/>
                              </a:lnTo>
                              <a:lnTo>
                                <a:pt x="913" y="59"/>
                              </a:lnTo>
                              <a:lnTo>
                                <a:pt x="913" y="59"/>
                              </a:lnTo>
                              <a:lnTo>
                                <a:pt x="916" y="58"/>
                              </a:lnTo>
                              <a:lnTo>
                                <a:pt x="920" y="58"/>
                              </a:lnTo>
                              <a:lnTo>
                                <a:pt x="925" y="57"/>
                              </a:lnTo>
                              <a:lnTo>
                                <a:pt x="931" y="56"/>
                              </a:lnTo>
                              <a:lnTo>
                                <a:pt x="937" y="55"/>
                              </a:lnTo>
                              <a:lnTo>
                                <a:pt x="942" y="54"/>
                              </a:lnTo>
                              <a:lnTo>
                                <a:pt x="947" y="53"/>
                              </a:lnTo>
                              <a:lnTo>
                                <a:pt x="950" y="53"/>
                              </a:lnTo>
                              <a:lnTo>
                                <a:pt x="952" y="52"/>
                              </a:lnTo>
                              <a:lnTo>
                                <a:pt x="953" y="52"/>
                              </a:lnTo>
                              <a:lnTo>
                                <a:pt x="954" y="52"/>
                              </a:lnTo>
                              <a:lnTo>
                                <a:pt x="955" y="52"/>
                              </a:lnTo>
                              <a:lnTo>
                                <a:pt x="956" y="52"/>
                              </a:lnTo>
                              <a:lnTo>
                                <a:pt x="957" y="52"/>
                              </a:lnTo>
                              <a:lnTo>
                                <a:pt x="960" y="51"/>
                              </a:lnTo>
                              <a:lnTo>
                                <a:pt x="966" y="50"/>
                              </a:lnTo>
                              <a:lnTo>
                                <a:pt x="973" y="49"/>
                              </a:lnTo>
                              <a:lnTo>
                                <a:pt x="980" y="48"/>
                              </a:lnTo>
                              <a:lnTo>
                                <a:pt x="985" y="47"/>
                              </a:lnTo>
                              <a:lnTo>
                                <a:pt x="991" y="47"/>
                              </a:lnTo>
                              <a:lnTo>
                                <a:pt x="995" y="46"/>
                              </a:lnTo>
                              <a:lnTo>
                                <a:pt x="997" y="46"/>
                              </a:lnTo>
                              <a:lnTo>
                                <a:pt x="999" y="46"/>
                              </a:lnTo>
                              <a:lnTo>
                                <a:pt x="1000" y="46"/>
                              </a:lnTo>
                              <a:lnTo>
                                <a:pt x="1004" y="45"/>
                              </a:lnTo>
                              <a:lnTo>
                                <a:pt x="1009" y="44"/>
                              </a:lnTo>
                              <a:lnTo>
                                <a:pt x="1014" y="44"/>
                              </a:lnTo>
                              <a:lnTo>
                                <a:pt x="1018" y="44"/>
                              </a:lnTo>
                              <a:lnTo>
                                <a:pt x="1022" y="43"/>
                              </a:lnTo>
                              <a:lnTo>
                                <a:pt x="1027" y="43"/>
                              </a:lnTo>
                              <a:lnTo>
                                <a:pt x="1034" y="42"/>
                              </a:lnTo>
                              <a:lnTo>
                                <a:pt x="1040" y="42"/>
                              </a:lnTo>
                              <a:lnTo>
                                <a:pt x="1042" y="42"/>
                              </a:lnTo>
                              <a:lnTo>
                                <a:pt x="1043" y="41"/>
                              </a:lnTo>
                              <a:lnTo>
                                <a:pt x="1045" y="41"/>
                              </a:lnTo>
                              <a:lnTo>
                                <a:pt x="1048" y="41"/>
                              </a:lnTo>
                              <a:lnTo>
                                <a:pt x="1052" y="41"/>
                              </a:lnTo>
                              <a:lnTo>
                                <a:pt x="1056" y="41"/>
                              </a:lnTo>
                              <a:lnTo>
                                <a:pt x="1062" y="40"/>
                              </a:lnTo>
                              <a:lnTo>
                                <a:pt x="1068" y="40"/>
                              </a:lnTo>
                              <a:lnTo>
                                <a:pt x="1074" y="40"/>
                              </a:lnTo>
                              <a:lnTo>
                                <a:pt x="1080" y="40"/>
                              </a:lnTo>
                              <a:lnTo>
                                <a:pt x="1086" y="40"/>
                              </a:lnTo>
                              <a:lnTo>
                                <a:pt x="1090" y="39"/>
                              </a:lnTo>
                              <a:lnTo>
                                <a:pt x="1094" y="39"/>
                              </a:lnTo>
                              <a:lnTo>
                                <a:pt x="1098" y="39"/>
                              </a:lnTo>
                              <a:lnTo>
                                <a:pt x="1102" y="39"/>
                              </a:lnTo>
                              <a:lnTo>
                                <a:pt x="1108" y="39"/>
                              </a:lnTo>
                              <a:lnTo>
                                <a:pt x="1116" y="39"/>
                              </a:lnTo>
                              <a:lnTo>
                                <a:pt x="1122" y="39"/>
                              </a:lnTo>
                              <a:lnTo>
                                <a:pt x="1127" y="40"/>
                              </a:lnTo>
                              <a:lnTo>
                                <a:pt x="1131" y="40"/>
                              </a:lnTo>
                              <a:lnTo>
                                <a:pt x="1134" y="40"/>
                              </a:lnTo>
                              <a:lnTo>
                                <a:pt x="1139" y="40"/>
                              </a:lnTo>
                              <a:lnTo>
                                <a:pt x="1144" y="40"/>
                              </a:lnTo>
                              <a:lnTo>
                                <a:pt x="1150" y="40"/>
                              </a:lnTo>
                              <a:lnTo>
                                <a:pt x="1155" y="40"/>
                              </a:lnTo>
                              <a:lnTo>
                                <a:pt x="1160" y="41"/>
                              </a:lnTo>
                              <a:lnTo>
                                <a:pt x="1166" y="41"/>
                              </a:lnTo>
                              <a:lnTo>
                                <a:pt x="1171" y="41"/>
                              </a:lnTo>
                              <a:lnTo>
                                <a:pt x="1174" y="41"/>
                              </a:lnTo>
                              <a:lnTo>
                                <a:pt x="1177" y="41"/>
                              </a:lnTo>
                              <a:lnTo>
                                <a:pt x="1183" y="42"/>
                              </a:lnTo>
                              <a:lnTo>
                                <a:pt x="1191" y="42"/>
                              </a:lnTo>
                              <a:lnTo>
                                <a:pt x="1200" y="42"/>
                              </a:lnTo>
                              <a:lnTo>
                                <a:pt x="1209" y="43"/>
                              </a:lnTo>
                              <a:lnTo>
                                <a:pt x="1215" y="43"/>
                              </a:lnTo>
                              <a:lnTo>
                                <a:pt x="1218" y="43"/>
                              </a:lnTo>
                              <a:lnTo>
                                <a:pt x="1221" y="43"/>
                              </a:lnTo>
                              <a:lnTo>
                                <a:pt x="1226" y="43"/>
                              </a:lnTo>
                              <a:lnTo>
                                <a:pt x="1233" y="44"/>
                              </a:lnTo>
                              <a:lnTo>
                                <a:pt x="1243" y="44"/>
                              </a:lnTo>
                              <a:lnTo>
                                <a:pt x="1252" y="44"/>
                              </a:lnTo>
                              <a:lnTo>
                                <a:pt x="1258" y="45"/>
                              </a:lnTo>
                              <a:lnTo>
                                <a:pt x="1261" y="45"/>
                              </a:lnTo>
                              <a:lnTo>
                                <a:pt x="1265" y="45"/>
                              </a:lnTo>
                              <a:lnTo>
                                <a:pt x="1271" y="45"/>
                              </a:lnTo>
                              <a:lnTo>
                                <a:pt x="1277" y="45"/>
                              </a:lnTo>
                              <a:lnTo>
                                <a:pt x="1284" y="45"/>
                              </a:lnTo>
                              <a:lnTo>
                                <a:pt x="1291" y="46"/>
                              </a:lnTo>
                              <a:lnTo>
                                <a:pt x="1298" y="46"/>
                              </a:lnTo>
                              <a:lnTo>
                                <a:pt x="1302" y="46"/>
                              </a:lnTo>
                              <a:lnTo>
                                <a:pt x="1305" y="46"/>
                              </a:lnTo>
                              <a:lnTo>
                                <a:pt x="1307" y="46"/>
                              </a:lnTo>
                              <a:lnTo>
                                <a:pt x="1311" y="46"/>
                              </a:lnTo>
                              <a:lnTo>
                                <a:pt x="1317" y="46"/>
                              </a:lnTo>
                              <a:lnTo>
                                <a:pt x="1323" y="47"/>
                              </a:lnTo>
                              <a:lnTo>
                                <a:pt x="1329" y="47"/>
                              </a:lnTo>
                              <a:lnTo>
                                <a:pt x="1338" y="47"/>
                              </a:lnTo>
                              <a:lnTo>
                                <a:pt x="1345" y="47"/>
                              </a:lnTo>
                              <a:lnTo>
                                <a:pt x="1348" y="47"/>
                              </a:lnTo>
                              <a:lnTo>
                                <a:pt x="1351" y="47"/>
                              </a:lnTo>
                              <a:lnTo>
                                <a:pt x="1355" y="47"/>
                              </a:lnTo>
                              <a:lnTo>
                                <a:pt x="1361" y="48"/>
                              </a:lnTo>
                              <a:lnTo>
                                <a:pt x="1367" y="48"/>
                              </a:lnTo>
                              <a:lnTo>
                                <a:pt x="1373" y="48"/>
                              </a:lnTo>
                              <a:lnTo>
                                <a:pt x="1382" y="48"/>
                              </a:lnTo>
                              <a:lnTo>
                                <a:pt x="1390" y="48"/>
                              </a:lnTo>
                              <a:lnTo>
                                <a:pt x="1395" y="48"/>
                              </a:lnTo>
                              <a:lnTo>
                                <a:pt x="1398" y="48"/>
                              </a:lnTo>
                              <a:lnTo>
                                <a:pt x="1402" y="49"/>
                              </a:lnTo>
                              <a:lnTo>
                                <a:pt x="1408" y="49"/>
                              </a:lnTo>
                              <a:lnTo>
                                <a:pt x="1414" y="49"/>
                              </a:lnTo>
                              <a:lnTo>
                                <a:pt x="1421" y="49"/>
                              </a:lnTo>
                              <a:lnTo>
                                <a:pt x="1428" y="49"/>
                              </a:lnTo>
                              <a:lnTo>
                                <a:pt x="1434" y="49"/>
                              </a:lnTo>
                              <a:lnTo>
                                <a:pt x="1439" y="49"/>
                              </a:lnTo>
                              <a:lnTo>
                                <a:pt x="1442" y="49"/>
                              </a:lnTo>
                              <a:lnTo>
                                <a:pt x="1448" y="49"/>
                              </a:lnTo>
                              <a:lnTo>
                                <a:pt x="1457" y="49"/>
                              </a:lnTo>
                              <a:lnTo>
                                <a:pt x="1465" y="50"/>
                              </a:lnTo>
                              <a:lnTo>
                                <a:pt x="1471" y="50"/>
                              </a:lnTo>
                              <a:lnTo>
                                <a:pt x="1479" y="50"/>
                              </a:lnTo>
                              <a:lnTo>
                                <a:pt x="1486" y="50"/>
                              </a:lnTo>
                              <a:lnTo>
                                <a:pt x="1492" y="50"/>
                              </a:lnTo>
                              <a:lnTo>
                                <a:pt x="1498" y="50"/>
                              </a:lnTo>
                              <a:lnTo>
                                <a:pt x="1504" y="50"/>
                              </a:lnTo>
                              <a:lnTo>
                                <a:pt x="1508" y="50"/>
                              </a:lnTo>
                              <a:lnTo>
                                <a:pt x="1513" y="50"/>
                              </a:lnTo>
                              <a:lnTo>
                                <a:pt x="1517" y="50"/>
                              </a:lnTo>
                              <a:lnTo>
                                <a:pt x="1520" y="50"/>
                              </a:lnTo>
                              <a:lnTo>
                                <a:pt x="1522" y="50"/>
                              </a:lnTo>
                              <a:lnTo>
                                <a:pt x="1524" y="50"/>
                              </a:lnTo>
                              <a:lnTo>
                                <a:pt x="1525" y="50"/>
                              </a:lnTo>
                              <a:lnTo>
                                <a:pt x="1527" y="50"/>
                              </a:lnTo>
                              <a:lnTo>
                                <a:pt x="1530" y="49"/>
                              </a:lnTo>
                              <a:lnTo>
                                <a:pt x="1533" y="49"/>
                              </a:lnTo>
                              <a:lnTo>
                                <a:pt x="1535" y="49"/>
                              </a:lnTo>
                              <a:lnTo>
                                <a:pt x="1538" y="49"/>
                              </a:lnTo>
                              <a:lnTo>
                                <a:pt x="1541" y="48"/>
                              </a:lnTo>
                              <a:lnTo>
                                <a:pt x="1544" y="48"/>
                              </a:lnTo>
                              <a:lnTo>
                                <a:pt x="1547" y="48"/>
                              </a:lnTo>
                              <a:lnTo>
                                <a:pt x="1549" y="47"/>
                              </a:lnTo>
                              <a:lnTo>
                                <a:pt x="1552" y="47"/>
                              </a:lnTo>
                              <a:lnTo>
                                <a:pt x="1554" y="46"/>
                              </a:lnTo>
                              <a:lnTo>
                                <a:pt x="1556" y="46"/>
                              </a:lnTo>
                              <a:lnTo>
                                <a:pt x="1559" y="45"/>
                              </a:lnTo>
                              <a:lnTo>
                                <a:pt x="1561" y="45"/>
                              </a:lnTo>
                              <a:lnTo>
                                <a:pt x="1563" y="44"/>
                              </a:lnTo>
                              <a:lnTo>
                                <a:pt x="1564" y="44"/>
                              </a:lnTo>
                              <a:lnTo>
                                <a:pt x="1565" y="44"/>
                              </a:lnTo>
                              <a:lnTo>
                                <a:pt x="1566" y="43"/>
                              </a:lnTo>
                              <a:lnTo>
                                <a:pt x="1567" y="43"/>
                              </a:lnTo>
                              <a:lnTo>
                                <a:pt x="1568" y="43"/>
                              </a:lnTo>
                              <a:lnTo>
                                <a:pt x="1568" y="43"/>
                              </a:lnTo>
                              <a:lnTo>
                                <a:pt x="1569" y="42"/>
                              </a:lnTo>
                              <a:lnTo>
                                <a:pt x="1570" y="42"/>
                              </a:lnTo>
                              <a:lnTo>
                                <a:pt x="1571" y="42"/>
                              </a:lnTo>
                              <a:lnTo>
                                <a:pt x="1571" y="42"/>
                              </a:lnTo>
                              <a:lnTo>
                                <a:pt x="1572" y="41"/>
                              </a:lnTo>
                              <a:lnTo>
                                <a:pt x="1574" y="41"/>
                              </a:lnTo>
                              <a:lnTo>
                                <a:pt x="1575" y="40"/>
                              </a:lnTo>
                              <a:lnTo>
                                <a:pt x="1577" y="40"/>
                              </a:lnTo>
                              <a:lnTo>
                                <a:pt x="1579" y="39"/>
                              </a:lnTo>
                              <a:lnTo>
                                <a:pt x="1581" y="38"/>
                              </a:lnTo>
                              <a:lnTo>
                                <a:pt x="1582" y="37"/>
                              </a:lnTo>
                              <a:lnTo>
                                <a:pt x="1584" y="36"/>
                              </a:lnTo>
                              <a:lnTo>
                                <a:pt x="1586" y="35"/>
                              </a:lnTo>
                              <a:lnTo>
                                <a:pt x="1588" y="34"/>
                              </a:lnTo>
                              <a:lnTo>
                                <a:pt x="1590" y="33"/>
                              </a:lnTo>
                              <a:lnTo>
                                <a:pt x="1592" y="32"/>
                              </a:lnTo>
                              <a:lnTo>
                                <a:pt x="1594" y="31"/>
                              </a:lnTo>
                              <a:lnTo>
                                <a:pt x="1596" y="30"/>
                              </a:lnTo>
                              <a:lnTo>
                                <a:pt x="1598" y="29"/>
                              </a:lnTo>
                              <a:lnTo>
                                <a:pt x="1600" y="27"/>
                              </a:lnTo>
                              <a:lnTo>
                                <a:pt x="1602" y="26"/>
                              </a:lnTo>
                              <a:lnTo>
                                <a:pt x="1605" y="24"/>
                              </a:lnTo>
                              <a:lnTo>
                                <a:pt x="1606" y="23"/>
                              </a:lnTo>
                              <a:lnTo>
                                <a:pt x="1607" y="22"/>
                              </a:lnTo>
                              <a:lnTo>
                                <a:pt x="1607" y="22"/>
                              </a:lnTo>
                              <a:lnTo>
                                <a:pt x="1608" y="22"/>
                              </a:lnTo>
                              <a:lnTo>
                                <a:pt x="1608" y="21"/>
                              </a:lnTo>
                              <a:lnTo>
                                <a:pt x="1608" y="21"/>
                              </a:lnTo>
                              <a:lnTo>
                                <a:pt x="1609" y="21"/>
                              </a:lnTo>
                              <a:lnTo>
                                <a:pt x="1609" y="21"/>
                              </a:lnTo>
                              <a:lnTo>
                                <a:pt x="1609" y="21"/>
                              </a:lnTo>
                              <a:lnTo>
                                <a:pt x="1609" y="20"/>
                              </a:lnTo>
                              <a:lnTo>
                                <a:pt x="1611" y="20"/>
                              </a:lnTo>
                              <a:lnTo>
                                <a:pt x="1613" y="18"/>
                              </a:lnTo>
                              <a:lnTo>
                                <a:pt x="1615" y="16"/>
                              </a:lnTo>
                              <a:lnTo>
                                <a:pt x="1617" y="15"/>
                              </a:lnTo>
                              <a:lnTo>
                                <a:pt x="1619" y="14"/>
                              </a:lnTo>
                              <a:lnTo>
                                <a:pt x="1621" y="12"/>
                              </a:lnTo>
                              <a:lnTo>
                                <a:pt x="1624" y="11"/>
                              </a:lnTo>
                              <a:lnTo>
                                <a:pt x="1626" y="9"/>
                              </a:lnTo>
                              <a:lnTo>
                                <a:pt x="1628" y="8"/>
                              </a:lnTo>
                              <a:lnTo>
                                <a:pt x="1631" y="7"/>
                              </a:lnTo>
                              <a:lnTo>
                                <a:pt x="1633" y="6"/>
                              </a:lnTo>
                              <a:lnTo>
                                <a:pt x="1635" y="5"/>
                              </a:lnTo>
                              <a:lnTo>
                                <a:pt x="1637" y="4"/>
                              </a:lnTo>
                              <a:lnTo>
                                <a:pt x="1639" y="3"/>
                              </a:lnTo>
                              <a:lnTo>
                                <a:pt x="1641" y="3"/>
                              </a:lnTo>
                              <a:lnTo>
                                <a:pt x="1643" y="2"/>
                              </a:lnTo>
                              <a:lnTo>
                                <a:pt x="1645" y="2"/>
                              </a:lnTo>
                              <a:lnTo>
                                <a:pt x="1647" y="1"/>
                              </a:lnTo>
                              <a:lnTo>
                                <a:pt x="1649" y="1"/>
                              </a:lnTo>
                              <a:lnTo>
                                <a:pt x="1650" y="1"/>
                              </a:lnTo>
                              <a:lnTo>
                                <a:pt x="1651" y="0"/>
                              </a:lnTo>
                              <a:lnTo>
                                <a:pt x="1652" y="0"/>
                              </a:lnTo>
                              <a:lnTo>
                                <a:pt x="1653" y="0"/>
                              </a:lnTo>
                              <a:lnTo>
                                <a:pt x="1654" y="0"/>
                              </a:lnTo>
                              <a:lnTo>
                                <a:pt x="1656" y="0"/>
                              </a:lnTo>
                              <a:lnTo>
                                <a:pt x="1658" y="1"/>
                              </a:lnTo>
                              <a:lnTo>
                                <a:pt x="1661" y="1"/>
                              </a:lnTo>
                              <a:lnTo>
                                <a:pt x="1662" y="1"/>
                              </a:lnTo>
                              <a:lnTo>
                                <a:pt x="1664" y="1"/>
                              </a:lnTo>
                              <a:lnTo>
                                <a:pt x="1666" y="1"/>
                              </a:lnTo>
                              <a:lnTo>
                                <a:pt x="1667" y="2"/>
                              </a:lnTo>
                              <a:lnTo>
                                <a:pt x="1669" y="3"/>
                              </a:lnTo>
                              <a:lnTo>
                                <a:pt x="1672" y="3"/>
                              </a:lnTo>
                              <a:lnTo>
                                <a:pt x="1674" y="4"/>
                              </a:lnTo>
                              <a:lnTo>
                                <a:pt x="1676" y="5"/>
                              </a:lnTo>
                              <a:lnTo>
                                <a:pt x="1678" y="6"/>
                              </a:lnTo>
                              <a:lnTo>
                                <a:pt x="1681" y="7"/>
                              </a:lnTo>
                              <a:lnTo>
                                <a:pt x="1683" y="9"/>
                              </a:lnTo>
                              <a:lnTo>
                                <a:pt x="1685" y="10"/>
                              </a:lnTo>
                              <a:lnTo>
                                <a:pt x="1688" y="11"/>
                              </a:lnTo>
                              <a:lnTo>
                                <a:pt x="1691" y="13"/>
                              </a:lnTo>
                              <a:lnTo>
                                <a:pt x="1693" y="15"/>
                              </a:lnTo>
                              <a:lnTo>
                                <a:pt x="1694" y="16"/>
                              </a:lnTo>
                              <a:lnTo>
                                <a:pt x="1695" y="16"/>
                              </a:lnTo>
                              <a:lnTo>
                                <a:pt x="1696" y="16"/>
                              </a:lnTo>
                              <a:lnTo>
                                <a:pt x="1696" y="17"/>
                              </a:lnTo>
                              <a:lnTo>
                                <a:pt x="1697" y="17"/>
                              </a:lnTo>
                              <a:lnTo>
                                <a:pt x="1697" y="17"/>
                              </a:lnTo>
                              <a:lnTo>
                                <a:pt x="1698" y="18"/>
                              </a:lnTo>
                              <a:lnTo>
                                <a:pt x="1698" y="18"/>
                              </a:lnTo>
                              <a:lnTo>
                                <a:pt x="1698" y="18"/>
                              </a:lnTo>
                              <a:lnTo>
                                <a:pt x="1699" y="18"/>
                              </a:lnTo>
                              <a:lnTo>
                                <a:pt x="1700" y="19"/>
                              </a:lnTo>
                              <a:lnTo>
                                <a:pt x="1701" y="20"/>
                              </a:lnTo>
                              <a:lnTo>
                                <a:pt x="1704" y="22"/>
                              </a:lnTo>
                              <a:lnTo>
                                <a:pt x="1708" y="25"/>
                              </a:lnTo>
                              <a:lnTo>
                                <a:pt x="1715" y="30"/>
                              </a:lnTo>
                              <a:lnTo>
                                <a:pt x="1721" y="34"/>
                              </a:lnTo>
                              <a:lnTo>
                                <a:pt x="1725" y="37"/>
                              </a:lnTo>
                              <a:lnTo>
                                <a:pt x="1728" y="40"/>
                              </a:lnTo>
                              <a:lnTo>
                                <a:pt x="1732" y="42"/>
                              </a:lnTo>
                              <a:lnTo>
                                <a:pt x="1735" y="44"/>
                              </a:lnTo>
                              <a:lnTo>
                                <a:pt x="1737" y="46"/>
                              </a:lnTo>
                              <a:lnTo>
                                <a:pt x="1738" y="47"/>
                              </a:lnTo>
                              <a:lnTo>
                                <a:pt x="1739" y="47"/>
                              </a:lnTo>
                              <a:lnTo>
                                <a:pt x="1740" y="48"/>
                              </a:lnTo>
                              <a:lnTo>
                                <a:pt x="1741" y="48"/>
                              </a:lnTo>
                              <a:lnTo>
                                <a:pt x="1742" y="49"/>
                              </a:lnTo>
                              <a:lnTo>
                                <a:pt x="1742" y="49"/>
                              </a:lnTo>
                              <a:lnTo>
                                <a:pt x="1743" y="50"/>
                              </a:lnTo>
                              <a:lnTo>
                                <a:pt x="1743" y="50"/>
                              </a:lnTo>
                              <a:lnTo>
                                <a:pt x="1744" y="50"/>
                              </a:lnTo>
                              <a:lnTo>
                                <a:pt x="1745" y="51"/>
                              </a:lnTo>
                              <a:lnTo>
                                <a:pt x="1747" y="52"/>
                              </a:lnTo>
                              <a:lnTo>
                                <a:pt x="1750" y="54"/>
                              </a:lnTo>
                              <a:lnTo>
                                <a:pt x="1751" y="55"/>
                              </a:lnTo>
                              <a:lnTo>
                                <a:pt x="1753" y="56"/>
                              </a:lnTo>
                              <a:lnTo>
                                <a:pt x="1755" y="57"/>
                              </a:lnTo>
                              <a:lnTo>
                                <a:pt x="1757" y="58"/>
                              </a:lnTo>
                              <a:lnTo>
                                <a:pt x="1759" y="59"/>
                              </a:lnTo>
                              <a:lnTo>
                                <a:pt x="1761" y="60"/>
                              </a:lnTo>
                              <a:lnTo>
                                <a:pt x="1763" y="61"/>
                              </a:lnTo>
                              <a:lnTo>
                                <a:pt x="1764" y="62"/>
                              </a:lnTo>
                              <a:lnTo>
                                <a:pt x="1766" y="62"/>
                              </a:lnTo>
                              <a:lnTo>
                                <a:pt x="1768" y="63"/>
                              </a:lnTo>
                              <a:lnTo>
                                <a:pt x="1770" y="64"/>
                              </a:lnTo>
                              <a:lnTo>
                                <a:pt x="1772" y="65"/>
                              </a:lnTo>
                              <a:lnTo>
                                <a:pt x="1773" y="66"/>
                              </a:lnTo>
                              <a:lnTo>
                                <a:pt x="1775" y="67"/>
                              </a:lnTo>
                              <a:lnTo>
                                <a:pt x="1777" y="67"/>
                              </a:lnTo>
                              <a:lnTo>
                                <a:pt x="1779" y="68"/>
                              </a:lnTo>
                              <a:lnTo>
                                <a:pt x="1780" y="69"/>
                              </a:lnTo>
                              <a:lnTo>
                                <a:pt x="1782" y="69"/>
                              </a:lnTo>
                              <a:lnTo>
                                <a:pt x="1783" y="70"/>
                              </a:lnTo>
                              <a:lnTo>
                                <a:pt x="1784" y="70"/>
                              </a:lnTo>
                              <a:lnTo>
                                <a:pt x="1785" y="71"/>
                              </a:lnTo>
                              <a:lnTo>
                                <a:pt x="1786" y="71"/>
                              </a:lnTo>
                              <a:lnTo>
                                <a:pt x="1786" y="71"/>
                              </a:lnTo>
                              <a:lnTo>
                                <a:pt x="1787" y="71"/>
                              </a:lnTo>
                              <a:lnTo>
                                <a:pt x="1787" y="71"/>
                              </a:lnTo>
                              <a:lnTo>
                                <a:pt x="1787" y="71"/>
                              </a:lnTo>
                              <a:lnTo>
                                <a:pt x="1788" y="72"/>
                              </a:lnTo>
                              <a:lnTo>
                                <a:pt x="1790" y="72"/>
                              </a:lnTo>
                              <a:lnTo>
                                <a:pt x="1791" y="73"/>
                              </a:lnTo>
                              <a:lnTo>
                                <a:pt x="1793" y="73"/>
                              </a:lnTo>
                              <a:lnTo>
                                <a:pt x="1795" y="74"/>
                              </a:lnTo>
                              <a:lnTo>
                                <a:pt x="1797" y="74"/>
                              </a:lnTo>
                              <a:lnTo>
                                <a:pt x="1798" y="75"/>
                              </a:lnTo>
                              <a:lnTo>
                                <a:pt x="1800" y="75"/>
                              </a:lnTo>
                              <a:lnTo>
                                <a:pt x="1802" y="76"/>
                              </a:lnTo>
                              <a:lnTo>
                                <a:pt x="1804" y="76"/>
                              </a:lnTo>
                              <a:lnTo>
                                <a:pt x="1806" y="77"/>
                              </a:lnTo>
                              <a:lnTo>
                                <a:pt x="1808" y="77"/>
                              </a:lnTo>
                              <a:lnTo>
                                <a:pt x="1810" y="78"/>
                              </a:lnTo>
                              <a:lnTo>
                                <a:pt x="1811" y="78"/>
                              </a:lnTo>
                              <a:lnTo>
                                <a:pt x="1814" y="79"/>
                              </a:lnTo>
                              <a:lnTo>
                                <a:pt x="1816" y="79"/>
                              </a:lnTo>
                              <a:lnTo>
                                <a:pt x="1818" y="80"/>
                              </a:lnTo>
                              <a:lnTo>
                                <a:pt x="1820" y="80"/>
                              </a:lnTo>
                              <a:lnTo>
                                <a:pt x="1822" y="80"/>
                              </a:lnTo>
                              <a:lnTo>
                                <a:pt x="1824" y="81"/>
                              </a:lnTo>
                              <a:lnTo>
                                <a:pt x="1826" y="81"/>
                              </a:lnTo>
                              <a:lnTo>
                                <a:pt x="1827" y="81"/>
                              </a:lnTo>
                              <a:lnTo>
                                <a:pt x="1828" y="81"/>
                              </a:lnTo>
                              <a:lnTo>
                                <a:pt x="1829" y="82"/>
                              </a:lnTo>
                              <a:lnTo>
                                <a:pt x="1830" y="82"/>
                              </a:lnTo>
                              <a:lnTo>
                                <a:pt x="1830" y="82"/>
                              </a:lnTo>
                              <a:lnTo>
                                <a:pt x="1831" y="82"/>
                              </a:lnTo>
                              <a:lnTo>
                                <a:pt x="1832" y="82"/>
                              </a:lnTo>
                              <a:lnTo>
                                <a:pt x="1835" y="83"/>
                              </a:lnTo>
                              <a:lnTo>
                                <a:pt x="1838" y="83"/>
                              </a:lnTo>
                              <a:lnTo>
                                <a:pt x="1841" y="83"/>
                              </a:lnTo>
                              <a:lnTo>
                                <a:pt x="1843" y="84"/>
                              </a:lnTo>
                              <a:lnTo>
                                <a:pt x="1845" y="84"/>
                              </a:lnTo>
                              <a:lnTo>
                                <a:pt x="1847" y="84"/>
                              </a:lnTo>
                              <a:lnTo>
                                <a:pt x="1849" y="84"/>
                              </a:lnTo>
                              <a:lnTo>
                                <a:pt x="1852" y="85"/>
                              </a:lnTo>
                              <a:lnTo>
                                <a:pt x="1854" y="85"/>
                              </a:lnTo>
                              <a:lnTo>
                                <a:pt x="1857" y="85"/>
                              </a:lnTo>
                              <a:lnTo>
                                <a:pt x="1859" y="85"/>
                              </a:lnTo>
                              <a:lnTo>
                                <a:pt x="1862" y="86"/>
                              </a:lnTo>
                              <a:lnTo>
                                <a:pt x="1865" y="86"/>
                              </a:lnTo>
                              <a:lnTo>
                                <a:pt x="1868" y="86"/>
                              </a:lnTo>
                              <a:lnTo>
                                <a:pt x="1870" y="86"/>
                              </a:lnTo>
                              <a:lnTo>
                                <a:pt x="1872" y="86"/>
                              </a:lnTo>
                              <a:lnTo>
                                <a:pt x="1873" y="86"/>
                              </a:lnTo>
                              <a:lnTo>
                                <a:pt x="1874" y="86"/>
                              </a:lnTo>
                              <a:lnTo>
                                <a:pt x="1875" y="86"/>
                              </a:lnTo>
                              <a:lnTo>
                                <a:pt x="1878" y="87"/>
                              </a:lnTo>
                              <a:lnTo>
                                <a:pt x="1884" y="87"/>
                              </a:lnTo>
                              <a:lnTo>
                                <a:pt x="1887" y="87"/>
                              </a:lnTo>
                              <a:lnTo>
                                <a:pt x="1890" y="87"/>
                              </a:lnTo>
                              <a:lnTo>
                                <a:pt x="1893" y="88"/>
                              </a:lnTo>
                              <a:lnTo>
                                <a:pt x="1897" y="88"/>
                              </a:lnTo>
                              <a:lnTo>
                                <a:pt x="1901" y="88"/>
                              </a:lnTo>
                              <a:lnTo>
                                <a:pt x="1906" y="88"/>
                              </a:lnTo>
                              <a:lnTo>
                                <a:pt x="1910" y="88"/>
                              </a:lnTo>
                              <a:lnTo>
                                <a:pt x="1913" y="89"/>
                              </a:lnTo>
                              <a:lnTo>
                                <a:pt x="1916" y="89"/>
                              </a:lnTo>
                              <a:lnTo>
                                <a:pt x="1918" y="89"/>
                              </a:lnTo>
                              <a:lnTo>
                                <a:pt x="1919" y="89"/>
                              </a:lnTo>
                              <a:lnTo>
                                <a:pt x="1921" y="89"/>
                              </a:lnTo>
                              <a:lnTo>
                                <a:pt x="1924" y="89"/>
                              </a:lnTo>
                              <a:lnTo>
                                <a:pt x="1927" y="89"/>
                              </a:lnTo>
                            </a:path>
                          </a:pathLst>
                        </a:custGeom>
                        <a:noFill/>
                        <a:ln w="4763">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4" name="Freeform 152"/>
                        <a:cNvSpPr>
                          <a:spLocks/>
                        </a:cNvSpPr>
                      </a:nvSpPr>
                      <a:spPr bwMode="auto">
                        <a:xfrm>
                          <a:off x="8281421" y="11104786"/>
                          <a:ext cx="282955" cy="2837"/>
                        </a:xfrm>
                        <a:custGeom>
                          <a:avLst/>
                          <a:gdLst/>
                          <a:ahLst/>
                          <a:cxnLst>
                            <a:cxn ang="0">
                              <a:pos x="0" y="0"/>
                            </a:cxn>
                            <a:cxn ang="0">
                              <a:pos x="3" y="0"/>
                            </a:cxn>
                            <a:cxn ang="0">
                              <a:pos x="6" y="0"/>
                            </a:cxn>
                            <a:cxn ang="0">
                              <a:pos x="9" y="0"/>
                            </a:cxn>
                            <a:cxn ang="0">
                              <a:pos x="12" y="0"/>
                            </a:cxn>
                            <a:cxn ang="0">
                              <a:pos x="16" y="0"/>
                            </a:cxn>
                            <a:cxn ang="0">
                              <a:pos x="22" y="0"/>
                            </a:cxn>
                            <a:cxn ang="0">
                              <a:pos x="28" y="1"/>
                            </a:cxn>
                            <a:cxn ang="0">
                              <a:pos x="33" y="1"/>
                            </a:cxn>
                            <a:cxn ang="0">
                              <a:pos x="35" y="1"/>
                            </a:cxn>
                            <a:cxn ang="0">
                              <a:pos x="37" y="1"/>
                            </a:cxn>
                            <a:cxn ang="0">
                              <a:pos x="39" y="1"/>
                            </a:cxn>
                            <a:cxn ang="0">
                              <a:pos x="42" y="1"/>
                            </a:cxn>
                            <a:cxn ang="0">
                              <a:pos x="46" y="1"/>
                            </a:cxn>
                            <a:cxn ang="0">
                              <a:pos x="49" y="1"/>
                            </a:cxn>
                            <a:cxn ang="0">
                              <a:pos x="53" y="1"/>
                            </a:cxn>
                            <a:cxn ang="0">
                              <a:pos x="58" y="1"/>
                            </a:cxn>
                            <a:cxn ang="0">
                              <a:pos x="64" y="1"/>
                            </a:cxn>
                            <a:cxn ang="0">
                              <a:pos x="72" y="1"/>
                            </a:cxn>
                            <a:cxn ang="0">
                              <a:pos x="76" y="1"/>
                            </a:cxn>
                            <a:cxn ang="0">
                              <a:pos x="79" y="1"/>
                            </a:cxn>
                            <a:cxn ang="0">
                              <a:pos x="82" y="1"/>
                            </a:cxn>
                            <a:cxn ang="0">
                              <a:pos x="86" y="1"/>
                            </a:cxn>
                            <a:cxn ang="0">
                              <a:pos x="90" y="1"/>
                            </a:cxn>
                            <a:cxn ang="0">
                              <a:pos x="94" y="1"/>
                            </a:cxn>
                            <a:cxn ang="0">
                              <a:pos x="100" y="1"/>
                            </a:cxn>
                            <a:cxn ang="0">
                              <a:pos x="105" y="1"/>
                            </a:cxn>
                            <a:cxn ang="0">
                              <a:pos x="110" y="1"/>
                            </a:cxn>
                            <a:cxn ang="0">
                              <a:pos x="114" y="1"/>
                            </a:cxn>
                            <a:cxn ang="0">
                              <a:pos x="118" y="1"/>
                            </a:cxn>
                            <a:cxn ang="0">
                              <a:pos x="122" y="1"/>
                            </a:cxn>
                            <a:cxn ang="0">
                              <a:pos x="125" y="1"/>
                            </a:cxn>
                            <a:cxn ang="0">
                              <a:pos x="127" y="1"/>
                            </a:cxn>
                            <a:cxn ang="0">
                              <a:pos x="129" y="1"/>
                            </a:cxn>
                            <a:cxn ang="0">
                              <a:pos x="131" y="1"/>
                            </a:cxn>
                            <a:cxn ang="0">
                              <a:pos x="133" y="1"/>
                            </a:cxn>
                            <a:cxn ang="0">
                              <a:pos x="135" y="1"/>
                            </a:cxn>
                            <a:cxn ang="0">
                              <a:pos x="141" y="1"/>
                            </a:cxn>
                            <a:cxn ang="0">
                              <a:pos x="147" y="1"/>
                            </a:cxn>
                            <a:cxn ang="0">
                              <a:pos x="152" y="2"/>
                            </a:cxn>
                            <a:cxn ang="0">
                              <a:pos x="157" y="2"/>
                            </a:cxn>
                            <a:cxn ang="0">
                              <a:pos x="163" y="2"/>
                            </a:cxn>
                            <a:cxn ang="0">
                              <a:pos x="167" y="2"/>
                            </a:cxn>
                            <a:cxn ang="0">
                              <a:pos x="170" y="2"/>
                            </a:cxn>
                            <a:cxn ang="0">
                              <a:pos x="174" y="1"/>
                            </a:cxn>
                            <a:cxn ang="0">
                              <a:pos x="178" y="2"/>
                            </a:cxn>
                            <a:cxn ang="0">
                              <a:pos x="180" y="2"/>
                            </a:cxn>
                            <a:cxn ang="0">
                              <a:pos x="182" y="2"/>
                            </a:cxn>
                            <a:cxn ang="0">
                              <a:pos x="184" y="2"/>
                            </a:cxn>
                            <a:cxn ang="0">
                              <a:pos x="186" y="2"/>
                            </a:cxn>
                            <a:cxn ang="0">
                              <a:pos x="189" y="2"/>
                            </a:cxn>
                            <a:cxn ang="0">
                              <a:pos x="191" y="2"/>
                            </a:cxn>
                            <a:cxn ang="0">
                              <a:pos x="193" y="2"/>
                            </a:cxn>
                            <a:cxn ang="0">
                              <a:pos x="195" y="2"/>
                            </a:cxn>
                            <a:cxn ang="0">
                              <a:pos x="198" y="2"/>
                            </a:cxn>
                            <a:cxn ang="0">
                              <a:pos x="200" y="2"/>
                            </a:cxn>
                            <a:cxn ang="0">
                              <a:pos x="202" y="2"/>
                            </a:cxn>
                            <a:cxn ang="0">
                              <a:pos x="204" y="2"/>
                            </a:cxn>
                            <a:cxn ang="0">
                              <a:pos x="206" y="1"/>
                            </a:cxn>
                            <a:cxn ang="0">
                              <a:pos x="209" y="1"/>
                            </a:cxn>
                            <a:cxn ang="0">
                              <a:pos x="211" y="1"/>
                            </a:cxn>
                            <a:cxn ang="0">
                              <a:pos x="212" y="1"/>
                            </a:cxn>
                          </a:cxnLst>
                          <a:rect l="0" t="0" r="r" b="b"/>
                          <a:pathLst>
                            <a:path w="212" h="2">
                              <a:moveTo>
                                <a:pt x="0" y="0"/>
                              </a:moveTo>
                              <a:lnTo>
                                <a:pt x="3" y="0"/>
                              </a:lnTo>
                              <a:lnTo>
                                <a:pt x="6" y="0"/>
                              </a:lnTo>
                              <a:lnTo>
                                <a:pt x="9" y="0"/>
                              </a:lnTo>
                              <a:lnTo>
                                <a:pt x="12" y="0"/>
                              </a:lnTo>
                              <a:lnTo>
                                <a:pt x="16" y="0"/>
                              </a:lnTo>
                              <a:lnTo>
                                <a:pt x="22" y="0"/>
                              </a:lnTo>
                              <a:lnTo>
                                <a:pt x="28" y="1"/>
                              </a:lnTo>
                              <a:lnTo>
                                <a:pt x="33" y="1"/>
                              </a:lnTo>
                              <a:lnTo>
                                <a:pt x="35" y="1"/>
                              </a:lnTo>
                              <a:lnTo>
                                <a:pt x="37" y="1"/>
                              </a:lnTo>
                              <a:lnTo>
                                <a:pt x="39" y="1"/>
                              </a:lnTo>
                              <a:lnTo>
                                <a:pt x="42" y="1"/>
                              </a:lnTo>
                              <a:lnTo>
                                <a:pt x="46" y="1"/>
                              </a:lnTo>
                              <a:lnTo>
                                <a:pt x="49" y="1"/>
                              </a:lnTo>
                              <a:lnTo>
                                <a:pt x="53" y="1"/>
                              </a:lnTo>
                              <a:lnTo>
                                <a:pt x="58" y="1"/>
                              </a:lnTo>
                              <a:lnTo>
                                <a:pt x="64" y="1"/>
                              </a:lnTo>
                              <a:lnTo>
                                <a:pt x="72" y="1"/>
                              </a:lnTo>
                              <a:lnTo>
                                <a:pt x="76" y="1"/>
                              </a:lnTo>
                              <a:lnTo>
                                <a:pt x="79" y="1"/>
                              </a:lnTo>
                              <a:lnTo>
                                <a:pt x="82" y="1"/>
                              </a:lnTo>
                              <a:lnTo>
                                <a:pt x="86" y="1"/>
                              </a:lnTo>
                              <a:lnTo>
                                <a:pt x="90" y="1"/>
                              </a:lnTo>
                              <a:lnTo>
                                <a:pt x="94" y="1"/>
                              </a:lnTo>
                              <a:lnTo>
                                <a:pt x="100" y="1"/>
                              </a:lnTo>
                              <a:lnTo>
                                <a:pt x="105" y="1"/>
                              </a:lnTo>
                              <a:lnTo>
                                <a:pt x="110" y="1"/>
                              </a:lnTo>
                              <a:lnTo>
                                <a:pt x="114" y="1"/>
                              </a:lnTo>
                              <a:lnTo>
                                <a:pt x="118" y="1"/>
                              </a:lnTo>
                              <a:lnTo>
                                <a:pt x="122" y="1"/>
                              </a:lnTo>
                              <a:lnTo>
                                <a:pt x="125" y="1"/>
                              </a:lnTo>
                              <a:lnTo>
                                <a:pt x="127" y="1"/>
                              </a:lnTo>
                              <a:lnTo>
                                <a:pt x="129" y="1"/>
                              </a:lnTo>
                              <a:lnTo>
                                <a:pt x="131" y="1"/>
                              </a:lnTo>
                              <a:lnTo>
                                <a:pt x="133" y="1"/>
                              </a:lnTo>
                              <a:lnTo>
                                <a:pt x="135" y="1"/>
                              </a:lnTo>
                              <a:lnTo>
                                <a:pt x="141" y="1"/>
                              </a:lnTo>
                              <a:lnTo>
                                <a:pt x="147" y="1"/>
                              </a:lnTo>
                              <a:lnTo>
                                <a:pt x="152" y="2"/>
                              </a:lnTo>
                              <a:lnTo>
                                <a:pt x="157" y="2"/>
                              </a:lnTo>
                              <a:lnTo>
                                <a:pt x="163" y="2"/>
                              </a:lnTo>
                              <a:lnTo>
                                <a:pt x="167" y="2"/>
                              </a:lnTo>
                              <a:lnTo>
                                <a:pt x="170" y="2"/>
                              </a:lnTo>
                              <a:lnTo>
                                <a:pt x="174" y="1"/>
                              </a:lnTo>
                              <a:lnTo>
                                <a:pt x="178" y="2"/>
                              </a:lnTo>
                              <a:lnTo>
                                <a:pt x="180" y="2"/>
                              </a:lnTo>
                              <a:lnTo>
                                <a:pt x="182" y="2"/>
                              </a:lnTo>
                              <a:lnTo>
                                <a:pt x="184" y="2"/>
                              </a:lnTo>
                              <a:lnTo>
                                <a:pt x="186" y="2"/>
                              </a:lnTo>
                              <a:lnTo>
                                <a:pt x="189" y="2"/>
                              </a:lnTo>
                              <a:lnTo>
                                <a:pt x="191" y="2"/>
                              </a:lnTo>
                              <a:lnTo>
                                <a:pt x="193" y="2"/>
                              </a:lnTo>
                              <a:lnTo>
                                <a:pt x="195" y="2"/>
                              </a:lnTo>
                              <a:lnTo>
                                <a:pt x="198" y="2"/>
                              </a:lnTo>
                              <a:lnTo>
                                <a:pt x="200" y="2"/>
                              </a:lnTo>
                              <a:lnTo>
                                <a:pt x="202" y="2"/>
                              </a:lnTo>
                              <a:lnTo>
                                <a:pt x="204" y="2"/>
                              </a:lnTo>
                              <a:lnTo>
                                <a:pt x="206" y="1"/>
                              </a:lnTo>
                              <a:lnTo>
                                <a:pt x="209" y="1"/>
                              </a:lnTo>
                              <a:lnTo>
                                <a:pt x="211" y="1"/>
                              </a:lnTo>
                              <a:lnTo>
                                <a:pt x="212" y="1"/>
                              </a:lnTo>
                            </a:path>
                          </a:pathLst>
                        </a:custGeom>
                        <a:noFill/>
                        <a:ln w="4763">
                          <a:solidFill>
                            <a:srgbClr val="FF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6" name="Freeform 154"/>
                        <a:cNvSpPr>
                          <a:spLocks/>
                        </a:cNvSpPr>
                      </a:nvSpPr>
                      <a:spPr bwMode="auto">
                        <a:xfrm>
                          <a:off x="1725416" y="11109041"/>
                          <a:ext cx="432440" cy="151769"/>
                        </a:xfrm>
                        <a:custGeom>
                          <a:avLst/>
                          <a:gdLst/>
                          <a:ahLst/>
                          <a:cxnLst>
                            <a:cxn ang="0">
                              <a:pos x="14" y="106"/>
                            </a:cxn>
                            <a:cxn ang="0">
                              <a:pos x="45" y="106"/>
                            </a:cxn>
                            <a:cxn ang="0">
                              <a:pos x="74" y="106"/>
                            </a:cxn>
                            <a:cxn ang="0">
                              <a:pos x="119" y="106"/>
                            </a:cxn>
                            <a:cxn ang="0">
                              <a:pos x="141" y="106"/>
                            </a:cxn>
                            <a:cxn ang="0">
                              <a:pos x="153" y="107"/>
                            </a:cxn>
                            <a:cxn ang="0">
                              <a:pos x="170" y="106"/>
                            </a:cxn>
                            <a:cxn ang="0">
                              <a:pos x="187" y="106"/>
                            </a:cxn>
                            <a:cxn ang="0">
                              <a:pos x="208" y="106"/>
                            </a:cxn>
                            <a:cxn ang="0">
                              <a:pos x="215" y="106"/>
                            </a:cxn>
                            <a:cxn ang="0">
                              <a:pos x="218" y="106"/>
                            </a:cxn>
                            <a:cxn ang="0">
                              <a:pos x="220" y="105"/>
                            </a:cxn>
                            <a:cxn ang="0">
                              <a:pos x="221" y="105"/>
                            </a:cxn>
                            <a:cxn ang="0">
                              <a:pos x="222" y="104"/>
                            </a:cxn>
                            <a:cxn ang="0">
                              <a:pos x="224" y="102"/>
                            </a:cxn>
                            <a:cxn ang="0">
                              <a:pos x="225" y="100"/>
                            </a:cxn>
                            <a:cxn ang="0">
                              <a:pos x="226" y="98"/>
                            </a:cxn>
                            <a:cxn ang="0">
                              <a:pos x="227" y="95"/>
                            </a:cxn>
                            <a:cxn ang="0">
                              <a:pos x="228" y="91"/>
                            </a:cxn>
                            <a:cxn ang="0">
                              <a:pos x="229" y="87"/>
                            </a:cxn>
                            <a:cxn ang="0">
                              <a:pos x="230" y="80"/>
                            </a:cxn>
                            <a:cxn ang="0">
                              <a:pos x="232" y="72"/>
                            </a:cxn>
                            <a:cxn ang="0">
                              <a:pos x="234" y="53"/>
                            </a:cxn>
                            <a:cxn ang="0">
                              <a:pos x="238" y="27"/>
                            </a:cxn>
                            <a:cxn ang="0">
                              <a:pos x="241" y="11"/>
                            </a:cxn>
                            <a:cxn ang="0">
                              <a:pos x="243" y="3"/>
                            </a:cxn>
                            <a:cxn ang="0">
                              <a:pos x="245" y="0"/>
                            </a:cxn>
                            <a:cxn ang="0">
                              <a:pos x="248" y="2"/>
                            </a:cxn>
                            <a:cxn ang="0">
                              <a:pos x="250" y="10"/>
                            </a:cxn>
                            <a:cxn ang="0">
                              <a:pos x="253" y="25"/>
                            </a:cxn>
                            <a:cxn ang="0">
                              <a:pos x="257" y="51"/>
                            </a:cxn>
                            <a:cxn ang="0">
                              <a:pos x="259" y="64"/>
                            </a:cxn>
                            <a:cxn ang="0">
                              <a:pos x="261" y="73"/>
                            </a:cxn>
                            <a:cxn ang="0">
                              <a:pos x="263" y="78"/>
                            </a:cxn>
                            <a:cxn ang="0">
                              <a:pos x="264" y="81"/>
                            </a:cxn>
                            <a:cxn ang="0">
                              <a:pos x="264" y="83"/>
                            </a:cxn>
                            <a:cxn ang="0">
                              <a:pos x="265" y="85"/>
                            </a:cxn>
                            <a:cxn ang="0">
                              <a:pos x="267" y="89"/>
                            </a:cxn>
                            <a:cxn ang="0">
                              <a:pos x="269" y="91"/>
                            </a:cxn>
                            <a:cxn ang="0">
                              <a:pos x="271" y="94"/>
                            </a:cxn>
                            <a:cxn ang="0">
                              <a:pos x="274" y="96"/>
                            </a:cxn>
                            <a:cxn ang="0">
                              <a:pos x="277" y="97"/>
                            </a:cxn>
                            <a:cxn ang="0">
                              <a:pos x="280" y="98"/>
                            </a:cxn>
                            <a:cxn ang="0">
                              <a:pos x="282" y="98"/>
                            </a:cxn>
                            <a:cxn ang="0">
                              <a:pos x="284" y="97"/>
                            </a:cxn>
                            <a:cxn ang="0">
                              <a:pos x="287" y="95"/>
                            </a:cxn>
                            <a:cxn ang="0">
                              <a:pos x="289" y="92"/>
                            </a:cxn>
                            <a:cxn ang="0">
                              <a:pos x="291" y="88"/>
                            </a:cxn>
                            <a:cxn ang="0">
                              <a:pos x="295" y="81"/>
                            </a:cxn>
                            <a:cxn ang="0">
                              <a:pos x="298" y="71"/>
                            </a:cxn>
                            <a:cxn ang="0">
                              <a:pos x="300" y="66"/>
                            </a:cxn>
                            <a:cxn ang="0">
                              <a:pos x="303" y="64"/>
                            </a:cxn>
                            <a:cxn ang="0">
                              <a:pos x="305" y="64"/>
                            </a:cxn>
                            <a:cxn ang="0">
                              <a:pos x="307" y="67"/>
                            </a:cxn>
                            <a:cxn ang="0">
                              <a:pos x="308" y="70"/>
                            </a:cxn>
                            <a:cxn ang="0">
                              <a:pos x="309" y="76"/>
                            </a:cxn>
                            <a:cxn ang="0">
                              <a:pos x="313" y="87"/>
                            </a:cxn>
                            <a:cxn ang="0">
                              <a:pos x="314" y="93"/>
                            </a:cxn>
                            <a:cxn ang="0">
                              <a:pos x="316" y="98"/>
                            </a:cxn>
                            <a:cxn ang="0">
                              <a:pos x="317" y="101"/>
                            </a:cxn>
                            <a:cxn ang="0">
                              <a:pos x="319" y="103"/>
                            </a:cxn>
                            <a:cxn ang="0">
                              <a:pos x="321" y="105"/>
                            </a:cxn>
                            <a:cxn ang="0">
                              <a:pos x="322" y="106"/>
                            </a:cxn>
                          </a:cxnLst>
                          <a:rect l="0" t="0" r="r" b="b"/>
                          <a:pathLst>
                            <a:path w="324" h="107">
                              <a:moveTo>
                                <a:pt x="0" y="106"/>
                              </a:moveTo>
                              <a:lnTo>
                                <a:pt x="1" y="106"/>
                              </a:lnTo>
                              <a:lnTo>
                                <a:pt x="3" y="106"/>
                              </a:lnTo>
                              <a:lnTo>
                                <a:pt x="5" y="106"/>
                              </a:lnTo>
                              <a:lnTo>
                                <a:pt x="7" y="106"/>
                              </a:lnTo>
                              <a:lnTo>
                                <a:pt x="10" y="106"/>
                              </a:lnTo>
                              <a:lnTo>
                                <a:pt x="12" y="106"/>
                              </a:lnTo>
                              <a:lnTo>
                                <a:pt x="14" y="106"/>
                              </a:lnTo>
                              <a:lnTo>
                                <a:pt x="16" y="106"/>
                              </a:lnTo>
                              <a:lnTo>
                                <a:pt x="18" y="106"/>
                              </a:lnTo>
                              <a:lnTo>
                                <a:pt x="20" y="106"/>
                              </a:lnTo>
                              <a:lnTo>
                                <a:pt x="24" y="106"/>
                              </a:lnTo>
                              <a:lnTo>
                                <a:pt x="29" y="106"/>
                              </a:lnTo>
                              <a:lnTo>
                                <a:pt x="35" y="106"/>
                              </a:lnTo>
                              <a:lnTo>
                                <a:pt x="40" y="106"/>
                              </a:lnTo>
                              <a:lnTo>
                                <a:pt x="45" y="106"/>
                              </a:lnTo>
                              <a:lnTo>
                                <a:pt x="49" y="106"/>
                              </a:lnTo>
                              <a:lnTo>
                                <a:pt x="52" y="106"/>
                              </a:lnTo>
                              <a:lnTo>
                                <a:pt x="55" y="106"/>
                              </a:lnTo>
                              <a:lnTo>
                                <a:pt x="59" y="106"/>
                              </a:lnTo>
                              <a:lnTo>
                                <a:pt x="63" y="106"/>
                              </a:lnTo>
                              <a:lnTo>
                                <a:pt x="67" y="106"/>
                              </a:lnTo>
                              <a:lnTo>
                                <a:pt x="70" y="106"/>
                              </a:lnTo>
                              <a:lnTo>
                                <a:pt x="74" y="106"/>
                              </a:lnTo>
                              <a:lnTo>
                                <a:pt x="78" y="106"/>
                              </a:lnTo>
                              <a:lnTo>
                                <a:pt x="84" y="106"/>
                              </a:lnTo>
                              <a:lnTo>
                                <a:pt x="90" y="106"/>
                              </a:lnTo>
                              <a:lnTo>
                                <a:pt x="99" y="106"/>
                              </a:lnTo>
                              <a:lnTo>
                                <a:pt x="106" y="106"/>
                              </a:lnTo>
                              <a:lnTo>
                                <a:pt x="111" y="106"/>
                              </a:lnTo>
                              <a:lnTo>
                                <a:pt x="115" y="106"/>
                              </a:lnTo>
                              <a:lnTo>
                                <a:pt x="119" y="106"/>
                              </a:lnTo>
                              <a:lnTo>
                                <a:pt x="123" y="106"/>
                              </a:lnTo>
                              <a:lnTo>
                                <a:pt x="126" y="106"/>
                              </a:lnTo>
                              <a:lnTo>
                                <a:pt x="129" y="106"/>
                              </a:lnTo>
                              <a:lnTo>
                                <a:pt x="132" y="106"/>
                              </a:lnTo>
                              <a:lnTo>
                                <a:pt x="135" y="106"/>
                              </a:lnTo>
                              <a:lnTo>
                                <a:pt x="137" y="106"/>
                              </a:lnTo>
                              <a:lnTo>
                                <a:pt x="139" y="106"/>
                              </a:lnTo>
                              <a:lnTo>
                                <a:pt x="141" y="106"/>
                              </a:lnTo>
                              <a:lnTo>
                                <a:pt x="143" y="106"/>
                              </a:lnTo>
                              <a:lnTo>
                                <a:pt x="145" y="106"/>
                              </a:lnTo>
                              <a:lnTo>
                                <a:pt x="146" y="106"/>
                              </a:lnTo>
                              <a:lnTo>
                                <a:pt x="148" y="107"/>
                              </a:lnTo>
                              <a:lnTo>
                                <a:pt x="149" y="107"/>
                              </a:lnTo>
                              <a:lnTo>
                                <a:pt x="151" y="107"/>
                              </a:lnTo>
                              <a:lnTo>
                                <a:pt x="152" y="107"/>
                              </a:lnTo>
                              <a:lnTo>
                                <a:pt x="153" y="107"/>
                              </a:lnTo>
                              <a:lnTo>
                                <a:pt x="155" y="107"/>
                              </a:lnTo>
                              <a:lnTo>
                                <a:pt x="156" y="106"/>
                              </a:lnTo>
                              <a:lnTo>
                                <a:pt x="158" y="106"/>
                              </a:lnTo>
                              <a:lnTo>
                                <a:pt x="160" y="106"/>
                              </a:lnTo>
                              <a:lnTo>
                                <a:pt x="163" y="106"/>
                              </a:lnTo>
                              <a:lnTo>
                                <a:pt x="166" y="106"/>
                              </a:lnTo>
                              <a:lnTo>
                                <a:pt x="168" y="106"/>
                              </a:lnTo>
                              <a:lnTo>
                                <a:pt x="170" y="106"/>
                              </a:lnTo>
                              <a:lnTo>
                                <a:pt x="172" y="106"/>
                              </a:lnTo>
                              <a:lnTo>
                                <a:pt x="174" y="106"/>
                              </a:lnTo>
                              <a:lnTo>
                                <a:pt x="176" y="106"/>
                              </a:lnTo>
                              <a:lnTo>
                                <a:pt x="178" y="106"/>
                              </a:lnTo>
                              <a:lnTo>
                                <a:pt x="181" y="106"/>
                              </a:lnTo>
                              <a:lnTo>
                                <a:pt x="182" y="106"/>
                              </a:lnTo>
                              <a:lnTo>
                                <a:pt x="184" y="106"/>
                              </a:lnTo>
                              <a:lnTo>
                                <a:pt x="187" y="106"/>
                              </a:lnTo>
                              <a:lnTo>
                                <a:pt x="189" y="106"/>
                              </a:lnTo>
                              <a:lnTo>
                                <a:pt x="192" y="106"/>
                              </a:lnTo>
                              <a:lnTo>
                                <a:pt x="194" y="106"/>
                              </a:lnTo>
                              <a:lnTo>
                                <a:pt x="197" y="106"/>
                              </a:lnTo>
                              <a:lnTo>
                                <a:pt x="202" y="106"/>
                              </a:lnTo>
                              <a:lnTo>
                                <a:pt x="205" y="106"/>
                              </a:lnTo>
                              <a:lnTo>
                                <a:pt x="207" y="106"/>
                              </a:lnTo>
                              <a:lnTo>
                                <a:pt x="208" y="106"/>
                              </a:lnTo>
                              <a:lnTo>
                                <a:pt x="210" y="106"/>
                              </a:lnTo>
                              <a:lnTo>
                                <a:pt x="211" y="106"/>
                              </a:lnTo>
                              <a:lnTo>
                                <a:pt x="212" y="106"/>
                              </a:lnTo>
                              <a:lnTo>
                                <a:pt x="212" y="106"/>
                              </a:lnTo>
                              <a:lnTo>
                                <a:pt x="213" y="106"/>
                              </a:lnTo>
                              <a:lnTo>
                                <a:pt x="214" y="106"/>
                              </a:lnTo>
                              <a:lnTo>
                                <a:pt x="214" y="106"/>
                              </a:lnTo>
                              <a:lnTo>
                                <a:pt x="215" y="106"/>
                              </a:lnTo>
                              <a:lnTo>
                                <a:pt x="215" y="106"/>
                              </a:lnTo>
                              <a:lnTo>
                                <a:pt x="216" y="106"/>
                              </a:lnTo>
                              <a:lnTo>
                                <a:pt x="216" y="106"/>
                              </a:lnTo>
                              <a:lnTo>
                                <a:pt x="217" y="106"/>
                              </a:lnTo>
                              <a:lnTo>
                                <a:pt x="217" y="106"/>
                              </a:lnTo>
                              <a:lnTo>
                                <a:pt x="217" y="106"/>
                              </a:lnTo>
                              <a:lnTo>
                                <a:pt x="218" y="106"/>
                              </a:lnTo>
                              <a:lnTo>
                                <a:pt x="218" y="106"/>
                              </a:lnTo>
                              <a:lnTo>
                                <a:pt x="218" y="106"/>
                              </a:lnTo>
                              <a:lnTo>
                                <a:pt x="219" y="106"/>
                              </a:lnTo>
                              <a:lnTo>
                                <a:pt x="219" y="106"/>
                              </a:lnTo>
                              <a:lnTo>
                                <a:pt x="219" y="106"/>
                              </a:lnTo>
                              <a:lnTo>
                                <a:pt x="219" y="105"/>
                              </a:lnTo>
                              <a:lnTo>
                                <a:pt x="219" y="105"/>
                              </a:lnTo>
                              <a:lnTo>
                                <a:pt x="220" y="105"/>
                              </a:lnTo>
                              <a:lnTo>
                                <a:pt x="220" y="105"/>
                              </a:lnTo>
                              <a:lnTo>
                                <a:pt x="220" y="105"/>
                              </a:lnTo>
                              <a:lnTo>
                                <a:pt x="220" y="105"/>
                              </a:lnTo>
                              <a:lnTo>
                                <a:pt x="220" y="105"/>
                              </a:lnTo>
                              <a:lnTo>
                                <a:pt x="220" y="105"/>
                              </a:lnTo>
                              <a:lnTo>
                                <a:pt x="221" y="105"/>
                              </a:lnTo>
                              <a:lnTo>
                                <a:pt x="221" y="105"/>
                              </a:lnTo>
                              <a:lnTo>
                                <a:pt x="221" y="105"/>
                              </a:lnTo>
                              <a:lnTo>
                                <a:pt x="221" y="105"/>
                              </a:lnTo>
                              <a:lnTo>
                                <a:pt x="221" y="105"/>
                              </a:lnTo>
                              <a:lnTo>
                                <a:pt x="221" y="105"/>
                              </a:lnTo>
                              <a:lnTo>
                                <a:pt x="222" y="104"/>
                              </a:lnTo>
                              <a:lnTo>
                                <a:pt x="222" y="104"/>
                              </a:lnTo>
                              <a:lnTo>
                                <a:pt x="222" y="104"/>
                              </a:lnTo>
                              <a:lnTo>
                                <a:pt x="222" y="104"/>
                              </a:lnTo>
                              <a:lnTo>
                                <a:pt x="222" y="104"/>
                              </a:lnTo>
                              <a:lnTo>
                                <a:pt x="222" y="104"/>
                              </a:lnTo>
                              <a:lnTo>
                                <a:pt x="223" y="103"/>
                              </a:lnTo>
                              <a:lnTo>
                                <a:pt x="223" y="103"/>
                              </a:lnTo>
                              <a:lnTo>
                                <a:pt x="223" y="103"/>
                              </a:lnTo>
                              <a:lnTo>
                                <a:pt x="223" y="103"/>
                              </a:lnTo>
                              <a:lnTo>
                                <a:pt x="223" y="103"/>
                              </a:lnTo>
                              <a:lnTo>
                                <a:pt x="223" y="103"/>
                              </a:lnTo>
                              <a:lnTo>
                                <a:pt x="224" y="102"/>
                              </a:lnTo>
                              <a:lnTo>
                                <a:pt x="224" y="102"/>
                              </a:lnTo>
                              <a:lnTo>
                                <a:pt x="224" y="102"/>
                              </a:lnTo>
                              <a:lnTo>
                                <a:pt x="224" y="102"/>
                              </a:lnTo>
                              <a:lnTo>
                                <a:pt x="224" y="102"/>
                              </a:lnTo>
                              <a:lnTo>
                                <a:pt x="224" y="101"/>
                              </a:lnTo>
                              <a:lnTo>
                                <a:pt x="224" y="101"/>
                              </a:lnTo>
                              <a:lnTo>
                                <a:pt x="224" y="101"/>
                              </a:lnTo>
                              <a:lnTo>
                                <a:pt x="225" y="101"/>
                              </a:lnTo>
                              <a:lnTo>
                                <a:pt x="225" y="100"/>
                              </a:lnTo>
                              <a:lnTo>
                                <a:pt x="225" y="100"/>
                              </a:lnTo>
                              <a:lnTo>
                                <a:pt x="225" y="100"/>
                              </a:lnTo>
                              <a:lnTo>
                                <a:pt x="225" y="100"/>
                              </a:lnTo>
                              <a:lnTo>
                                <a:pt x="225" y="99"/>
                              </a:lnTo>
                              <a:lnTo>
                                <a:pt x="225" y="99"/>
                              </a:lnTo>
                              <a:lnTo>
                                <a:pt x="225" y="99"/>
                              </a:lnTo>
                              <a:lnTo>
                                <a:pt x="226" y="98"/>
                              </a:lnTo>
                              <a:lnTo>
                                <a:pt x="226" y="98"/>
                              </a:lnTo>
                              <a:lnTo>
                                <a:pt x="226" y="98"/>
                              </a:lnTo>
                              <a:lnTo>
                                <a:pt x="226" y="97"/>
                              </a:lnTo>
                              <a:lnTo>
                                <a:pt x="226" y="97"/>
                              </a:lnTo>
                              <a:lnTo>
                                <a:pt x="226" y="97"/>
                              </a:lnTo>
                              <a:lnTo>
                                <a:pt x="226" y="96"/>
                              </a:lnTo>
                              <a:lnTo>
                                <a:pt x="226" y="96"/>
                              </a:lnTo>
                              <a:lnTo>
                                <a:pt x="227" y="96"/>
                              </a:lnTo>
                              <a:lnTo>
                                <a:pt x="227" y="95"/>
                              </a:lnTo>
                              <a:lnTo>
                                <a:pt x="227" y="95"/>
                              </a:lnTo>
                              <a:lnTo>
                                <a:pt x="227" y="94"/>
                              </a:lnTo>
                              <a:lnTo>
                                <a:pt x="227" y="94"/>
                              </a:lnTo>
                              <a:lnTo>
                                <a:pt x="227" y="93"/>
                              </a:lnTo>
                              <a:lnTo>
                                <a:pt x="227" y="93"/>
                              </a:lnTo>
                              <a:lnTo>
                                <a:pt x="228" y="92"/>
                              </a:lnTo>
                              <a:lnTo>
                                <a:pt x="228" y="92"/>
                              </a:lnTo>
                              <a:lnTo>
                                <a:pt x="228" y="91"/>
                              </a:lnTo>
                              <a:lnTo>
                                <a:pt x="228" y="91"/>
                              </a:lnTo>
                              <a:lnTo>
                                <a:pt x="228" y="90"/>
                              </a:lnTo>
                              <a:lnTo>
                                <a:pt x="228" y="90"/>
                              </a:lnTo>
                              <a:lnTo>
                                <a:pt x="228" y="89"/>
                              </a:lnTo>
                              <a:lnTo>
                                <a:pt x="228" y="89"/>
                              </a:lnTo>
                              <a:lnTo>
                                <a:pt x="229" y="88"/>
                              </a:lnTo>
                              <a:lnTo>
                                <a:pt x="229" y="88"/>
                              </a:lnTo>
                              <a:lnTo>
                                <a:pt x="229" y="87"/>
                              </a:lnTo>
                              <a:lnTo>
                                <a:pt x="229" y="86"/>
                              </a:lnTo>
                              <a:lnTo>
                                <a:pt x="229" y="85"/>
                              </a:lnTo>
                              <a:lnTo>
                                <a:pt x="229" y="85"/>
                              </a:lnTo>
                              <a:lnTo>
                                <a:pt x="230" y="84"/>
                              </a:lnTo>
                              <a:lnTo>
                                <a:pt x="230" y="83"/>
                              </a:lnTo>
                              <a:lnTo>
                                <a:pt x="230" y="82"/>
                              </a:lnTo>
                              <a:lnTo>
                                <a:pt x="230" y="81"/>
                              </a:lnTo>
                              <a:lnTo>
                                <a:pt x="230" y="80"/>
                              </a:lnTo>
                              <a:lnTo>
                                <a:pt x="230" y="79"/>
                              </a:lnTo>
                              <a:lnTo>
                                <a:pt x="231" y="78"/>
                              </a:lnTo>
                              <a:lnTo>
                                <a:pt x="231" y="77"/>
                              </a:lnTo>
                              <a:lnTo>
                                <a:pt x="231" y="76"/>
                              </a:lnTo>
                              <a:lnTo>
                                <a:pt x="231" y="75"/>
                              </a:lnTo>
                              <a:lnTo>
                                <a:pt x="231" y="74"/>
                              </a:lnTo>
                              <a:lnTo>
                                <a:pt x="231" y="73"/>
                              </a:lnTo>
                              <a:lnTo>
                                <a:pt x="232" y="72"/>
                              </a:lnTo>
                              <a:lnTo>
                                <a:pt x="232" y="70"/>
                              </a:lnTo>
                              <a:lnTo>
                                <a:pt x="232" y="69"/>
                              </a:lnTo>
                              <a:lnTo>
                                <a:pt x="232" y="67"/>
                              </a:lnTo>
                              <a:lnTo>
                                <a:pt x="233" y="65"/>
                              </a:lnTo>
                              <a:lnTo>
                                <a:pt x="233" y="63"/>
                              </a:lnTo>
                              <a:lnTo>
                                <a:pt x="233" y="60"/>
                              </a:lnTo>
                              <a:lnTo>
                                <a:pt x="234" y="57"/>
                              </a:lnTo>
                              <a:lnTo>
                                <a:pt x="234" y="53"/>
                              </a:lnTo>
                              <a:lnTo>
                                <a:pt x="235" y="48"/>
                              </a:lnTo>
                              <a:lnTo>
                                <a:pt x="236" y="43"/>
                              </a:lnTo>
                              <a:lnTo>
                                <a:pt x="236" y="39"/>
                              </a:lnTo>
                              <a:lnTo>
                                <a:pt x="237" y="37"/>
                              </a:lnTo>
                              <a:lnTo>
                                <a:pt x="237" y="34"/>
                              </a:lnTo>
                              <a:lnTo>
                                <a:pt x="237" y="32"/>
                              </a:lnTo>
                              <a:lnTo>
                                <a:pt x="238" y="29"/>
                              </a:lnTo>
                              <a:lnTo>
                                <a:pt x="238" y="27"/>
                              </a:lnTo>
                              <a:lnTo>
                                <a:pt x="239" y="24"/>
                              </a:lnTo>
                              <a:lnTo>
                                <a:pt x="239" y="22"/>
                              </a:lnTo>
                              <a:lnTo>
                                <a:pt x="239" y="20"/>
                              </a:lnTo>
                              <a:lnTo>
                                <a:pt x="240" y="18"/>
                              </a:lnTo>
                              <a:lnTo>
                                <a:pt x="240" y="16"/>
                              </a:lnTo>
                              <a:lnTo>
                                <a:pt x="240" y="14"/>
                              </a:lnTo>
                              <a:lnTo>
                                <a:pt x="241" y="12"/>
                              </a:lnTo>
                              <a:lnTo>
                                <a:pt x="241" y="11"/>
                              </a:lnTo>
                              <a:lnTo>
                                <a:pt x="241" y="10"/>
                              </a:lnTo>
                              <a:lnTo>
                                <a:pt x="242" y="8"/>
                              </a:lnTo>
                              <a:lnTo>
                                <a:pt x="242" y="7"/>
                              </a:lnTo>
                              <a:lnTo>
                                <a:pt x="242" y="6"/>
                              </a:lnTo>
                              <a:lnTo>
                                <a:pt x="243" y="5"/>
                              </a:lnTo>
                              <a:lnTo>
                                <a:pt x="243" y="4"/>
                              </a:lnTo>
                              <a:lnTo>
                                <a:pt x="243" y="3"/>
                              </a:lnTo>
                              <a:lnTo>
                                <a:pt x="243" y="3"/>
                              </a:lnTo>
                              <a:lnTo>
                                <a:pt x="244" y="2"/>
                              </a:lnTo>
                              <a:lnTo>
                                <a:pt x="244" y="1"/>
                              </a:lnTo>
                              <a:lnTo>
                                <a:pt x="244" y="1"/>
                              </a:lnTo>
                              <a:lnTo>
                                <a:pt x="244" y="1"/>
                              </a:lnTo>
                              <a:lnTo>
                                <a:pt x="245" y="0"/>
                              </a:lnTo>
                              <a:lnTo>
                                <a:pt x="245" y="0"/>
                              </a:lnTo>
                              <a:lnTo>
                                <a:pt x="245" y="0"/>
                              </a:lnTo>
                              <a:lnTo>
                                <a:pt x="245" y="0"/>
                              </a:lnTo>
                              <a:lnTo>
                                <a:pt x="246" y="0"/>
                              </a:lnTo>
                              <a:lnTo>
                                <a:pt x="246" y="0"/>
                              </a:lnTo>
                              <a:lnTo>
                                <a:pt x="246" y="0"/>
                              </a:lnTo>
                              <a:lnTo>
                                <a:pt x="246" y="0"/>
                              </a:lnTo>
                              <a:lnTo>
                                <a:pt x="247" y="1"/>
                              </a:lnTo>
                              <a:lnTo>
                                <a:pt x="247" y="1"/>
                              </a:lnTo>
                              <a:lnTo>
                                <a:pt x="247" y="1"/>
                              </a:lnTo>
                              <a:lnTo>
                                <a:pt x="248" y="2"/>
                              </a:lnTo>
                              <a:lnTo>
                                <a:pt x="248" y="3"/>
                              </a:lnTo>
                              <a:lnTo>
                                <a:pt x="248" y="3"/>
                              </a:lnTo>
                              <a:lnTo>
                                <a:pt x="248" y="4"/>
                              </a:lnTo>
                              <a:lnTo>
                                <a:pt x="249" y="5"/>
                              </a:lnTo>
                              <a:lnTo>
                                <a:pt x="249" y="6"/>
                              </a:lnTo>
                              <a:lnTo>
                                <a:pt x="249" y="7"/>
                              </a:lnTo>
                              <a:lnTo>
                                <a:pt x="249" y="8"/>
                              </a:lnTo>
                              <a:lnTo>
                                <a:pt x="250" y="10"/>
                              </a:lnTo>
                              <a:lnTo>
                                <a:pt x="250" y="11"/>
                              </a:lnTo>
                              <a:lnTo>
                                <a:pt x="250" y="13"/>
                              </a:lnTo>
                              <a:lnTo>
                                <a:pt x="251" y="14"/>
                              </a:lnTo>
                              <a:lnTo>
                                <a:pt x="251" y="16"/>
                              </a:lnTo>
                              <a:lnTo>
                                <a:pt x="251" y="18"/>
                              </a:lnTo>
                              <a:lnTo>
                                <a:pt x="252" y="20"/>
                              </a:lnTo>
                              <a:lnTo>
                                <a:pt x="252" y="23"/>
                              </a:lnTo>
                              <a:lnTo>
                                <a:pt x="253" y="25"/>
                              </a:lnTo>
                              <a:lnTo>
                                <a:pt x="253" y="29"/>
                              </a:lnTo>
                              <a:lnTo>
                                <a:pt x="254" y="32"/>
                              </a:lnTo>
                              <a:lnTo>
                                <a:pt x="254" y="35"/>
                              </a:lnTo>
                              <a:lnTo>
                                <a:pt x="255" y="39"/>
                              </a:lnTo>
                              <a:lnTo>
                                <a:pt x="256" y="43"/>
                              </a:lnTo>
                              <a:lnTo>
                                <a:pt x="256" y="46"/>
                              </a:lnTo>
                              <a:lnTo>
                                <a:pt x="256" y="49"/>
                              </a:lnTo>
                              <a:lnTo>
                                <a:pt x="257" y="51"/>
                              </a:lnTo>
                              <a:lnTo>
                                <a:pt x="257" y="53"/>
                              </a:lnTo>
                              <a:lnTo>
                                <a:pt x="257" y="55"/>
                              </a:lnTo>
                              <a:lnTo>
                                <a:pt x="258" y="57"/>
                              </a:lnTo>
                              <a:lnTo>
                                <a:pt x="258" y="58"/>
                              </a:lnTo>
                              <a:lnTo>
                                <a:pt x="258" y="60"/>
                              </a:lnTo>
                              <a:lnTo>
                                <a:pt x="259" y="62"/>
                              </a:lnTo>
                              <a:lnTo>
                                <a:pt x="259" y="63"/>
                              </a:lnTo>
                              <a:lnTo>
                                <a:pt x="259" y="64"/>
                              </a:lnTo>
                              <a:lnTo>
                                <a:pt x="259" y="66"/>
                              </a:lnTo>
                              <a:lnTo>
                                <a:pt x="260" y="67"/>
                              </a:lnTo>
                              <a:lnTo>
                                <a:pt x="260" y="68"/>
                              </a:lnTo>
                              <a:lnTo>
                                <a:pt x="260" y="69"/>
                              </a:lnTo>
                              <a:lnTo>
                                <a:pt x="260" y="70"/>
                              </a:lnTo>
                              <a:lnTo>
                                <a:pt x="261" y="71"/>
                              </a:lnTo>
                              <a:lnTo>
                                <a:pt x="261" y="72"/>
                              </a:lnTo>
                              <a:lnTo>
                                <a:pt x="261" y="73"/>
                              </a:lnTo>
                              <a:lnTo>
                                <a:pt x="261" y="74"/>
                              </a:lnTo>
                              <a:lnTo>
                                <a:pt x="262" y="74"/>
                              </a:lnTo>
                              <a:lnTo>
                                <a:pt x="262" y="75"/>
                              </a:lnTo>
                              <a:lnTo>
                                <a:pt x="262" y="76"/>
                              </a:lnTo>
                              <a:lnTo>
                                <a:pt x="262" y="77"/>
                              </a:lnTo>
                              <a:lnTo>
                                <a:pt x="262" y="77"/>
                              </a:lnTo>
                              <a:lnTo>
                                <a:pt x="263" y="78"/>
                              </a:lnTo>
                              <a:lnTo>
                                <a:pt x="263" y="78"/>
                              </a:lnTo>
                              <a:lnTo>
                                <a:pt x="263" y="79"/>
                              </a:lnTo>
                              <a:lnTo>
                                <a:pt x="263" y="79"/>
                              </a:lnTo>
                              <a:lnTo>
                                <a:pt x="263" y="79"/>
                              </a:lnTo>
                              <a:lnTo>
                                <a:pt x="263" y="80"/>
                              </a:lnTo>
                              <a:lnTo>
                                <a:pt x="263" y="80"/>
                              </a:lnTo>
                              <a:lnTo>
                                <a:pt x="263" y="80"/>
                              </a:lnTo>
                              <a:lnTo>
                                <a:pt x="263" y="81"/>
                              </a:lnTo>
                              <a:lnTo>
                                <a:pt x="264" y="81"/>
                              </a:lnTo>
                              <a:lnTo>
                                <a:pt x="264" y="81"/>
                              </a:lnTo>
                              <a:lnTo>
                                <a:pt x="264" y="81"/>
                              </a:lnTo>
                              <a:lnTo>
                                <a:pt x="264" y="82"/>
                              </a:lnTo>
                              <a:lnTo>
                                <a:pt x="264" y="82"/>
                              </a:lnTo>
                              <a:lnTo>
                                <a:pt x="264" y="82"/>
                              </a:lnTo>
                              <a:lnTo>
                                <a:pt x="264" y="82"/>
                              </a:lnTo>
                              <a:lnTo>
                                <a:pt x="264" y="83"/>
                              </a:lnTo>
                              <a:lnTo>
                                <a:pt x="264" y="83"/>
                              </a:lnTo>
                              <a:lnTo>
                                <a:pt x="264" y="83"/>
                              </a:lnTo>
                              <a:lnTo>
                                <a:pt x="264" y="83"/>
                              </a:lnTo>
                              <a:lnTo>
                                <a:pt x="265" y="83"/>
                              </a:lnTo>
                              <a:lnTo>
                                <a:pt x="265" y="84"/>
                              </a:lnTo>
                              <a:lnTo>
                                <a:pt x="265" y="84"/>
                              </a:lnTo>
                              <a:lnTo>
                                <a:pt x="265" y="84"/>
                              </a:lnTo>
                              <a:lnTo>
                                <a:pt x="265" y="85"/>
                              </a:lnTo>
                              <a:lnTo>
                                <a:pt x="265" y="85"/>
                              </a:lnTo>
                              <a:lnTo>
                                <a:pt x="265" y="86"/>
                              </a:lnTo>
                              <a:lnTo>
                                <a:pt x="266" y="86"/>
                              </a:lnTo>
                              <a:lnTo>
                                <a:pt x="266" y="87"/>
                              </a:lnTo>
                              <a:lnTo>
                                <a:pt x="266" y="87"/>
                              </a:lnTo>
                              <a:lnTo>
                                <a:pt x="266" y="88"/>
                              </a:lnTo>
                              <a:lnTo>
                                <a:pt x="267" y="88"/>
                              </a:lnTo>
                              <a:lnTo>
                                <a:pt x="267" y="88"/>
                              </a:lnTo>
                              <a:lnTo>
                                <a:pt x="267" y="89"/>
                              </a:lnTo>
                              <a:lnTo>
                                <a:pt x="267" y="89"/>
                              </a:lnTo>
                              <a:lnTo>
                                <a:pt x="268" y="89"/>
                              </a:lnTo>
                              <a:lnTo>
                                <a:pt x="268" y="90"/>
                              </a:lnTo>
                              <a:lnTo>
                                <a:pt x="268" y="90"/>
                              </a:lnTo>
                              <a:lnTo>
                                <a:pt x="268" y="90"/>
                              </a:lnTo>
                              <a:lnTo>
                                <a:pt x="269" y="91"/>
                              </a:lnTo>
                              <a:lnTo>
                                <a:pt x="269" y="91"/>
                              </a:lnTo>
                              <a:lnTo>
                                <a:pt x="269" y="91"/>
                              </a:lnTo>
                              <a:lnTo>
                                <a:pt x="269" y="92"/>
                              </a:lnTo>
                              <a:lnTo>
                                <a:pt x="270" y="92"/>
                              </a:lnTo>
                              <a:lnTo>
                                <a:pt x="270" y="92"/>
                              </a:lnTo>
                              <a:lnTo>
                                <a:pt x="270" y="93"/>
                              </a:lnTo>
                              <a:lnTo>
                                <a:pt x="270" y="93"/>
                              </a:lnTo>
                              <a:lnTo>
                                <a:pt x="271" y="93"/>
                              </a:lnTo>
                              <a:lnTo>
                                <a:pt x="271" y="94"/>
                              </a:lnTo>
                              <a:lnTo>
                                <a:pt x="271" y="94"/>
                              </a:lnTo>
                              <a:lnTo>
                                <a:pt x="272" y="94"/>
                              </a:lnTo>
                              <a:lnTo>
                                <a:pt x="272" y="94"/>
                              </a:lnTo>
                              <a:lnTo>
                                <a:pt x="272" y="95"/>
                              </a:lnTo>
                              <a:lnTo>
                                <a:pt x="273" y="95"/>
                              </a:lnTo>
                              <a:lnTo>
                                <a:pt x="273" y="95"/>
                              </a:lnTo>
                              <a:lnTo>
                                <a:pt x="273" y="95"/>
                              </a:lnTo>
                              <a:lnTo>
                                <a:pt x="274" y="96"/>
                              </a:lnTo>
                              <a:lnTo>
                                <a:pt x="274" y="96"/>
                              </a:lnTo>
                              <a:lnTo>
                                <a:pt x="274" y="96"/>
                              </a:lnTo>
                              <a:lnTo>
                                <a:pt x="275" y="96"/>
                              </a:lnTo>
                              <a:lnTo>
                                <a:pt x="275" y="96"/>
                              </a:lnTo>
                              <a:lnTo>
                                <a:pt x="276" y="97"/>
                              </a:lnTo>
                              <a:lnTo>
                                <a:pt x="276" y="97"/>
                              </a:lnTo>
                              <a:lnTo>
                                <a:pt x="276" y="97"/>
                              </a:lnTo>
                              <a:lnTo>
                                <a:pt x="277" y="97"/>
                              </a:lnTo>
                              <a:lnTo>
                                <a:pt x="277" y="97"/>
                              </a:lnTo>
                              <a:lnTo>
                                <a:pt x="277" y="97"/>
                              </a:lnTo>
                              <a:lnTo>
                                <a:pt x="278" y="97"/>
                              </a:lnTo>
                              <a:lnTo>
                                <a:pt x="278" y="97"/>
                              </a:lnTo>
                              <a:lnTo>
                                <a:pt x="279" y="98"/>
                              </a:lnTo>
                              <a:lnTo>
                                <a:pt x="279" y="98"/>
                              </a:lnTo>
                              <a:lnTo>
                                <a:pt x="279" y="98"/>
                              </a:lnTo>
                              <a:lnTo>
                                <a:pt x="279" y="98"/>
                              </a:lnTo>
                              <a:lnTo>
                                <a:pt x="280" y="98"/>
                              </a:lnTo>
                              <a:lnTo>
                                <a:pt x="280" y="98"/>
                              </a:lnTo>
                              <a:lnTo>
                                <a:pt x="280" y="98"/>
                              </a:lnTo>
                              <a:lnTo>
                                <a:pt x="281" y="98"/>
                              </a:lnTo>
                              <a:lnTo>
                                <a:pt x="281" y="98"/>
                              </a:lnTo>
                              <a:lnTo>
                                <a:pt x="281" y="98"/>
                              </a:lnTo>
                              <a:lnTo>
                                <a:pt x="282" y="98"/>
                              </a:lnTo>
                              <a:lnTo>
                                <a:pt x="282" y="98"/>
                              </a:lnTo>
                              <a:lnTo>
                                <a:pt x="282" y="98"/>
                              </a:lnTo>
                              <a:lnTo>
                                <a:pt x="282" y="97"/>
                              </a:lnTo>
                              <a:lnTo>
                                <a:pt x="283" y="97"/>
                              </a:lnTo>
                              <a:lnTo>
                                <a:pt x="283" y="97"/>
                              </a:lnTo>
                              <a:lnTo>
                                <a:pt x="283" y="97"/>
                              </a:lnTo>
                              <a:lnTo>
                                <a:pt x="283" y="97"/>
                              </a:lnTo>
                              <a:lnTo>
                                <a:pt x="284" y="97"/>
                              </a:lnTo>
                              <a:lnTo>
                                <a:pt x="284" y="97"/>
                              </a:lnTo>
                              <a:lnTo>
                                <a:pt x="284" y="97"/>
                              </a:lnTo>
                              <a:lnTo>
                                <a:pt x="284" y="96"/>
                              </a:lnTo>
                              <a:lnTo>
                                <a:pt x="285" y="96"/>
                              </a:lnTo>
                              <a:lnTo>
                                <a:pt x="285" y="96"/>
                              </a:lnTo>
                              <a:lnTo>
                                <a:pt x="285" y="96"/>
                              </a:lnTo>
                              <a:lnTo>
                                <a:pt x="286" y="96"/>
                              </a:lnTo>
                              <a:lnTo>
                                <a:pt x="286" y="95"/>
                              </a:lnTo>
                              <a:lnTo>
                                <a:pt x="286" y="95"/>
                              </a:lnTo>
                              <a:lnTo>
                                <a:pt x="287" y="95"/>
                              </a:lnTo>
                              <a:lnTo>
                                <a:pt x="287" y="94"/>
                              </a:lnTo>
                              <a:lnTo>
                                <a:pt x="287" y="94"/>
                              </a:lnTo>
                              <a:lnTo>
                                <a:pt x="287" y="94"/>
                              </a:lnTo>
                              <a:lnTo>
                                <a:pt x="288" y="93"/>
                              </a:lnTo>
                              <a:lnTo>
                                <a:pt x="288" y="93"/>
                              </a:lnTo>
                              <a:lnTo>
                                <a:pt x="288" y="93"/>
                              </a:lnTo>
                              <a:lnTo>
                                <a:pt x="289" y="92"/>
                              </a:lnTo>
                              <a:lnTo>
                                <a:pt x="289" y="92"/>
                              </a:lnTo>
                              <a:lnTo>
                                <a:pt x="289" y="91"/>
                              </a:lnTo>
                              <a:lnTo>
                                <a:pt x="290" y="91"/>
                              </a:lnTo>
                              <a:lnTo>
                                <a:pt x="290" y="90"/>
                              </a:lnTo>
                              <a:lnTo>
                                <a:pt x="290" y="90"/>
                              </a:lnTo>
                              <a:lnTo>
                                <a:pt x="290" y="89"/>
                              </a:lnTo>
                              <a:lnTo>
                                <a:pt x="291" y="89"/>
                              </a:lnTo>
                              <a:lnTo>
                                <a:pt x="291" y="88"/>
                              </a:lnTo>
                              <a:lnTo>
                                <a:pt x="291" y="88"/>
                              </a:lnTo>
                              <a:lnTo>
                                <a:pt x="292" y="87"/>
                              </a:lnTo>
                              <a:lnTo>
                                <a:pt x="292" y="86"/>
                              </a:lnTo>
                              <a:lnTo>
                                <a:pt x="292" y="86"/>
                              </a:lnTo>
                              <a:lnTo>
                                <a:pt x="293" y="85"/>
                              </a:lnTo>
                              <a:lnTo>
                                <a:pt x="293" y="84"/>
                              </a:lnTo>
                              <a:lnTo>
                                <a:pt x="294" y="83"/>
                              </a:lnTo>
                              <a:lnTo>
                                <a:pt x="294" y="82"/>
                              </a:lnTo>
                              <a:lnTo>
                                <a:pt x="295" y="81"/>
                              </a:lnTo>
                              <a:lnTo>
                                <a:pt x="295" y="79"/>
                              </a:lnTo>
                              <a:lnTo>
                                <a:pt x="296" y="77"/>
                              </a:lnTo>
                              <a:lnTo>
                                <a:pt x="296" y="76"/>
                              </a:lnTo>
                              <a:lnTo>
                                <a:pt x="297" y="75"/>
                              </a:lnTo>
                              <a:lnTo>
                                <a:pt x="297" y="74"/>
                              </a:lnTo>
                              <a:lnTo>
                                <a:pt x="298" y="73"/>
                              </a:lnTo>
                              <a:lnTo>
                                <a:pt x="298" y="72"/>
                              </a:lnTo>
                              <a:lnTo>
                                <a:pt x="298" y="71"/>
                              </a:lnTo>
                              <a:lnTo>
                                <a:pt x="299" y="71"/>
                              </a:lnTo>
                              <a:lnTo>
                                <a:pt x="299" y="70"/>
                              </a:lnTo>
                              <a:lnTo>
                                <a:pt x="299" y="69"/>
                              </a:lnTo>
                              <a:lnTo>
                                <a:pt x="299" y="69"/>
                              </a:lnTo>
                              <a:lnTo>
                                <a:pt x="300" y="68"/>
                              </a:lnTo>
                              <a:lnTo>
                                <a:pt x="300" y="68"/>
                              </a:lnTo>
                              <a:lnTo>
                                <a:pt x="300" y="67"/>
                              </a:lnTo>
                              <a:lnTo>
                                <a:pt x="300" y="66"/>
                              </a:lnTo>
                              <a:lnTo>
                                <a:pt x="301" y="66"/>
                              </a:lnTo>
                              <a:lnTo>
                                <a:pt x="301" y="65"/>
                              </a:lnTo>
                              <a:lnTo>
                                <a:pt x="301" y="65"/>
                              </a:lnTo>
                              <a:lnTo>
                                <a:pt x="302" y="65"/>
                              </a:lnTo>
                              <a:lnTo>
                                <a:pt x="302" y="64"/>
                              </a:lnTo>
                              <a:lnTo>
                                <a:pt x="302" y="64"/>
                              </a:lnTo>
                              <a:lnTo>
                                <a:pt x="302" y="64"/>
                              </a:lnTo>
                              <a:lnTo>
                                <a:pt x="303" y="64"/>
                              </a:lnTo>
                              <a:lnTo>
                                <a:pt x="303" y="64"/>
                              </a:lnTo>
                              <a:lnTo>
                                <a:pt x="303" y="63"/>
                              </a:lnTo>
                              <a:lnTo>
                                <a:pt x="303" y="63"/>
                              </a:lnTo>
                              <a:lnTo>
                                <a:pt x="304" y="63"/>
                              </a:lnTo>
                              <a:lnTo>
                                <a:pt x="304" y="63"/>
                              </a:lnTo>
                              <a:lnTo>
                                <a:pt x="304" y="64"/>
                              </a:lnTo>
                              <a:lnTo>
                                <a:pt x="304" y="64"/>
                              </a:lnTo>
                              <a:lnTo>
                                <a:pt x="305" y="64"/>
                              </a:lnTo>
                              <a:lnTo>
                                <a:pt x="305" y="64"/>
                              </a:lnTo>
                              <a:lnTo>
                                <a:pt x="305" y="64"/>
                              </a:lnTo>
                              <a:lnTo>
                                <a:pt x="305" y="64"/>
                              </a:lnTo>
                              <a:lnTo>
                                <a:pt x="306" y="65"/>
                              </a:lnTo>
                              <a:lnTo>
                                <a:pt x="306" y="65"/>
                              </a:lnTo>
                              <a:lnTo>
                                <a:pt x="306" y="66"/>
                              </a:lnTo>
                              <a:lnTo>
                                <a:pt x="306" y="66"/>
                              </a:lnTo>
                              <a:lnTo>
                                <a:pt x="307" y="67"/>
                              </a:lnTo>
                              <a:lnTo>
                                <a:pt x="307" y="68"/>
                              </a:lnTo>
                              <a:lnTo>
                                <a:pt x="307" y="68"/>
                              </a:lnTo>
                              <a:lnTo>
                                <a:pt x="307" y="69"/>
                              </a:lnTo>
                              <a:lnTo>
                                <a:pt x="308" y="69"/>
                              </a:lnTo>
                              <a:lnTo>
                                <a:pt x="308" y="69"/>
                              </a:lnTo>
                              <a:lnTo>
                                <a:pt x="308" y="70"/>
                              </a:lnTo>
                              <a:lnTo>
                                <a:pt x="308" y="70"/>
                              </a:lnTo>
                              <a:lnTo>
                                <a:pt x="308" y="70"/>
                              </a:lnTo>
                              <a:lnTo>
                                <a:pt x="308" y="71"/>
                              </a:lnTo>
                              <a:lnTo>
                                <a:pt x="308" y="71"/>
                              </a:lnTo>
                              <a:lnTo>
                                <a:pt x="308" y="72"/>
                              </a:lnTo>
                              <a:lnTo>
                                <a:pt x="309" y="73"/>
                              </a:lnTo>
                              <a:lnTo>
                                <a:pt x="309" y="74"/>
                              </a:lnTo>
                              <a:lnTo>
                                <a:pt x="309" y="74"/>
                              </a:lnTo>
                              <a:lnTo>
                                <a:pt x="309" y="75"/>
                              </a:lnTo>
                              <a:lnTo>
                                <a:pt x="309" y="76"/>
                              </a:lnTo>
                              <a:lnTo>
                                <a:pt x="310" y="77"/>
                              </a:lnTo>
                              <a:lnTo>
                                <a:pt x="310" y="78"/>
                              </a:lnTo>
                              <a:lnTo>
                                <a:pt x="311" y="80"/>
                              </a:lnTo>
                              <a:lnTo>
                                <a:pt x="311" y="82"/>
                              </a:lnTo>
                              <a:lnTo>
                                <a:pt x="312" y="84"/>
                              </a:lnTo>
                              <a:lnTo>
                                <a:pt x="312" y="85"/>
                              </a:lnTo>
                              <a:lnTo>
                                <a:pt x="312" y="86"/>
                              </a:lnTo>
                              <a:lnTo>
                                <a:pt x="313" y="87"/>
                              </a:lnTo>
                              <a:lnTo>
                                <a:pt x="313" y="88"/>
                              </a:lnTo>
                              <a:lnTo>
                                <a:pt x="313" y="89"/>
                              </a:lnTo>
                              <a:lnTo>
                                <a:pt x="313" y="90"/>
                              </a:lnTo>
                              <a:lnTo>
                                <a:pt x="314" y="91"/>
                              </a:lnTo>
                              <a:lnTo>
                                <a:pt x="314" y="91"/>
                              </a:lnTo>
                              <a:lnTo>
                                <a:pt x="314" y="92"/>
                              </a:lnTo>
                              <a:lnTo>
                                <a:pt x="314" y="93"/>
                              </a:lnTo>
                              <a:lnTo>
                                <a:pt x="314" y="93"/>
                              </a:lnTo>
                              <a:lnTo>
                                <a:pt x="315" y="94"/>
                              </a:lnTo>
                              <a:lnTo>
                                <a:pt x="315" y="94"/>
                              </a:lnTo>
                              <a:lnTo>
                                <a:pt x="315" y="95"/>
                              </a:lnTo>
                              <a:lnTo>
                                <a:pt x="315" y="96"/>
                              </a:lnTo>
                              <a:lnTo>
                                <a:pt x="315" y="96"/>
                              </a:lnTo>
                              <a:lnTo>
                                <a:pt x="316" y="97"/>
                              </a:lnTo>
                              <a:lnTo>
                                <a:pt x="316" y="97"/>
                              </a:lnTo>
                              <a:lnTo>
                                <a:pt x="316" y="98"/>
                              </a:lnTo>
                              <a:lnTo>
                                <a:pt x="316" y="98"/>
                              </a:lnTo>
                              <a:lnTo>
                                <a:pt x="316" y="98"/>
                              </a:lnTo>
                              <a:lnTo>
                                <a:pt x="317" y="99"/>
                              </a:lnTo>
                              <a:lnTo>
                                <a:pt x="317" y="99"/>
                              </a:lnTo>
                              <a:lnTo>
                                <a:pt x="317" y="100"/>
                              </a:lnTo>
                              <a:lnTo>
                                <a:pt x="317" y="100"/>
                              </a:lnTo>
                              <a:lnTo>
                                <a:pt x="317" y="100"/>
                              </a:lnTo>
                              <a:lnTo>
                                <a:pt x="317" y="101"/>
                              </a:lnTo>
                              <a:lnTo>
                                <a:pt x="318" y="101"/>
                              </a:lnTo>
                              <a:lnTo>
                                <a:pt x="318" y="101"/>
                              </a:lnTo>
                              <a:lnTo>
                                <a:pt x="318" y="102"/>
                              </a:lnTo>
                              <a:lnTo>
                                <a:pt x="318" y="102"/>
                              </a:lnTo>
                              <a:lnTo>
                                <a:pt x="318" y="102"/>
                              </a:lnTo>
                              <a:lnTo>
                                <a:pt x="318" y="102"/>
                              </a:lnTo>
                              <a:lnTo>
                                <a:pt x="319" y="103"/>
                              </a:lnTo>
                              <a:lnTo>
                                <a:pt x="319" y="103"/>
                              </a:lnTo>
                              <a:lnTo>
                                <a:pt x="319" y="103"/>
                              </a:lnTo>
                              <a:lnTo>
                                <a:pt x="319" y="103"/>
                              </a:lnTo>
                              <a:lnTo>
                                <a:pt x="320" y="104"/>
                              </a:lnTo>
                              <a:lnTo>
                                <a:pt x="320" y="104"/>
                              </a:lnTo>
                              <a:lnTo>
                                <a:pt x="320" y="104"/>
                              </a:lnTo>
                              <a:lnTo>
                                <a:pt x="320" y="105"/>
                              </a:lnTo>
                              <a:lnTo>
                                <a:pt x="320" y="105"/>
                              </a:lnTo>
                              <a:lnTo>
                                <a:pt x="321" y="105"/>
                              </a:lnTo>
                              <a:lnTo>
                                <a:pt x="321" y="105"/>
                              </a:lnTo>
                              <a:lnTo>
                                <a:pt x="321" y="105"/>
                              </a:lnTo>
                              <a:lnTo>
                                <a:pt x="321" y="106"/>
                              </a:lnTo>
                              <a:lnTo>
                                <a:pt x="321" y="106"/>
                              </a:lnTo>
                              <a:lnTo>
                                <a:pt x="322" y="106"/>
                              </a:lnTo>
                              <a:lnTo>
                                <a:pt x="322" y="106"/>
                              </a:lnTo>
                              <a:lnTo>
                                <a:pt x="322" y="106"/>
                              </a:lnTo>
                              <a:lnTo>
                                <a:pt x="322" y="106"/>
                              </a:lnTo>
                              <a:lnTo>
                                <a:pt x="323" y="107"/>
                              </a:lnTo>
                              <a:lnTo>
                                <a:pt x="323" y="107"/>
                              </a:lnTo>
                              <a:lnTo>
                                <a:pt x="323" y="107"/>
                              </a:lnTo>
                              <a:lnTo>
                                <a:pt x="323" y="107"/>
                              </a:lnTo>
                              <a:lnTo>
                                <a:pt x="324" y="107"/>
                              </a:lnTo>
                              <a:lnTo>
                                <a:pt x="324" y="107"/>
                              </a:lnTo>
                              <a:lnTo>
                                <a:pt x="324" y="107"/>
                              </a:lnTo>
                            </a:path>
                          </a:pathLst>
                        </a:custGeom>
                        <a:noFill/>
                        <a:ln w="4763">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7" name="Freeform 155"/>
                        <a:cNvSpPr>
                          <a:spLocks/>
                        </a:cNvSpPr>
                      </a:nvSpPr>
                      <a:spPr bwMode="auto">
                        <a:xfrm>
                          <a:off x="2157856" y="11201237"/>
                          <a:ext cx="2066102" cy="60992"/>
                        </a:xfrm>
                        <a:custGeom>
                          <a:avLst/>
                          <a:gdLst/>
                          <a:ahLst/>
                          <a:cxnLst>
                            <a:cxn ang="0">
                              <a:pos x="2" y="43"/>
                            </a:cxn>
                            <a:cxn ang="0">
                              <a:pos x="5" y="43"/>
                            </a:cxn>
                            <a:cxn ang="0">
                              <a:pos x="8" y="42"/>
                            </a:cxn>
                            <a:cxn ang="0">
                              <a:pos x="14" y="40"/>
                            </a:cxn>
                            <a:cxn ang="0">
                              <a:pos x="21" y="38"/>
                            </a:cxn>
                            <a:cxn ang="0">
                              <a:pos x="28" y="37"/>
                            </a:cxn>
                            <a:cxn ang="0">
                              <a:pos x="37" y="36"/>
                            </a:cxn>
                            <a:cxn ang="0">
                              <a:pos x="56" y="37"/>
                            </a:cxn>
                            <a:cxn ang="0">
                              <a:pos x="77" y="38"/>
                            </a:cxn>
                            <a:cxn ang="0">
                              <a:pos x="97" y="38"/>
                            </a:cxn>
                            <a:cxn ang="0">
                              <a:pos x="127" y="39"/>
                            </a:cxn>
                            <a:cxn ang="0">
                              <a:pos x="165" y="39"/>
                            </a:cxn>
                            <a:cxn ang="0">
                              <a:pos x="226" y="39"/>
                            </a:cxn>
                            <a:cxn ang="0">
                              <a:pos x="288" y="40"/>
                            </a:cxn>
                            <a:cxn ang="0">
                              <a:pos x="317" y="40"/>
                            </a:cxn>
                            <a:cxn ang="0">
                              <a:pos x="371" y="40"/>
                            </a:cxn>
                            <a:cxn ang="0">
                              <a:pos x="426" y="40"/>
                            </a:cxn>
                            <a:cxn ang="0">
                              <a:pos x="467" y="41"/>
                            </a:cxn>
                            <a:cxn ang="0">
                              <a:pos x="497" y="41"/>
                            </a:cxn>
                            <a:cxn ang="0">
                              <a:pos x="533" y="41"/>
                            </a:cxn>
                            <a:cxn ang="0">
                              <a:pos x="563" y="41"/>
                            </a:cxn>
                            <a:cxn ang="0">
                              <a:pos x="608" y="41"/>
                            </a:cxn>
                            <a:cxn ang="0">
                              <a:pos x="642" y="41"/>
                            </a:cxn>
                            <a:cxn ang="0">
                              <a:pos x="679" y="41"/>
                            </a:cxn>
                            <a:cxn ang="0">
                              <a:pos x="716" y="41"/>
                            </a:cxn>
                            <a:cxn ang="0">
                              <a:pos x="772" y="40"/>
                            </a:cxn>
                            <a:cxn ang="0">
                              <a:pos x="835" y="40"/>
                            </a:cxn>
                            <a:cxn ang="0">
                              <a:pos x="895" y="39"/>
                            </a:cxn>
                            <a:cxn ang="0">
                              <a:pos x="930" y="39"/>
                            </a:cxn>
                            <a:cxn ang="0">
                              <a:pos x="958" y="39"/>
                            </a:cxn>
                            <a:cxn ang="0">
                              <a:pos x="989" y="39"/>
                            </a:cxn>
                            <a:cxn ang="0">
                              <a:pos x="1034" y="38"/>
                            </a:cxn>
                            <a:cxn ang="0">
                              <a:pos x="1078" y="38"/>
                            </a:cxn>
                            <a:cxn ang="0">
                              <a:pos x="1123" y="38"/>
                            </a:cxn>
                            <a:cxn ang="0">
                              <a:pos x="1150" y="37"/>
                            </a:cxn>
                            <a:cxn ang="0">
                              <a:pos x="1176" y="37"/>
                            </a:cxn>
                            <a:cxn ang="0">
                              <a:pos x="1214" y="36"/>
                            </a:cxn>
                            <a:cxn ang="0">
                              <a:pos x="1244" y="35"/>
                            </a:cxn>
                            <a:cxn ang="0">
                              <a:pos x="1264" y="35"/>
                            </a:cxn>
                            <a:cxn ang="0">
                              <a:pos x="1294" y="34"/>
                            </a:cxn>
                            <a:cxn ang="0">
                              <a:pos x="1312" y="33"/>
                            </a:cxn>
                            <a:cxn ang="0">
                              <a:pos x="1341" y="33"/>
                            </a:cxn>
                            <a:cxn ang="0">
                              <a:pos x="1357" y="33"/>
                            </a:cxn>
                            <a:cxn ang="0">
                              <a:pos x="1379" y="32"/>
                            </a:cxn>
                            <a:cxn ang="0">
                              <a:pos x="1404" y="31"/>
                            </a:cxn>
                            <a:cxn ang="0">
                              <a:pos x="1428" y="30"/>
                            </a:cxn>
                            <a:cxn ang="0">
                              <a:pos x="1444" y="29"/>
                            </a:cxn>
                            <a:cxn ang="0">
                              <a:pos x="1454" y="28"/>
                            </a:cxn>
                            <a:cxn ang="0">
                              <a:pos x="1459" y="27"/>
                            </a:cxn>
                            <a:cxn ang="0">
                              <a:pos x="1464" y="25"/>
                            </a:cxn>
                            <a:cxn ang="0">
                              <a:pos x="1468" y="23"/>
                            </a:cxn>
                            <a:cxn ang="0">
                              <a:pos x="1471" y="20"/>
                            </a:cxn>
                            <a:cxn ang="0">
                              <a:pos x="1473" y="18"/>
                            </a:cxn>
                            <a:cxn ang="0">
                              <a:pos x="1477" y="12"/>
                            </a:cxn>
                            <a:cxn ang="0">
                              <a:pos x="1483" y="5"/>
                            </a:cxn>
                            <a:cxn ang="0">
                              <a:pos x="1487" y="2"/>
                            </a:cxn>
                            <a:cxn ang="0">
                              <a:pos x="1491" y="0"/>
                            </a:cxn>
                            <a:cxn ang="0">
                              <a:pos x="1496" y="2"/>
                            </a:cxn>
                            <a:cxn ang="0">
                              <a:pos x="1502" y="6"/>
                            </a:cxn>
                            <a:cxn ang="0">
                              <a:pos x="1513" y="13"/>
                            </a:cxn>
                            <a:cxn ang="0">
                              <a:pos x="1517" y="16"/>
                            </a:cxn>
                            <a:cxn ang="0">
                              <a:pos x="1525" y="19"/>
                            </a:cxn>
                            <a:cxn ang="0">
                              <a:pos x="1536" y="22"/>
                            </a:cxn>
                          </a:cxnLst>
                          <a:rect l="0" t="0" r="r" b="b"/>
                          <a:pathLst>
                            <a:path w="1548" h="43">
                              <a:moveTo>
                                <a:pt x="0" y="42"/>
                              </a:moveTo>
                              <a:lnTo>
                                <a:pt x="0" y="43"/>
                              </a:lnTo>
                              <a:lnTo>
                                <a:pt x="1" y="43"/>
                              </a:lnTo>
                              <a:lnTo>
                                <a:pt x="1" y="43"/>
                              </a:lnTo>
                              <a:lnTo>
                                <a:pt x="1" y="43"/>
                              </a:lnTo>
                              <a:lnTo>
                                <a:pt x="1" y="43"/>
                              </a:lnTo>
                              <a:lnTo>
                                <a:pt x="2" y="43"/>
                              </a:lnTo>
                              <a:lnTo>
                                <a:pt x="2" y="43"/>
                              </a:lnTo>
                              <a:lnTo>
                                <a:pt x="2" y="43"/>
                              </a:lnTo>
                              <a:lnTo>
                                <a:pt x="3" y="43"/>
                              </a:lnTo>
                              <a:lnTo>
                                <a:pt x="3" y="43"/>
                              </a:lnTo>
                              <a:lnTo>
                                <a:pt x="3" y="43"/>
                              </a:lnTo>
                              <a:lnTo>
                                <a:pt x="4" y="43"/>
                              </a:lnTo>
                              <a:lnTo>
                                <a:pt x="4" y="43"/>
                              </a:lnTo>
                              <a:lnTo>
                                <a:pt x="4" y="43"/>
                              </a:lnTo>
                              <a:lnTo>
                                <a:pt x="5" y="43"/>
                              </a:lnTo>
                              <a:lnTo>
                                <a:pt x="5" y="43"/>
                              </a:lnTo>
                              <a:lnTo>
                                <a:pt x="5" y="43"/>
                              </a:lnTo>
                              <a:lnTo>
                                <a:pt x="6" y="43"/>
                              </a:lnTo>
                              <a:lnTo>
                                <a:pt x="6" y="43"/>
                              </a:lnTo>
                              <a:lnTo>
                                <a:pt x="7" y="42"/>
                              </a:lnTo>
                              <a:lnTo>
                                <a:pt x="7" y="42"/>
                              </a:lnTo>
                              <a:lnTo>
                                <a:pt x="7" y="42"/>
                              </a:lnTo>
                              <a:lnTo>
                                <a:pt x="8" y="42"/>
                              </a:lnTo>
                              <a:lnTo>
                                <a:pt x="8" y="42"/>
                              </a:lnTo>
                              <a:lnTo>
                                <a:pt x="9" y="42"/>
                              </a:lnTo>
                              <a:lnTo>
                                <a:pt x="9" y="41"/>
                              </a:lnTo>
                              <a:lnTo>
                                <a:pt x="10" y="41"/>
                              </a:lnTo>
                              <a:lnTo>
                                <a:pt x="11" y="41"/>
                              </a:lnTo>
                              <a:lnTo>
                                <a:pt x="12" y="41"/>
                              </a:lnTo>
                              <a:lnTo>
                                <a:pt x="13" y="40"/>
                              </a:lnTo>
                              <a:lnTo>
                                <a:pt x="14" y="40"/>
                              </a:lnTo>
                              <a:lnTo>
                                <a:pt x="15" y="39"/>
                              </a:lnTo>
                              <a:lnTo>
                                <a:pt x="16" y="39"/>
                              </a:lnTo>
                              <a:lnTo>
                                <a:pt x="17" y="38"/>
                              </a:lnTo>
                              <a:lnTo>
                                <a:pt x="18" y="38"/>
                              </a:lnTo>
                              <a:lnTo>
                                <a:pt x="19" y="38"/>
                              </a:lnTo>
                              <a:lnTo>
                                <a:pt x="20" y="38"/>
                              </a:lnTo>
                              <a:lnTo>
                                <a:pt x="21" y="38"/>
                              </a:lnTo>
                              <a:lnTo>
                                <a:pt x="21" y="38"/>
                              </a:lnTo>
                              <a:lnTo>
                                <a:pt x="22" y="37"/>
                              </a:lnTo>
                              <a:lnTo>
                                <a:pt x="23" y="37"/>
                              </a:lnTo>
                              <a:lnTo>
                                <a:pt x="24" y="37"/>
                              </a:lnTo>
                              <a:lnTo>
                                <a:pt x="25" y="37"/>
                              </a:lnTo>
                              <a:lnTo>
                                <a:pt x="26" y="37"/>
                              </a:lnTo>
                              <a:lnTo>
                                <a:pt x="27" y="37"/>
                              </a:lnTo>
                              <a:lnTo>
                                <a:pt x="28" y="37"/>
                              </a:lnTo>
                              <a:lnTo>
                                <a:pt x="28" y="37"/>
                              </a:lnTo>
                              <a:lnTo>
                                <a:pt x="29" y="37"/>
                              </a:lnTo>
                              <a:lnTo>
                                <a:pt x="30" y="37"/>
                              </a:lnTo>
                              <a:lnTo>
                                <a:pt x="31" y="37"/>
                              </a:lnTo>
                              <a:lnTo>
                                <a:pt x="32" y="37"/>
                              </a:lnTo>
                              <a:lnTo>
                                <a:pt x="33" y="37"/>
                              </a:lnTo>
                              <a:lnTo>
                                <a:pt x="35" y="37"/>
                              </a:lnTo>
                              <a:lnTo>
                                <a:pt x="36" y="36"/>
                              </a:lnTo>
                              <a:lnTo>
                                <a:pt x="37" y="36"/>
                              </a:lnTo>
                              <a:lnTo>
                                <a:pt x="38" y="36"/>
                              </a:lnTo>
                              <a:lnTo>
                                <a:pt x="40" y="37"/>
                              </a:lnTo>
                              <a:lnTo>
                                <a:pt x="41" y="37"/>
                              </a:lnTo>
                              <a:lnTo>
                                <a:pt x="43" y="37"/>
                              </a:lnTo>
                              <a:lnTo>
                                <a:pt x="45" y="37"/>
                              </a:lnTo>
                              <a:lnTo>
                                <a:pt x="47" y="37"/>
                              </a:lnTo>
                              <a:lnTo>
                                <a:pt x="51" y="37"/>
                              </a:lnTo>
                              <a:lnTo>
                                <a:pt x="56" y="37"/>
                              </a:lnTo>
                              <a:lnTo>
                                <a:pt x="60" y="37"/>
                              </a:lnTo>
                              <a:lnTo>
                                <a:pt x="63" y="38"/>
                              </a:lnTo>
                              <a:lnTo>
                                <a:pt x="65" y="38"/>
                              </a:lnTo>
                              <a:lnTo>
                                <a:pt x="67" y="38"/>
                              </a:lnTo>
                              <a:lnTo>
                                <a:pt x="70" y="38"/>
                              </a:lnTo>
                              <a:lnTo>
                                <a:pt x="73" y="38"/>
                              </a:lnTo>
                              <a:lnTo>
                                <a:pt x="75" y="38"/>
                              </a:lnTo>
                              <a:lnTo>
                                <a:pt x="77" y="38"/>
                              </a:lnTo>
                              <a:lnTo>
                                <a:pt x="80" y="38"/>
                              </a:lnTo>
                              <a:lnTo>
                                <a:pt x="83" y="38"/>
                              </a:lnTo>
                              <a:lnTo>
                                <a:pt x="85" y="38"/>
                              </a:lnTo>
                              <a:lnTo>
                                <a:pt x="88" y="38"/>
                              </a:lnTo>
                              <a:lnTo>
                                <a:pt x="90" y="38"/>
                              </a:lnTo>
                              <a:lnTo>
                                <a:pt x="92" y="38"/>
                              </a:lnTo>
                              <a:lnTo>
                                <a:pt x="95" y="38"/>
                              </a:lnTo>
                              <a:lnTo>
                                <a:pt x="97" y="38"/>
                              </a:lnTo>
                              <a:lnTo>
                                <a:pt x="100" y="38"/>
                              </a:lnTo>
                              <a:lnTo>
                                <a:pt x="104" y="38"/>
                              </a:lnTo>
                              <a:lnTo>
                                <a:pt x="107" y="38"/>
                              </a:lnTo>
                              <a:lnTo>
                                <a:pt x="110" y="39"/>
                              </a:lnTo>
                              <a:lnTo>
                                <a:pt x="114" y="39"/>
                              </a:lnTo>
                              <a:lnTo>
                                <a:pt x="118" y="39"/>
                              </a:lnTo>
                              <a:lnTo>
                                <a:pt x="123" y="39"/>
                              </a:lnTo>
                              <a:lnTo>
                                <a:pt x="127" y="39"/>
                              </a:lnTo>
                              <a:lnTo>
                                <a:pt x="130" y="39"/>
                              </a:lnTo>
                              <a:lnTo>
                                <a:pt x="133" y="39"/>
                              </a:lnTo>
                              <a:lnTo>
                                <a:pt x="136" y="39"/>
                              </a:lnTo>
                              <a:lnTo>
                                <a:pt x="139" y="39"/>
                              </a:lnTo>
                              <a:lnTo>
                                <a:pt x="144" y="39"/>
                              </a:lnTo>
                              <a:lnTo>
                                <a:pt x="151" y="39"/>
                              </a:lnTo>
                              <a:lnTo>
                                <a:pt x="158" y="39"/>
                              </a:lnTo>
                              <a:lnTo>
                                <a:pt x="165" y="39"/>
                              </a:lnTo>
                              <a:lnTo>
                                <a:pt x="172" y="39"/>
                              </a:lnTo>
                              <a:lnTo>
                                <a:pt x="178" y="39"/>
                              </a:lnTo>
                              <a:lnTo>
                                <a:pt x="186" y="39"/>
                              </a:lnTo>
                              <a:lnTo>
                                <a:pt x="195" y="39"/>
                              </a:lnTo>
                              <a:lnTo>
                                <a:pt x="201" y="39"/>
                              </a:lnTo>
                              <a:lnTo>
                                <a:pt x="210" y="39"/>
                              </a:lnTo>
                              <a:lnTo>
                                <a:pt x="219" y="39"/>
                              </a:lnTo>
                              <a:lnTo>
                                <a:pt x="226" y="39"/>
                              </a:lnTo>
                              <a:lnTo>
                                <a:pt x="233" y="39"/>
                              </a:lnTo>
                              <a:lnTo>
                                <a:pt x="240" y="39"/>
                              </a:lnTo>
                              <a:lnTo>
                                <a:pt x="248" y="39"/>
                              </a:lnTo>
                              <a:lnTo>
                                <a:pt x="258" y="39"/>
                              </a:lnTo>
                              <a:lnTo>
                                <a:pt x="266" y="39"/>
                              </a:lnTo>
                              <a:lnTo>
                                <a:pt x="273" y="39"/>
                              </a:lnTo>
                              <a:lnTo>
                                <a:pt x="281" y="40"/>
                              </a:lnTo>
                              <a:lnTo>
                                <a:pt x="288" y="40"/>
                              </a:lnTo>
                              <a:lnTo>
                                <a:pt x="292" y="40"/>
                              </a:lnTo>
                              <a:lnTo>
                                <a:pt x="295" y="40"/>
                              </a:lnTo>
                              <a:lnTo>
                                <a:pt x="298" y="40"/>
                              </a:lnTo>
                              <a:lnTo>
                                <a:pt x="301" y="40"/>
                              </a:lnTo>
                              <a:lnTo>
                                <a:pt x="305" y="40"/>
                              </a:lnTo>
                              <a:lnTo>
                                <a:pt x="309" y="40"/>
                              </a:lnTo>
                              <a:lnTo>
                                <a:pt x="313" y="40"/>
                              </a:lnTo>
                              <a:lnTo>
                                <a:pt x="317" y="40"/>
                              </a:lnTo>
                              <a:lnTo>
                                <a:pt x="321" y="40"/>
                              </a:lnTo>
                              <a:lnTo>
                                <a:pt x="325" y="40"/>
                              </a:lnTo>
                              <a:lnTo>
                                <a:pt x="332" y="40"/>
                              </a:lnTo>
                              <a:lnTo>
                                <a:pt x="338" y="40"/>
                              </a:lnTo>
                              <a:lnTo>
                                <a:pt x="346" y="40"/>
                              </a:lnTo>
                              <a:lnTo>
                                <a:pt x="354" y="40"/>
                              </a:lnTo>
                              <a:lnTo>
                                <a:pt x="362" y="40"/>
                              </a:lnTo>
                              <a:lnTo>
                                <a:pt x="371" y="40"/>
                              </a:lnTo>
                              <a:lnTo>
                                <a:pt x="381" y="40"/>
                              </a:lnTo>
                              <a:lnTo>
                                <a:pt x="391" y="40"/>
                              </a:lnTo>
                              <a:lnTo>
                                <a:pt x="398" y="40"/>
                              </a:lnTo>
                              <a:lnTo>
                                <a:pt x="403" y="40"/>
                              </a:lnTo>
                              <a:lnTo>
                                <a:pt x="409" y="40"/>
                              </a:lnTo>
                              <a:lnTo>
                                <a:pt x="414" y="40"/>
                              </a:lnTo>
                              <a:lnTo>
                                <a:pt x="420" y="40"/>
                              </a:lnTo>
                              <a:lnTo>
                                <a:pt x="426" y="40"/>
                              </a:lnTo>
                              <a:lnTo>
                                <a:pt x="433" y="40"/>
                              </a:lnTo>
                              <a:lnTo>
                                <a:pt x="438" y="41"/>
                              </a:lnTo>
                              <a:lnTo>
                                <a:pt x="444" y="41"/>
                              </a:lnTo>
                              <a:lnTo>
                                <a:pt x="449" y="41"/>
                              </a:lnTo>
                              <a:lnTo>
                                <a:pt x="453" y="41"/>
                              </a:lnTo>
                              <a:lnTo>
                                <a:pt x="458" y="41"/>
                              </a:lnTo>
                              <a:lnTo>
                                <a:pt x="463" y="41"/>
                              </a:lnTo>
                              <a:lnTo>
                                <a:pt x="467" y="41"/>
                              </a:lnTo>
                              <a:lnTo>
                                <a:pt x="470" y="41"/>
                              </a:lnTo>
                              <a:lnTo>
                                <a:pt x="474" y="41"/>
                              </a:lnTo>
                              <a:lnTo>
                                <a:pt x="477" y="41"/>
                              </a:lnTo>
                              <a:lnTo>
                                <a:pt x="481" y="41"/>
                              </a:lnTo>
                              <a:lnTo>
                                <a:pt x="486" y="41"/>
                              </a:lnTo>
                              <a:lnTo>
                                <a:pt x="490" y="41"/>
                              </a:lnTo>
                              <a:lnTo>
                                <a:pt x="494" y="41"/>
                              </a:lnTo>
                              <a:lnTo>
                                <a:pt x="497" y="41"/>
                              </a:lnTo>
                              <a:lnTo>
                                <a:pt x="501" y="41"/>
                              </a:lnTo>
                              <a:lnTo>
                                <a:pt x="504" y="41"/>
                              </a:lnTo>
                              <a:lnTo>
                                <a:pt x="508" y="41"/>
                              </a:lnTo>
                              <a:lnTo>
                                <a:pt x="514" y="41"/>
                              </a:lnTo>
                              <a:lnTo>
                                <a:pt x="518" y="41"/>
                              </a:lnTo>
                              <a:lnTo>
                                <a:pt x="522" y="41"/>
                              </a:lnTo>
                              <a:lnTo>
                                <a:pt x="527" y="41"/>
                              </a:lnTo>
                              <a:lnTo>
                                <a:pt x="533" y="41"/>
                              </a:lnTo>
                              <a:lnTo>
                                <a:pt x="538" y="41"/>
                              </a:lnTo>
                              <a:lnTo>
                                <a:pt x="542" y="41"/>
                              </a:lnTo>
                              <a:lnTo>
                                <a:pt x="546" y="41"/>
                              </a:lnTo>
                              <a:lnTo>
                                <a:pt x="550" y="41"/>
                              </a:lnTo>
                              <a:lnTo>
                                <a:pt x="553" y="41"/>
                              </a:lnTo>
                              <a:lnTo>
                                <a:pt x="556" y="41"/>
                              </a:lnTo>
                              <a:lnTo>
                                <a:pt x="560" y="41"/>
                              </a:lnTo>
                              <a:lnTo>
                                <a:pt x="563" y="41"/>
                              </a:lnTo>
                              <a:lnTo>
                                <a:pt x="568" y="41"/>
                              </a:lnTo>
                              <a:lnTo>
                                <a:pt x="574" y="41"/>
                              </a:lnTo>
                              <a:lnTo>
                                <a:pt x="579" y="41"/>
                              </a:lnTo>
                              <a:lnTo>
                                <a:pt x="584" y="41"/>
                              </a:lnTo>
                              <a:lnTo>
                                <a:pt x="590" y="41"/>
                              </a:lnTo>
                              <a:lnTo>
                                <a:pt x="596" y="41"/>
                              </a:lnTo>
                              <a:lnTo>
                                <a:pt x="603" y="41"/>
                              </a:lnTo>
                              <a:lnTo>
                                <a:pt x="608" y="41"/>
                              </a:lnTo>
                              <a:lnTo>
                                <a:pt x="611" y="41"/>
                              </a:lnTo>
                              <a:lnTo>
                                <a:pt x="614" y="41"/>
                              </a:lnTo>
                              <a:lnTo>
                                <a:pt x="617" y="41"/>
                              </a:lnTo>
                              <a:lnTo>
                                <a:pt x="621" y="41"/>
                              </a:lnTo>
                              <a:lnTo>
                                <a:pt x="626" y="41"/>
                              </a:lnTo>
                              <a:lnTo>
                                <a:pt x="631" y="41"/>
                              </a:lnTo>
                              <a:lnTo>
                                <a:pt x="637" y="41"/>
                              </a:lnTo>
                              <a:lnTo>
                                <a:pt x="642" y="41"/>
                              </a:lnTo>
                              <a:lnTo>
                                <a:pt x="646" y="41"/>
                              </a:lnTo>
                              <a:lnTo>
                                <a:pt x="649" y="41"/>
                              </a:lnTo>
                              <a:lnTo>
                                <a:pt x="653" y="41"/>
                              </a:lnTo>
                              <a:lnTo>
                                <a:pt x="658" y="41"/>
                              </a:lnTo>
                              <a:lnTo>
                                <a:pt x="665" y="41"/>
                              </a:lnTo>
                              <a:lnTo>
                                <a:pt x="670" y="41"/>
                              </a:lnTo>
                              <a:lnTo>
                                <a:pt x="674" y="41"/>
                              </a:lnTo>
                              <a:lnTo>
                                <a:pt x="679" y="41"/>
                              </a:lnTo>
                              <a:lnTo>
                                <a:pt x="684" y="41"/>
                              </a:lnTo>
                              <a:lnTo>
                                <a:pt x="688" y="41"/>
                              </a:lnTo>
                              <a:lnTo>
                                <a:pt x="691" y="41"/>
                              </a:lnTo>
                              <a:lnTo>
                                <a:pt x="695" y="41"/>
                              </a:lnTo>
                              <a:lnTo>
                                <a:pt x="699" y="41"/>
                              </a:lnTo>
                              <a:lnTo>
                                <a:pt x="703" y="41"/>
                              </a:lnTo>
                              <a:lnTo>
                                <a:pt x="709" y="41"/>
                              </a:lnTo>
                              <a:lnTo>
                                <a:pt x="716" y="41"/>
                              </a:lnTo>
                              <a:lnTo>
                                <a:pt x="722" y="41"/>
                              </a:lnTo>
                              <a:lnTo>
                                <a:pt x="730" y="41"/>
                              </a:lnTo>
                              <a:lnTo>
                                <a:pt x="738" y="41"/>
                              </a:lnTo>
                              <a:lnTo>
                                <a:pt x="745" y="41"/>
                              </a:lnTo>
                              <a:lnTo>
                                <a:pt x="752" y="41"/>
                              </a:lnTo>
                              <a:lnTo>
                                <a:pt x="759" y="41"/>
                              </a:lnTo>
                              <a:lnTo>
                                <a:pt x="766" y="41"/>
                              </a:lnTo>
                              <a:lnTo>
                                <a:pt x="772" y="40"/>
                              </a:lnTo>
                              <a:lnTo>
                                <a:pt x="779" y="40"/>
                              </a:lnTo>
                              <a:lnTo>
                                <a:pt x="784" y="40"/>
                              </a:lnTo>
                              <a:lnTo>
                                <a:pt x="791" y="40"/>
                              </a:lnTo>
                              <a:lnTo>
                                <a:pt x="797" y="40"/>
                              </a:lnTo>
                              <a:lnTo>
                                <a:pt x="804" y="40"/>
                              </a:lnTo>
                              <a:lnTo>
                                <a:pt x="813" y="40"/>
                              </a:lnTo>
                              <a:lnTo>
                                <a:pt x="824" y="40"/>
                              </a:lnTo>
                              <a:lnTo>
                                <a:pt x="835" y="40"/>
                              </a:lnTo>
                              <a:lnTo>
                                <a:pt x="844" y="40"/>
                              </a:lnTo>
                              <a:lnTo>
                                <a:pt x="853" y="40"/>
                              </a:lnTo>
                              <a:lnTo>
                                <a:pt x="859" y="40"/>
                              </a:lnTo>
                              <a:lnTo>
                                <a:pt x="865" y="40"/>
                              </a:lnTo>
                              <a:lnTo>
                                <a:pt x="872" y="40"/>
                              </a:lnTo>
                              <a:lnTo>
                                <a:pt x="879" y="40"/>
                              </a:lnTo>
                              <a:lnTo>
                                <a:pt x="887" y="39"/>
                              </a:lnTo>
                              <a:lnTo>
                                <a:pt x="895" y="39"/>
                              </a:lnTo>
                              <a:lnTo>
                                <a:pt x="902" y="39"/>
                              </a:lnTo>
                              <a:lnTo>
                                <a:pt x="906" y="39"/>
                              </a:lnTo>
                              <a:lnTo>
                                <a:pt x="908" y="39"/>
                              </a:lnTo>
                              <a:lnTo>
                                <a:pt x="913" y="39"/>
                              </a:lnTo>
                              <a:lnTo>
                                <a:pt x="918" y="39"/>
                              </a:lnTo>
                              <a:lnTo>
                                <a:pt x="922" y="39"/>
                              </a:lnTo>
                              <a:lnTo>
                                <a:pt x="926" y="39"/>
                              </a:lnTo>
                              <a:lnTo>
                                <a:pt x="930" y="39"/>
                              </a:lnTo>
                              <a:lnTo>
                                <a:pt x="934" y="39"/>
                              </a:lnTo>
                              <a:lnTo>
                                <a:pt x="939" y="39"/>
                              </a:lnTo>
                              <a:lnTo>
                                <a:pt x="943" y="39"/>
                              </a:lnTo>
                              <a:lnTo>
                                <a:pt x="946" y="39"/>
                              </a:lnTo>
                              <a:lnTo>
                                <a:pt x="949" y="39"/>
                              </a:lnTo>
                              <a:lnTo>
                                <a:pt x="952" y="39"/>
                              </a:lnTo>
                              <a:lnTo>
                                <a:pt x="954" y="39"/>
                              </a:lnTo>
                              <a:lnTo>
                                <a:pt x="958" y="39"/>
                              </a:lnTo>
                              <a:lnTo>
                                <a:pt x="961" y="39"/>
                              </a:lnTo>
                              <a:lnTo>
                                <a:pt x="965" y="39"/>
                              </a:lnTo>
                              <a:lnTo>
                                <a:pt x="970" y="39"/>
                              </a:lnTo>
                              <a:lnTo>
                                <a:pt x="975" y="39"/>
                              </a:lnTo>
                              <a:lnTo>
                                <a:pt x="978" y="39"/>
                              </a:lnTo>
                              <a:lnTo>
                                <a:pt x="982" y="39"/>
                              </a:lnTo>
                              <a:lnTo>
                                <a:pt x="986" y="39"/>
                              </a:lnTo>
                              <a:lnTo>
                                <a:pt x="989" y="39"/>
                              </a:lnTo>
                              <a:lnTo>
                                <a:pt x="993" y="39"/>
                              </a:lnTo>
                              <a:lnTo>
                                <a:pt x="997" y="39"/>
                              </a:lnTo>
                              <a:lnTo>
                                <a:pt x="1001" y="39"/>
                              </a:lnTo>
                              <a:lnTo>
                                <a:pt x="1006" y="38"/>
                              </a:lnTo>
                              <a:lnTo>
                                <a:pt x="1013" y="38"/>
                              </a:lnTo>
                              <a:lnTo>
                                <a:pt x="1019" y="38"/>
                              </a:lnTo>
                              <a:lnTo>
                                <a:pt x="1026" y="38"/>
                              </a:lnTo>
                              <a:lnTo>
                                <a:pt x="1034" y="38"/>
                              </a:lnTo>
                              <a:lnTo>
                                <a:pt x="1041" y="38"/>
                              </a:lnTo>
                              <a:lnTo>
                                <a:pt x="1045" y="38"/>
                              </a:lnTo>
                              <a:lnTo>
                                <a:pt x="1050" y="38"/>
                              </a:lnTo>
                              <a:lnTo>
                                <a:pt x="1057" y="38"/>
                              </a:lnTo>
                              <a:lnTo>
                                <a:pt x="1063" y="38"/>
                              </a:lnTo>
                              <a:lnTo>
                                <a:pt x="1068" y="38"/>
                              </a:lnTo>
                              <a:lnTo>
                                <a:pt x="1073" y="38"/>
                              </a:lnTo>
                              <a:lnTo>
                                <a:pt x="1078" y="38"/>
                              </a:lnTo>
                              <a:lnTo>
                                <a:pt x="1084" y="38"/>
                              </a:lnTo>
                              <a:lnTo>
                                <a:pt x="1092" y="38"/>
                              </a:lnTo>
                              <a:lnTo>
                                <a:pt x="1099" y="38"/>
                              </a:lnTo>
                              <a:lnTo>
                                <a:pt x="1104" y="38"/>
                              </a:lnTo>
                              <a:lnTo>
                                <a:pt x="1109" y="38"/>
                              </a:lnTo>
                              <a:lnTo>
                                <a:pt x="1114" y="38"/>
                              </a:lnTo>
                              <a:lnTo>
                                <a:pt x="1119" y="38"/>
                              </a:lnTo>
                              <a:lnTo>
                                <a:pt x="1123" y="38"/>
                              </a:lnTo>
                              <a:lnTo>
                                <a:pt x="1126" y="38"/>
                              </a:lnTo>
                              <a:lnTo>
                                <a:pt x="1128" y="38"/>
                              </a:lnTo>
                              <a:lnTo>
                                <a:pt x="1131" y="38"/>
                              </a:lnTo>
                              <a:lnTo>
                                <a:pt x="1134" y="38"/>
                              </a:lnTo>
                              <a:lnTo>
                                <a:pt x="1138" y="38"/>
                              </a:lnTo>
                              <a:lnTo>
                                <a:pt x="1142" y="37"/>
                              </a:lnTo>
                              <a:lnTo>
                                <a:pt x="1146" y="37"/>
                              </a:lnTo>
                              <a:lnTo>
                                <a:pt x="1150" y="37"/>
                              </a:lnTo>
                              <a:lnTo>
                                <a:pt x="1154" y="37"/>
                              </a:lnTo>
                              <a:lnTo>
                                <a:pt x="1159" y="37"/>
                              </a:lnTo>
                              <a:lnTo>
                                <a:pt x="1163" y="37"/>
                              </a:lnTo>
                              <a:lnTo>
                                <a:pt x="1166" y="37"/>
                              </a:lnTo>
                              <a:lnTo>
                                <a:pt x="1168" y="37"/>
                              </a:lnTo>
                              <a:lnTo>
                                <a:pt x="1171" y="37"/>
                              </a:lnTo>
                              <a:lnTo>
                                <a:pt x="1173" y="37"/>
                              </a:lnTo>
                              <a:lnTo>
                                <a:pt x="1176" y="37"/>
                              </a:lnTo>
                              <a:lnTo>
                                <a:pt x="1179" y="37"/>
                              </a:lnTo>
                              <a:lnTo>
                                <a:pt x="1183" y="37"/>
                              </a:lnTo>
                              <a:lnTo>
                                <a:pt x="1190" y="37"/>
                              </a:lnTo>
                              <a:lnTo>
                                <a:pt x="1198" y="37"/>
                              </a:lnTo>
                              <a:lnTo>
                                <a:pt x="1203" y="37"/>
                              </a:lnTo>
                              <a:lnTo>
                                <a:pt x="1208" y="36"/>
                              </a:lnTo>
                              <a:lnTo>
                                <a:pt x="1211" y="36"/>
                              </a:lnTo>
                              <a:lnTo>
                                <a:pt x="1214" y="36"/>
                              </a:lnTo>
                              <a:lnTo>
                                <a:pt x="1216" y="36"/>
                              </a:lnTo>
                              <a:lnTo>
                                <a:pt x="1218" y="36"/>
                              </a:lnTo>
                              <a:lnTo>
                                <a:pt x="1222" y="36"/>
                              </a:lnTo>
                              <a:lnTo>
                                <a:pt x="1225" y="36"/>
                              </a:lnTo>
                              <a:lnTo>
                                <a:pt x="1229" y="36"/>
                              </a:lnTo>
                              <a:lnTo>
                                <a:pt x="1234" y="35"/>
                              </a:lnTo>
                              <a:lnTo>
                                <a:pt x="1240" y="35"/>
                              </a:lnTo>
                              <a:lnTo>
                                <a:pt x="1244" y="35"/>
                              </a:lnTo>
                              <a:lnTo>
                                <a:pt x="1247" y="35"/>
                              </a:lnTo>
                              <a:lnTo>
                                <a:pt x="1251" y="35"/>
                              </a:lnTo>
                              <a:lnTo>
                                <a:pt x="1254" y="35"/>
                              </a:lnTo>
                              <a:lnTo>
                                <a:pt x="1255" y="35"/>
                              </a:lnTo>
                              <a:lnTo>
                                <a:pt x="1257" y="35"/>
                              </a:lnTo>
                              <a:lnTo>
                                <a:pt x="1259" y="35"/>
                              </a:lnTo>
                              <a:lnTo>
                                <a:pt x="1261" y="35"/>
                              </a:lnTo>
                              <a:lnTo>
                                <a:pt x="1264" y="35"/>
                              </a:lnTo>
                              <a:lnTo>
                                <a:pt x="1267" y="35"/>
                              </a:lnTo>
                              <a:lnTo>
                                <a:pt x="1269" y="35"/>
                              </a:lnTo>
                              <a:lnTo>
                                <a:pt x="1273" y="34"/>
                              </a:lnTo>
                              <a:lnTo>
                                <a:pt x="1277" y="34"/>
                              </a:lnTo>
                              <a:lnTo>
                                <a:pt x="1282" y="34"/>
                              </a:lnTo>
                              <a:lnTo>
                                <a:pt x="1286" y="34"/>
                              </a:lnTo>
                              <a:lnTo>
                                <a:pt x="1290" y="34"/>
                              </a:lnTo>
                              <a:lnTo>
                                <a:pt x="1294" y="34"/>
                              </a:lnTo>
                              <a:lnTo>
                                <a:pt x="1297" y="34"/>
                              </a:lnTo>
                              <a:lnTo>
                                <a:pt x="1298" y="34"/>
                              </a:lnTo>
                              <a:lnTo>
                                <a:pt x="1300" y="34"/>
                              </a:lnTo>
                              <a:lnTo>
                                <a:pt x="1301" y="34"/>
                              </a:lnTo>
                              <a:lnTo>
                                <a:pt x="1302" y="34"/>
                              </a:lnTo>
                              <a:lnTo>
                                <a:pt x="1305" y="34"/>
                              </a:lnTo>
                              <a:lnTo>
                                <a:pt x="1308" y="33"/>
                              </a:lnTo>
                              <a:lnTo>
                                <a:pt x="1312" y="33"/>
                              </a:lnTo>
                              <a:lnTo>
                                <a:pt x="1316" y="33"/>
                              </a:lnTo>
                              <a:lnTo>
                                <a:pt x="1320" y="33"/>
                              </a:lnTo>
                              <a:lnTo>
                                <a:pt x="1323" y="33"/>
                              </a:lnTo>
                              <a:lnTo>
                                <a:pt x="1327" y="33"/>
                              </a:lnTo>
                              <a:lnTo>
                                <a:pt x="1330" y="33"/>
                              </a:lnTo>
                              <a:lnTo>
                                <a:pt x="1334" y="33"/>
                              </a:lnTo>
                              <a:lnTo>
                                <a:pt x="1338" y="33"/>
                              </a:lnTo>
                              <a:lnTo>
                                <a:pt x="1341" y="33"/>
                              </a:lnTo>
                              <a:lnTo>
                                <a:pt x="1343" y="33"/>
                              </a:lnTo>
                              <a:lnTo>
                                <a:pt x="1346" y="33"/>
                              </a:lnTo>
                              <a:lnTo>
                                <a:pt x="1348" y="33"/>
                              </a:lnTo>
                              <a:lnTo>
                                <a:pt x="1350" y="33"/>
                              </a:lnTo>
                              <a:lnTo>
                                <a:pt x="1351" y="33"/>
                              </a:lnTo>
                              <a:lnTo>
                                <a:pt x="1353" y="33"/>
                              </a:lnTo>
                              <a:lnTo>
                                <a:pt x="1355" y="33"/>
                              </a:lnTo>
                              <a:lnTo>
                                <a:pt x="1357" y="33"/>
                              </a:lnTo>
                              <a:lnTo>
                                <a:pt x="1359" y="33"/>
                              </a:lnTo>
                              <a:lnTo>
                                <a:pt x="1361" y="33"/>
                              </a:lnTo>
                              <a:lnTo>
                                <a:pt x="1363" y="32"/>
                              </a:lnTo>
                              <a:lnTo>
                                <a:pt x="1366" y="32"/>
                              </a:lnTo>
                              <a:lnTo>
                                <a:pt x="1369" y="32"/>
                              </a:lnTo>
                              <a:lnTo>
                                <a:pt x="1373" y="32"/>
                              </a:lnTo>
                              <a:lnTo>
                                <a:pt x="1376" y="32"/>
                              </a:lnTo>
                              <a:lnTo>
                                <a:pt x="1379" y="32"/>
                              </a:lnTo>
                              <a:lnTo>
                                <a:pt x="1382" y="31"/>
                              </a:lnTo>
                              <a:lnTo>
                                <a:pt x="1385" y="31"/>
                              </a:lnTo>
                              <a:lnTo>
                                <a:pt x="1387" y="31"/>
                              </a:lnTo>
                              <a:lnTo>
                                <a:pt x="1388" y="31"/>
                              </a:lnTo>
                              <a:lnTo>
                                <a:pt x="1392" y="31"/>
                              </a:lnTo>
                              <a:lnTo>
                                <a:pt x="1396" y="31"/>
                              </a:lnTo>
                              <a:lnTo>
                                <a:pt x="1400" y="31"/>
                              </a:lnTo>
                              <a:lnTo>
                                <a:pt x="1404" y="31"/>
                              </a:lnTo>
                              <a:lnTo>
                                <a:pt x="1408" y="31"/>
                              </a:lnTo>
                              <a:lnTo>
                                <a:pt x="1411" y="31"/>
                              </a:lnTo>
                              <a:lnTo>
                                <a:pt x="1416" y="30"/>
                              </a:lnTo>
                              <a:lnTo>
                                <a:pt x="1420" y="30"/>
                              </a:lnTo>
                              <a:lnTo>
                                <a:pt x="1423" y="30"/>
                              </a:lnTo>
                              <a:lnTo>
                                <a:pt x="1425" y="30"/>
                              </a:lnTo>
                              <a:lnTo>
                                <a:pt x="1427" y="30"/>
                              </a:lnTo>
                              <a:lnTo>
                                <a:pt x="1428" y="30"/>
                              </a:lnTo>
                              <a:lnTo>
                                <a:pt x="1430" y="30"/>
                              </a:lnTo>
                              <a:lnTo>
                                <a:pt x="1431" y="30"/>
                              </a:lnTo>
                              <a:lnTo>
                                <a:pt x="1432" y="30"/>
                              </a:lnTo>
                              <a:lnTo>
                                <a:pt x="1433" y="30"/>
                              </a:lnTo>
                              <a:lnTo>
                                <a:pt x="1435" y="30"/>
                              </a:lnTo>
                              <a:lnTo>
                                <a:pt x="1437" y="30"/>
                              </a:lnTo>
                              <a:lnTo>
                                <a:pt x="1440" y="29"/>
                              </a:lnTo>
                              <a:lnTo>
                                <a:pt x="1444" y="29"/>
                              </a:lnTo>
                              <a:lnTo>
                                <a:pt x="1446" y="29"/>
                              </a:lnTo>
                              <a:lnTo>
                                <a:pt x="1448" y="29"/>
                              </a:lnTo>
                              <a:lnTo>
                                <a:pt x="1449" y="29"/>
                              </a:lnTo>
                              <a:lnTo>
                                <a:pt x="1450" y="29"/>
                              </a:lnTo>
                              <a:lnTo>
                                <a:pt x="1451" y="28"/>
                              </a:lnTo>
                              <a:lnTo>
                                <a:pt x="1452" y="28"/>
                              </a:lnTo>
                              <a:lnTo>
                                <a:pt x="1453" y="28"/>
                              </a:lnTo>
                              <a:lnTo>
                                <a:pt x="1454" y="28"/>
                              </a:lnTo>
                              <a:lnTo>
                                <a:pt x="1455" y="28"/>
                              </a:lnTo>
                              <a:lnTo>
                                <a:pt x="1455" y="28"/>
                              </a:lnTo>
                              <a:lnTo>
                                <a:pt x="1456" y="28"/>
                              </a:lnTo>
                              <a:lnTo>
                                <a:pt x="1457" y="28"/>
                              </a:lnTo>
                              <a:lnTo>
                                <a:pt x="1457" y="28"/>
                              </a:lnTo>
                              <a:lnTo>
                                <a:pt x="1458" y="27"/>
                              </a:lnTo>
                              <a:lnTo>
                                <a:pt x="1459" y="27"/>
                              </a:lnTo>
                              <a:lnTo>
                                <a:pt x="1459" y="27"/>
                              </a:lnTo>
                              <a:lnTo>
                                <a:pt x="1460" y="27"/>
                              </a:lnTo>
                              <a:lnTo>
                                <a:pt x="1460" y="27"/>
                              </a:lnTo>
                              <a:lnTo>
                                <a:pt x="1461" y="27"/>
                              </a:lnTo>
                              <a:lnTo>
                                <a:pt x="1462" y="26"/>
                              </a:lnTo>
                              <a:lnTo>
                                <a:pt x="1462" y="26"/>
                              </a:lnTo>
                              <a:lnTo>
                                <a:pt x="1463" y="26"/>
                              </a:lnTo>
                              <a:lnTo>
                                <a:pt x="1463" y="26"/>
                              </a:lnTo>
                              <a:lnTo>
                                <a:pt x="1464" y="25"/>
                              </a:lnTo>
                              <a:lnTo>
                                <a:pt x="1464" y="25"/>
                              </a:lnTo>
                              <a:lnTo>
                                <a:pt x="1465" y="25"/>
                              </a:lnTo>
                              <a:lnTo>
                                <a:pt x="1465" y="25"/>
                              </a:lnTo>
                              <a:lnTo>
                                <a:pt x="1466" y="24"/>
                              </a:lnTo>
                              <a:lnTo>
                                <a:pt x="1466" y="24"/>
                              </a:lnTo>
                              <a:lnTo>
                                <a:pt x="1467" y="24"/>
                              </a:lnTo>
                              <a:lnTo>
                                <a:pt x="1467" y="23"/>
                              </a:lnTo>
                              <a:lnTo>
                                <a:pt x="1468" y="23"/>
                              </a:lnTo>
                              <a:lnTo>
                                <a:pt x="1468" y="23"/>
                              </a:lnTo>
                              <a:lnTo>
                                <a:pt x="1469" y="22"/>
                              </a:lnTo>
                              <a:lnTo>
                                <a:pt x="1469" y="22"/>
                              </a:lnTo>
                              <a:lnTo>
                                <a:pt x="1469" y="21"/>
                              </a:lnTo>
                              <a:lnTo>
                                <a:pt x="1470" y="21"/>
                              </a:lnTo>
                              <a:lnTo>
                                <a:pt x="1470" y="21"/>
                              </a:lnTo>
                              <a:lnTo>
                                <a:pt x="1470" y="20"/>
                              </a:lnTo>
                              <a:lnTo>
                                <a:pt x="1471" y="20"/>
                              </a:lnTo>
                              <a:lnTo>
                                <a:pt x="1471" y="20"/>
                              </a:lnTo>
                              <a:lnTo>
                                <a:pt x="1471" y="20"/>
                              </a:lnTo>
                              <a:lnTo>
                                <a:pt x="1472" y="19"/>
                              </a:lnTo>
                              <a:lnTo>
                                <a:pt x="1472" y="19"/>
                              </a:lnTo>
                              <a:lnTo>
                                <a:pt x="1472" y="19"/>
                              </a:lnTo>
                              <a:lnTo>
                                <a:pt x="1472" y="19"/>
                              </a:lnTo>
                              <a:lnTo>
                                <a:pt x="1472" y="18"/>
                              </a:lnTo>
                              <a:lnTo>
                                <a:pt x="1473" y="18"/>
                              </a:lnTo>
                              <a:lnTo>
                                <a:pt x="1473" y="18"/>
                              </a:lnTo>
                              <a:lnTo>
                                <a:pt x="1473" y="17"/>
                              </a:lnTo>
                              <a:lnTo>
                                <a:pt x="1474" y="17"/>
                              </a:lnTo>
                              <a:lnTo>
                                <a:pt x="1474" y="16"/>
                              </a:lnTo>
                              <a:lnTo>
                                <a:pt x="1475" y="15"/>
                              </a:lnTo>
                              <a:lnTo>
                                <a:pt x="1476" y="14"/>
                              </a:lnTo>
                              <a:lnTo>
                                <a:pt x="1477" y="13"/>
                              </a:lnTo>
                              <a:lnTo>
                                <a:pt x="1477" y="12"/>
                              </a:lnTo>
                              <a:lnTo>
                                <a:pt x="1478" y="11"/>
                              </a:lnTo>
                              <a:lnTo>
                                <a:pt x="1479" y="9"/>
                              </a:lnTo>
                              <a:lnTo>
                                <a:pt x="1480" y="8"/>
                              </a:lnTo>
                              <a:lnTo>
                                <a:pt x="1481" y="8"/>
                              </a:lnTo>
                              <a:lnTo>
                                <a:pt x="1481" y="7"/>
                              </a:lnTo>
                              <a:lnTo>
                                <a:pt x="1482" y="6"/>
                              </a:lnTo>
                              <a:lnTo>
                                <a:pt x="1482" y="6"/>
                              </a:lnTo>
                              <a:lnTo>
                                <a:pt x="1483" y="5"/>
                              </a:lnTo>
                              <a:lnTo>
                                <a:pt x="1483" y="5"/>
                              </a:lnTo>
                              <a:lnTo>
                                <a:pt x="1483" y="4"/>
                              </a:lnTo>
                              <a:lnTo>
                                <a:pt x="1484" y="4"/>
                              </a:lnTo>
                              <a:lnTo>
                                <a:pt x="1484" y="3"/>
                              </a:lnTo>
                              <a:lnTo>
                                <a:pt x="1485" y="3"/>
                              </a:lnTo>
                              <a:lnTo>
                                <a:pt x="1485" y="2"/>
                              </a:lnTo>
                              <a:lnTo>
                                <a:pt x="1486" y="2"/>
                              </a:lnTo>
                              <a:lnTo>
                                <a:pt x="1487" y="2"/>
                              </a:lnTo>
                              <a:lnTo>
                                <a:pt x="1487" y="1"/>
                              </a:lnTo>
                              <a:lnTo>
                                <a:pt x="1488" y="1"/>
                              </a:lnTo>
                              <a:lnTo>
                                <a:pt x="1488" y="1"/>
                              </a:lnTo>
                              <a:lnTo>
                                <a:pt x="1489" y="1"/>
                              </a:lnTo>
                              <a:lnTo>
                                <a:pt x="1489" y="1"/>
                              </a:lnTo>
                              <a:lnTo>
                                <a:pt x="1490" y="1"/>
                              </a:lnTo>
                              <a:lnTo>
                                <a:pt x="1490" y="0"/>
                              </a:lnTo>
                              <a:lnTo>
                                <a:pt x="1491" y="0"/>
                              </a:lnTo>
                              <a:lnTo>
                                <a:pt x="1491" y="1"/>
                              </a:lnTo>
                              <a:lnTo>
                                <a:pt x="1492" y="1"/>
                              </a:lnTo>
                              <a:lnTo>
                                <a:pt x="1493" y="1"/>
                              </a:lnTo>
                              <a:lnTo>
                                <a:pt x="1493" y="1"/>
                              </a:lnTo>
                              <a:lnTo>
                                <a:pt x="1494" y="1"/>
                              </a:lnTo>
                              <a:lnTo>
                                <a:pt x="1495" y="1"/>
                              </a:lnTo>
                              <a:lnTo>
                                <a:pt x="1495" y="2"/>
                              </a:lnTo>
                              <a:lnTo>
                                <a:pt x="1496" y="2"/>
                              </a:lnTo>
                              <a:lnTo>
                                <a:pt x="1497" y="2"/>
                              </a:lnTo>
                              <a:lnTo>
                                <a:pt x="1498" y="3"/>
                              </a:lnTo>
                              <a:lnTo>
                                <a:pt x="1498" y="3"/>
                              </a:lnTo>
                              <a:lnTo>
                                <a:pt x="1499" y="4"/>
                              </a:lnTo>
                              <a:lnTo>
                                <a:pt x="1500" y="5"/>
                              </a:lnTo>
                              <a:lnTo>
                                <a:pt x="1501" y="5"/>
                              </a:lnTo>
                              <a:lnTo>
                                <a:pt x="1501" y="6"/>
                              </a:lnTo>
                              <a:lnTo>
                                <a:pt x="1502" y="6"/>
                              </a:lnTo>
                              <a:lnTo>
                                <a:pt x="1503" y="7"/>
                              </a:lnTo>
                              <a:lnTo>
                                <a:pt x="1505" y="8"/>
                              </a:lnTo>
                              <a:lnTo>
                                <a:pt x="1506" y="10"/>
                              </a:lnTo>
                              <a:lnTo>
                                <a:pt x="1508" y="11"/>
                              </a:lnTo>
                              <a:lnTo>
                                <a:pt x="1509" y="11"/>
                              </a:lnTo>
                              <a:lnTo>
                                <a:pt x="1510" y="12"/>
                              </a:lnTo>
                              <a:lnTo>
                                <a:pt x="1511" y="13"/>
                              </a:lnTo>
                              <a:lnTo>
                                <a:pt x="1513" y="13"/>
                              </a:lnTo>
                              <a:lnTo>
                                <a:pt x="1514" y="14"/>
                              </a:lnTo>
                              <a:lnTo>
                                <a:pt x="1514" y="14"/>
                              </a:lnTo>
                              <a:lnTo>
                                <a:pt x="1515" y="15"/>
                              </a:lnTo>
                              <a:lnTo>
                                <a:pt x="1516" y="15"/>
                              </a:lnTo>
                              <a:lnTo>
                                <a:pt x="1516" y="15"/>
                              </a:lnTo>
                              <a:lnTo>
                                <a:pt x="1517" y="16"/>
                              </a:lnTo>
                              <a:lnTo>
                                <a:pt x="1517" y="16"/>
                              </a:lnTo>
                              <a:lnTo>
                                <a:pt x="1517" y="16"/>
                              </a:lnTo>
                              <a:lnTo>
                                <a:pt x="1518" y="16"/>
                              </a:lnTo>
                              <a:lnTo>
                                <a:pt x="1518" y="16"/>
                              </a:lnTo>
                              <a:lnTo>
                                <a:pt x="1519" y="17"/>
                              </a:lnTo>
                              <a:lnTo>
                                <a:pt x="1520" y="17"/>
                              </a:lnTo>
                              <a:lnTo>
                                <a:pt x="1521" y="18"/>
                              </a:lnTo>
                              <a:lnTo>
                                <a:pt x="1522" y="18"/>
                              </a:lnTo>
                              <a:lnTo>
                                <a:pt x="1524" y="18"/>
                              </a:lnTo>
                              <a:lnTo>
                                <a:pt x="1525" y="19"/>
                              </a:lnTo>
                              <a:lnTo>
                                <a:pt x="1526" y="19"/>
                              </a:lnTo>
                              <a:lnTo>
                                <a:pt x="1527" y="20"/>
                              </a:lnTo>
                              <a:lnTo>
                                <a:pt x="1528" y="20"/>
                              </a:lnTo>
                              <a:lnTo>
                                <a:pt x="1530" y="20"/>
                              </a:lnTo>
                              <a:lnTo>
                                <a:pt x="1531" y="21"/>
                              </a:lnTo>
                              <a:lnTo>
                                <a:pt x="1533" y="21"/>
                              </a:lnTo>
                              <a:lnTo>
                                <a:pt x="1534" y="21"/>
                              </a:lnTo>
                              <a:lnTo>
                                <a:pt x="1536" y="22"/>
                              </a:lnTo>
                              <a:lnTo>
                                <a:pt x="1538" y="22"/>
                              </a:lnTo>
                              <a:lnTo>
                                <a:pt x="1540" y="23"/>
                              </a:lnTo>
                              <a:lnTo>
                                <a:pt x="1542" y="23"/>
                              </a:lnTo>
                              <a:lnTo>
                                <a:pt x="1543" y="23"/>
                              </a:lnTo>
                              <a:lnTo>
                                <a:pt x="1545" y="24"/>
                              </a:lnTo>
                              <a:lnTo>
                                <a:pt x="1547" y="24"/>
                              </a:lnTo>
                              <a:lnTo>
                                <a:pt x="1548" y="24"/>
                              </a:lnTo>
                            </a:path>
                          </a:pathLst>
                        </a:custGeom>
                        <a:noFill/>
                        <a:ln w="4763">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8" name="Freeform 156"/>
                        <a:cNvSpPr>
                          <a:spLocks/>
                        </a:cNvSpPr>
                      </a:nvSpPr>
                      <a:spPr bwMode="auto">
                        <a:xfrm>
                          <a:off x="4223958" y="10659408"/>
                          <a:ext cx="951635" cy="585801"/>
                        </a:xfrm>
                        <a:custGeom>
                          <a:avLst/>
                          <a:gdLst/>
                          <a:ahLst/>
                          <a:cxnLst>
                            <a:cxn ang="0">
                              <a:pos x="12" y="408"/>
                            </a:cxn>
                            <a:cxn ang="0">
                              <a:pos x="30" y="409"/>
                            </a:cxn>
                            <a:cxn ang="0">
                              <a:pos x="58" y="410"/>
                            </a:cxn>
                            <a:cxn ang="0">
                              <a:pos x="81" y="411"/>
                            </a:cxn>
                            <a:cxn ang="0">
                              <a:pos x="116" y="411"/>
                            </a:cxn>
                            <a:cxn ang="0">
                              <a:pos x="156" y="412"/>
                            </a:cxn>
                            <a:cxn ang="0">
                              <a:pos x="187" y="413"/>
                            </a:cxn>
                            <a:cxn ang="0">
                              <a:pos x="210" y="412"/>
                            </a:cxn>
                            <a:cxn ang="0">
                              <a:pos x="233" y="412"/>
                            </a:cxn>
                            <a:cxn ang="0">
                              <a:pos x="259" y="412"/>
                            </a:cxn>
                            <a:cxn ang="0">
                              <a:pos x="283" y="411"/>
                            </a:cxn>
                            <a:cxn ang="0">
                              <a:pos x="305" y="410"/>
                            </a:cxn>
                            <a:cxn ang="0">
                              <a:pos x="322" y="409"/>
                            </a:cxn>
                            <a:cxn ang="0">
                              <a:pos x="336" y="409"/>
                            </a:cxn>
                            <a:cxn ang="0">
                              <a:pos x="352" y="407"/>
                            </a:cxn>
                            <a:cxn ang="0">
                              <a:pos x="368" y="405"/>
                            </a:cxn>
                            <a:cxn ang="0">
                              <a:pos x="385" y="404"/>
                            </a:cxn>
                            <a:cxn ang="0">
                              <a:pos x="405" y="403"/>
                            </a:cxn>
                            <a:cxn ang="0">
                              <a:pos x="418" y="402"/>
                            </a:cxn>
                            <a:cxn ang="0">
                              <a:pos x="447" y="399"/>
                            </a:cxn>
                            <a:cxn ang="0">
                              <a:pos x="458" y="398"/>
                            </a:cxn>
                            <a:cxn ang="0">
                              <a:pos x="469" y="397"/>
                            </a:cxn>
                            <a:cxn ang="0">
                              <a:pos x="478" y="395"/>
                            </a:cxn>
                            <a:cxn ang="0">
                              <a:pos x="488" y="392"/>
                            </a:cxn>
                            <a:cxn ang="0">
                              <a:pos x="492" y="389"/>
                            </a:cxn>
                            <a:cxn ang="0">
                              <a:pos x="498" y="386"/>
                            </a:cxn>
                            <a:cxn ang="0">
                              <a:pos x="521" y="374"/>
                            </a:cxn>
                            <a:cxn ang="0">
                              <a:pos x="531" y="367"/>
                            </a:cxn>
                            <a:cxn ang="0">
                              <a:pos x="534" y="364"/>
                            </a:cxn>
                            <a:cxn ang="0">
                              <a:pos x="536" y="363"/>
                            </a:cxn>
                            <a:cxn ang="0">
                              <a:pos x="538" y="360"/>
                            </a:cxn>
                            <a:cxn ang="0">
                              <a:pos x="542" y="354"/>
                            </a:cxn>
                            <a:cxn ang="0">
                              <a:pos x="546" y="346"/>
                            </a:cxn>
                            <a:cxn ang="0">
                              <a:pos x="550" y="334"/>
                            </a:cxn>
                            <a:cxn ang="0">
                              <a:pos x="553" y="320"/>
                            </a:cxn>
                            <a:cxn ang="0">
                              <a:pos x="555" y="304"/>
                            </a:cxn>
                            <a:cxn ang="0">
                              <a:pos x="558" y="284"/>
                            </a:cxn>
                            <a:cxn ang="0">
                              <a:pos x="561" y="254"/>
                            </a:cxn>
                            <a:cxn ang="0">
                              <a:pos x="564" y="205"/>
                            </a:cxn>
                            <a:cxn ang="0">
                              <a:pos x="570" y="115"/>
                            </a:cxn>
                            <a:cxn ang="0">
                              <a:pos x="575" y="44"/>
                            </a:cxn>
                            <a:cxn ang="0">
                              <a:pos x="578" y="12"/>
                            </a:cxn>
                            <a:cxn ang="0">
                              <a:pos x="582" y="0"/>
                            </a:cxn>
                            <a:cxn ang="0">
                              <a:pos x="585" y="9"/>
                            </a:cxn>
                            <a:cxn ang="0">
                              <a:pos x="589" y="41"/>
                            </a:cxn>
                            <a:cxn ang="0">
                              <a:pos x="595" y="118"/>
                            </a:cxn>
                            <a:cxn ang="0">
                              <a:pos x="602" y="200"/>
                            </a:cxn>
                            <a:cxn ang="0">
                              <a:pos x="607" y="251"/>
                            </a:cxn>
                            <a:cxn ang="0">
                              <a:pos x="610" y="283"/>
                            </a:cxn>
                            <a:cxn ang="0">
                              <a:pos x="614" y="306"/>
                            </a:cxn>
                            <a:cxn ang="0">
                              <a:pos x="617" y="326"/>
                            </a:cxn>
                            <a:cxn ang="0">
                              <a:pos x="622" y="345"/>
                            </a:cxn>
                            <a:cxn ang="0">
                              <a:pos x="624" y="352"/>
                            </a:cxn>
                            <a:cxn ang="0">
                              <a:pos x="627" y="360"/>
                            </a:cxn>
                            <a:cxn ang="0">
                              <a:pos x="631" y="368"/>
                            </a:cxn>
                            <a:cxn ang="0">
                              <a:pos x="635" y="375"/>
                            </a:cxn>
                            <a:cxn ang="0">
                              <a:pos x="641" y="380"/>
                            </a:cxn>
                            <a:cxn ang="0">
                              <a:pos x="648" y="384"/>
                            </a:cxn>
                            <a:cxn ang="0">
                              <a:pos x="655" y="386"/>
                            </a:cxn>
                            <a:cxn ang="0">
                              <a:pos x="663" y="387"/>
                            </a:cxn>
                            <a:cxn ang="0">
                              <a:pos x="669" y="387"/>
                            </a:cxn>
                            <a:cxn ang="0">
                              <a:pos x="679" y="386"/>
                            </a:cxn>
                            <a:cxn ang="0">
                              <a:pos x="696" y="382"/>
                            </a:cxn>
                          </a:cxnLst>
                          <a:rect l="0" t="0" r="r" b="b"/>
                          <a:pathLst>
                            <a:path w="713" h="413">
                              <a:moveTo>
                                <a:pt x="0" y="406"/>
                              </a:moveTo>
                              <a:lnTo>
                                <a:pt x="2" y="406"/>
                              </a:lnTo>
                              <a:lnTo>
                                <a:pt x="4" y="407"/>
                              </a:lnTo>
                              <a:lnTo>
                                <a:pt x="5" y="407"/>
                              </a:lnTo>
                              <a:lnTo>
                                <a:pt x="7" y="407"/>
                              </a:lnTo>
                              <a:lnTo>
                                <a:pt x="9" y="407"/>
                              </a:lnTo>
                              <a:lnTo>
                                <a:pt x="11" y="407"/>
                              </a:lnTo>
                              <a:lnTo>
                                <a:pt x="12" y="408"/>
                              </a:lnTo>
                              <a:lnTo>
                                <a:pt x="14" y="408"/>
                              </a:lnTo>
                              <a:lnTo>
                                <a:pt x="15" y="408"/>
                              </a:lnTo>
                              <a:lnTo>
                                <a:pt x="16" y="408"/>
                              </a:lnTo>
                              <a:lnTo>
                                <a:pt x="20" y="408"/>
                              </a:lnTo>
                              <a:lnTo>
                                <a:pt x="23" y="408"/>
                              </a:lnTo>
                              <a:lnTo>
                                <a:pt x="25" y="409"/>
                              </a:lnTo>
                              <a:lnTo>
                                <a:pt x="27" y="409"/>
                              </a:lnTo>
                              <a:lnTo>
                                <a:pt x="30" y="409"/>
                              </a:lnTo>
                              <a:lnTo>
                                <a:pt x="32" y="409"/>
                              </a:lnTo>
                              <a:lnTo>
                                <a:pt x="36" y="409"/>
                              </a:lnTo>
                              <a:lnTo>
                                <a:pt x="42" y="409"/>
                              </a:lnTo>
                              <a:lnTo>
                                <a:pt x="49" y="410"/>
                              </a:lnTo>
                              <a:lnTo>
                                <a:pt x="54" y="410"/>
                              </a:lnTo>
                              <a:lnTo>
                                <a:pt x="55" y="410"/>
                              </a:lnTo>
                              <a:lnTo>
                                <a:pt x="57" y="410"/>
                              </a:lnTo>
                              <a:lnTo>
                                <a:pt x="58" y="410"/>
                              </a:lnTo>
                              <a:lnTo>
                                <a:pt x="60" y="410"/>
                              </a:lnTo>
                              <a:lnTo>
                                <a:pt x="64" y="410"/>
                              </a:lnTo>
                              <a:lnTo>
                                <a:pt x="68" y="410"/>
                              </a:lnTo>
                              <a:lnTo>
                                <a:pt x="71" y="411"/>
                              </a:lnTo>
                              <a:lnTo>
                                <a:pt x="74" y="411"/>
                              </a:lnTo>
                              <a:lnTo>
                                <a:pt x="77" y="411"/>
                              </a:lnTo>
                              <a:lnTo>
                                <a:pt x="79" y="411"/>
                              </a:lnTo>
                              <a:lnTo>
                                <a:pt x="81" y="411"/>
                              </a:lnTo>
                              <a:lnTo>
                                <a:pt x="84" y="411"/>
                              </a:lnTo>
                              <a:lnTo>
                                <a:pt x="87" y="411"/>
                              </a:lnTo>
                              <a:lnTo>
                                <a:pt x="93" y="411"/>
                              </a:lnTo>
                              <a:lnTo>
                                <a:pt x="98" y="411"/>
                              </a:lnTo>
                              <a:lnTo>
                                <a:pt x="103" y="411"/>
                              </a:lnTo>
                              <a:lnTo>
                                <a:pt x="107" y="411"/>
                              </a:lnTo>
                              <a:lnTo>
                                <a:pt x="111" y="411"/>
                              </a:lnTo>
                              <a:lnTo>
                                <a:pt x="116" y="411"/>
                              </a:lnTo>
                              <a:lnTo>
                                <a:pt x="121" y="411"/>
                              </a:lnTo>
                              <a:lnTo>
                                <a:pt x="130" y="412"/>
                              </a:lnTo>
                              <a:lnTo>
                                <a:pt x="137" y="412"/>
                              </a:lnTo>
                              <a:lnTo>
                                <a:pt x="142" y="412"/>
                              </a:lnTo>
                              <a:lnTo>
                                <a:pt x="146" y="412"/>
                              </a:lnTo>
                              <a:lnTo>
                                <a:pt x="149" y="412"/>
                              </a:lnTo>
                              <a:lnTo>
                                <a:pt x="152" y="412"/>
                              </a:lnTo>
                              <a:lnTo>
                                <a:pt x="156" y="412"/>
                              </a:lnTo>
                              <a:lnTo>
                                <a:pt x="160" y="412"/>
                              </a:lnTo>
                              <a:lnTo>
                                <a:pt x="165" y="412"/>
                              </a:lnTo>
                              <a:lnTo>
                                <a:pt x="171" y="412"/>
                              </a:lnTo>
                              <a:lnTo>
                                <a:pt x="176" y="412"/>
                              </a:lnTo>
                              <a:lnTo>
                                <a:pt x="179" y="412"/>
                              </a:lnTo>
                              <a:lnTo>
                                <a:pt x="182" y="412"/>
                              </a:lnTo>
                              <a:lnTo>
                                <a:pt x="185" y="412"/>
                              </a:lnTo>
                              <a:lnTo>
                                <a:pt x="187" y="413"/>
                              </a:lnTo>
                              <a:lnTo>
                                <a:pt x="189" y="413"/>
                              </a:lnTo>
                              <a:lnTo>
                                <a:pt x="190" y="413"/>
                              </a:lnTo>
                              <a:lnTo>
                                <a:pt x="191" y="412"/>
                              </a:lnTo>
                              <a:lnTo>
                                <a:pt x="193" y="412"/>
                              </a:lnTo>
                              <a:lnTo>
                                <a:pt x="195" y="412"/>
                              </a:lnTo>
                              <a:lnTo>
                                <a:pt x="199" y="412"/>
                              </a:lnTo>
                              <a:lnTo>
                                <a:pt x="205" y="412"/>
                              </a:lnTo>
                              <a:lnTo>
                                <a:pt x="210" y="412"/>
                              </a:lnTo>
                              <a:lnTo>
                                <a:pt x="213" y="412"/>
                              </a:lnTo>
                              <a:lnTo>
                                <a:pt x="216" y="412"/>
                              </a:lnTo>
                              <a:lnTo>
                                <a:pt x="219" y="412"/>
                              </a:lnTo>
                              <a:lnTo>
                                <a:pt x="222" y="412"/>
                              </a:lnTo>
                              <a:lnTo>
                                <a:pt x="224" y="412"/>
                              </a:lnTo>
                              <a:lnTo>
                                <a:pt x="227" y="412"/>
                              </a:lnTo>
                              <a:lnTo>
                                <a:pt x="230" y="412"/>
                              </a:lnTo>
                              <a:lnTo>
                                <a:pt x="233" y="412"/>
                              </a:lnTo>
                              <a:lnTo>
                                <a:pt x="237" y="412"/>
                              </a:lnTo>
                              <a:lnTo>
                                <a:pt x="240" y="412"/>
                              </a:lnTo>
                              <a:lnTo>
                                <a:pt x="242" y="412"/>
                              </a:lnTo>
                              <a:lnTo>
                                <a:pt x="245" y="412"/>
                              </a:lnTo>
                              <a:lnTo>
                                <a:pt x="247" y="412"/>
                              </a:lnTo>
                              <a:lnTo>
                                <a:pt x="250" y="412"/>
                              </a:lnTo>
                              <a:lnTo>
                                <a:pt x="254" y="412"/>
                              </a:lnTo>
                              <a:lnTo>
                                <a:pt x="259" y="412"/>
                              </a:lnTo>
                              <a:lnTo>
                                <a:pt x="263" y="412"/>
                              </a:lnTo>
                              <a:lnTo>
                                <a:pt x="268" y="411"/>
                              </a:lnTo>
                              <a:lnTo>
                                <a:pt x="272" y="411"/>
                              </a:lnTo>
                              <a:lnTo>
                                <a:pt x="274" y="411"/>
                              </a:lnTo>
                              <a:lnTo>
                                <a:pt x="276" y="411"/>
                              </a:lnTo>
                              <a:lnTo>
                                <a:pt x="277" y="411"/>
                              </a:lnTo>
                              <a:lnTo>
                                <a:pt x="280" y="411"/>
                              </a:lnTo>
                              <a:lnTo>
                                <a:pt x="283" y="411"/>
                              </a:lnTo>
                              <a:lnTo>
                                <a:pt x="285" y="411"/>
                              </a:lnTo>
                              <a:lnTo>
                                <a:pt x="288" y="411"/>
                              </a:lnTo>
                              <a:lnTo>
                                <a:pt x="291" y="411"/>
                              </a:lnTo>
                              <a:lnTo>
                                <a:pt x="293" y="411"/>
                              </a:lnTo>
                              <a:lnTo>
                                <a:pt x="296" y="411"/>
                              </a:lnTo>
                              <a:lnTo>
                                <a:pt x="298" y="411"/>
                              </a:lnTo>
                              <a:lnTo>
                                <a:pt x="301" y="410"/>
                              </a:lnTo>
                              <a:lnTo>
                                <a:pt x="305" y="410"/>
                              </a:lnTo>
                              <a:lnTo>
                                <a:pt x="309" y="410"/>
                              </a:lnTo>
                              <a:lnTo>
                                <a:pt x="312" y="410"/>
                              </a:lnTo>
                              <a:lnTo>
                                <a:pt x="314" y="409"/>
                              </a:lnTo>
                              <a:lnTo>
                                <a:pt x="317" y="409"/>
                              </a:lnTo>
                              <a:lnTo>
                                <a:pt x="318" y="409"/>
                              </a:lnTo>
                              <a:lnTo>
                                <a:pt x="319" y="409"/>
                              </a:lnTo>
                              <a:lnTo>
                                <a:pt x="320" y="409"/>
                              </a:lnTo>
                              <a:lnTo>
                                <a:pt x="322" y="409"/>
                              </a:lnTo>
                              <a:lnTo>
                                <a:pt x="325" y="409"/>
                              </a:lnTo>
                              <a:lnTo>
                                <a:pt x="327" y="409"/>
                              </a:lnTo>
                              <a:lnTo>
                                <a:pt x="329" y="409"/>
                              </a:lnTo>
                              <a:lnTo>
                                <a:pt x="331" y="409"/>
                              </a:lnTo>
                              <a:lnTo>
                                <a:pt x="332" y="409"/>
                              </a:lnTo>
                              <a:lnTo>
                                <a:pt x="334" y="409"/>
                              </a:lnTo>
                              <a:lnTo>
                                <a:pt x="335" y="409"/>
                              </a:lnTo>
                              <a:lnTo>
                                <a:pt x="336" y="409"/>
                              </a:lnTo>
                              <a:lnTo>
                                <a:pt x="338" y="409"/>
                              </a:lnTo>
                              <a:lnTo>
                                <a:pt x="339" y="409"/>
                              </a:lnTo>
                              <a:lnTo>
                                <a:pt x="340" y="408"/>
                              </a:lnTo>
                              <a:lnTo>
                                <a:pt x="342" y="408"/>
                              </a:lnTo>
                              <a:lnTo>
                                <a:pt x="344" y="408"/>
                              </a:lnTo>
                              <a:lnTo>
                                <a:pt x="346" y="408"/>
                              </a:lnTo>
                              <a:lnTo>
                                <a:pt x="348" y="407"/>
                              </a:lnTo>
                              <a:lnTo>
                                <a:pt x="352" y="407"/>
                              </a:lnTo>
                              <a:lnTo>
                                <a:pt x="355" y="406"/>
                              </a:lnTo>
                              <a:lnTo>
                                <a:pt x="358" y="406"/>
                              </a:lnTo>
                              <a:lnTo>
                                <a:pt x="360" y="406"/>
                              </a:lnTo>
                              <a:lnTo>
                                <a:pt x="362" y="405"/>
                              </a:lnTo>
                              <a:lnTo>
                                <a:pt x="363" y="405"/>
                              </a:lnTo>
                              <a:lnTo>
                                <a:pt x="364" y="405"/>
                              </a:lnTo>
                              <a:lnTo>
                                <a:pt x="366" y="405"/>
                              </a:lnTo>
                              <a:lnTo>
                                <a:pt x="368" y="405"/>
                              </a:lnTo>
                              <a:lnTo>
                                <a:pt x="370" y="404"/>
                              </a:lnTo>
                              <a:lnTo>
                                <a:pt x="372" y="404"/>
                              </a:lnTo>
                              <a:lnTo>
                                <a:pt x="374" y="404"/>
                              </a:lnTo>
                              <a:lnTo>
                                <a:pt x="376" y="404"/>
                              </a:lnTo>
                              <a:lnTo>
                                <a:pt x="378" y="404"/>
                              </a:lnTo>
                              <a:lnTo>
                                <a:pt x="380" y="404"/>
                              </a:lnTo>
                              <a:lnTo>
                                <a:pt x="382" y="404"/>
                              </a:lnTo>
                              <a:lnTo>
                                <a:pt x="385" y="404"/>
                              </a:lnTo>
                              <a:lnTo>
                                <a:pt x="387" y="404"/>
                              </a:lnTo>
                              <a:lnTo>
                                <a:pt x="390" y="403"/>
                              </a:lnTo>
                              <a:lnTo>
                                <a:pt x="394" y="404"/>
                              </a:lnTo>
                              <a:lnTo>
                                <a:pt x="397" y="404"/>
                              </a:lnTo>
                              <a:lnTo>
                                <a:pt x="399" y="403"/>
                              </a:lnTo>
                              <a:lnTo>
                                <a:pt x="401" y="403"/>
                              </a:lnTo>
                              <a:lnTo>
                                <a:pt x="403" y="403"/>
                              </a:lnTo>
                              <a:lnTo>
                                <a:pt x="405" y="403"/>
                              </a:lnTo>
                              <a:lnTo>
                                <a:pt x="406" y="403"/>
                              </a:lnTo>
                              <a:lnTo>
                                <a:pt x="407" y="403"/>
                              </a:lnTo>
                              <a:lnTo>
                                <a:pt x="408" y="403"/>
                              </a:lnTo>
                              <a:lnTo>
                                <a:pt x="409" y="403"/>
                              </a:lnTo>
                              <a:lnTo>
                                <a:pt x="411" y="403"/>
                              </a:lnTo>
                              <a:lnTo>
                                <a:pt x="413" y="403"/>
                              </a:lnTo>
                              <a:lnTo>
                                <a:pt x="415" y="402"/>
                              </a:lnTo>
                              <a:lnTo>
                                <a:pt x="418" y="402"/>
                              </a:lnTo>
                              <a:lnTo>
                                <a:pt x="422" y="402"/>
                              </a:lnTo>
                              <a:lnTo>
                                <a:pt x="429" y="401"/>
                              </a:lnTo>
                              <a:lnTo>
                                <a:pt x="434" y="400"/>
                              </a:lnTo>
                              <a:lnTo>
                                <a:pt x="438" y="400"/>
                              </a:lnTo>
                              <a:lnTo>
                                <a:pt x="441" y="399"/>
                              </a:lnTo>
                              <a:lnTo>
                                <a:pt x="443" y="399"/>
                              </a:lnTo>
                              <a:lnTo>
                                <a:pt x="446" y="399"/>
                              </a:lnTo>
                              <a:lnTo>
                                <a:pt x="447" y="399"/>
                              </a:lnTo>
                              <a:lnTo>
                                <a:pt x="448" y="399"/>
                              </a:lnTo>
                              <a:lnTo>
                                <a:pt x="449" y="399"/>
                              </a:lnTo>
                              <a:lnTo>
                                <a:pt x="450" y="399"/>
                              </a:lnTo>
                              <a:lnTo>
                                <a:pt x="450" y="399"/>
                              </a:lnTo>
                              <a:lnTo>
                                <a:pt x="452" y="399"/>
                              </a:lnTo>
                              <a:lnTo>
                                <a:pt x="454" y="398"/>
                              </a:lnTo>
                              <a:lnTo>
                                <a:pt x="456" y="398"/>
                              </a:lnTo>
                              <a:lnTo>
                                <a:pt x="458" y="398"/>
                              </a:lnTo>
                              <a:lnTo>
                                <a:pt x="460" y="398"/>
                              </a:lnTo>
                              <a:lnTo>
                                <a:pt x="462" y="398"/>
                              </a:lnTo>
                              <a:lnTo>
                                <a:pt x="463" y="398"/>
                              </a:lnTo>
                              <a:lnTo>
                                <a:pt x="464" y="398"/>
                              </a:lnTo>
                              <a:lnTo>
                                <a:pt x="466" y="398"/>
                              </a:lnTo>
                              <a:lnTo>
                                <a:pt x="467" y="398"/>
                              </a:lnTo>
                              <a:lnTo>
                                <a:pt x="468" y="398"/>
                              </a:lnTo>
                              <a:lnTo>
                                <a:pt x="469" y="397"/>
                              </a:lnTo>
                              <a:lnTo>
                                <a:pt x="470" y="397"/>
                              </a:lnTo>
                              <a:lnTo>
                                <a:pt x="471" y="397"/>
                              </a:lnTo>
                              <a:lnTo>
                                <a:pt x="473" y="397"/>
                              </a:lnTo>
                              <a:lnTo>
                                <a:pt x="474" y="397"/>
                              </a:lnTo>
                              <a:lnTo>
                                <a:pt x="475" y="396"/>
                              </a:lnTo>
                              <a:lnTo>
                                <a:pt x="476" y="396"/>
                              </a:lnTo>
                              <a:lnTo>
                                <a:pt x="477" y="396"/>
                              </a:lnTo>
                              <a:lnTo>
                                <a:pt x="478" y="395"/>
                              </a:lnTo>
                              <a:lnTo>
                                <a:pt x="479" y="395"/>
                              </a:lnTo>
                              <a:lnTo>
                                <a:pt x="480" y="395"/>
                              </a:lnTo>
                              <a:lnTo>
                                <a:pt x="482" y="394"/>
                              </a:lnTo>
                              <a:lnTo>
                                <a:pt x="483" y="394"/>
                              </a:lnTo>
                              <a:lnTo>
                                <a:pt x="484" y="393"/>
                              </a:lnTo>
                              <a:lnTo>
                                <a:pt x="485" y="393"/>
                              </a:lnTo>
                              <a:lnTo>
                                <a:pt x="486" y="392"/>
                              </a:lnTo>
                              <a:lnTo>
                                <a:pt x="488" y="392"/>
                              </a:lnTo>
                              <a:lnTo>
                                <a:pt x="489" y="391"/>
                              </a:lnTo>
                              <a:lnTo>
                                <a:pt x="490" y="391"/>
                              </a:lnTo>
                              <a:lnTo>
                                <a:pt x="490" y="391"/>
                              </a:lnTo>
                              <a:lnTo>
                                <a:pt x="491" y="390"/>
                              </a:lnTo>
                              <a:lnTo>
                                <a:pt x="491" y="390"/>
                              </a:lnTo>
                              <a:lnTo>
                                <a:pt x="492" y="390"/>
                              </a:lnTo>
                              <a:lnTo>
                                <a:pt x="492" y="390"/>
                              </a:lnTo>
                              <a:lnTo>
                                <a:pt x="492" y="389"/>
                              </a:lnTo>
                              <a:lnTo>
                                <a:pt x="493" y="389"/>
                              </a:lnTo>
                              <a:lnTo>
                                <a:pt x="493" y="389"/>
                              </a:lnTo>
                              <a:lnTo>
                                <a:pt x="493" y="389"/>
                              </a:lnTo>
                              <a:lnTo>
                                <a:pt x="494" y="389"/>
                              </a:lnTo>
                              <a:lnTo>
                                <a:pt x="494" y="389"/>
                              </a:lnTo>
                              <a:lnTo>
                                <a:pt x="495" y="388"/>
                              </a:lnTo>
                              <a:lnTo>
                                <a:pt x="497" y="387"/>
                              </a:lnTo>
                              <a:lnTo>
                                <a:pt x="498" y="386"/>
                              </a:lnTo>
                              <a:lnTo>
                                <a:pt x="500" y="386"/>
                              </a:lnTo>
                              <a:lnTo>
                                <a:pt x="502" y="384"/>
                              </a:lnTo>
                              <a:lnTo>
                                <a:pt x="506" y="382"/>
                              </a:lnTo>
                              <a:lnTo>
                                <a:pt x="510" y="380"/>
                              </a:lnTo>
                              <a:lnTo>
                                <a:pt x="514" y="378"/>
                              </a:lnTo>
                              <a:lnTo>
                                <a:pt x="516" y="376"/>
                              </a:lnTo>
                              <a:lnTo>
                                <a:pt x="519" y="375"/>
                              </a:lnTo>
                              <a:lnTo>
                                <a:pt x="521" y="374"/>
                              </a:lnTo>
                              <a:lnTo>
                                <a:pt x="523" y="373"/>
                              </a:lnTo>
                              <a:lnTo>
                                <a:pt x="524" y="372"/>
                              </a:lnTo>
                              <a:lnTo>
                                <a:pt x="526" y="371"/>
                              </a:lnTo>
                              <a:lnTo>
                                <a:pt x="527" y="370"/>
                              </a:lnTo>
                              <a:lnTo>
                                <a:pt x="528" y="369"/>
                              </a:lnTo>
                              <a:lnTo>
                                <a:pt x="529" y="368"/>
                              </a:lnTo>
                              <a:lnTo>
                                <a:pt x="530" y="368"/>
                              </a:lnTo>
                              <a:lnTo>
                                <a:pt x="531" y="367"/>
                              </a:lnTo>
                              <a:lnTo>
                                <a:pt x="532" y="366"/>
                              </a:lnTo>
                              <a:lnTo>
                                <a:pt x="533" y="366"/>
                              </a:lnTo>
                              <a:lnTo>
                                <a:pt x="533" y="365"/>
                              </a:lnTo>
                              <a:lnTo>
                                <a:pt x="534" y="365"/>
                              </a:lnTo>
                              <a:lnTo>
                                <a:pt x="534" y="365"/>
                              </a:lnTo>
                              <a:lnTo>
                                <a:pt x="534" y="365"/>
                              </a:lnTo>
                              <a:lnTo>
                                <a:pt x="534" y="365"/>
                              </a:lnTo>
                              <a:lnTo>
                                <a:pt x="534" y="364"/>
                              </a:lnTo>
                              <a:lnTo>
                                <a:pt x="535" y="364"/>
                              </a:lnTo>
                              <a:lnTo>
                                <a:pt x="535" y="364"/>
                              </a:lnTo>
                              <a:lnTo>
                                <a:pt x="535" y="364"/>
                              </a:lnTo>
                              <a:lnTo>
                                <a:pt x="535" y="364"/>
                              </a:lnTo>
                              <a:lnTo>
                                <a:pt x="535" y="364"/>
                              </a:lnTo>
                              <a:lnTo>
                                <a:pt x="535" y="363"/>
                              </a:lnTo>
                              <a:lnTo>
                                <a:pt x="536" y="363"/>
                              </a:lnTo>
                              <a:lnTo>
                                <a:pt x="536" y="363"/>
                              </a:lnTo>
                              <a:lnTo>
                                <a:pt x="536" y="363"/>
                              </a:lnTo>
                              <a:lnTo>
                                <a:pt x="536" y="363"/>
                              </a:lnTo>
                              <a:lnTo>
                                <a:pt x="536" y="362"/>
                              </a:lnTo>
                              <a:lnTo>
                                <a:pt x="536" y="362"/>
                              </a:lnTo>
                              <a:lnTo>
                                <a:pt x="536" y="362"/>
                              </a:lnTo>
                              <a:lnTo>
                                <a:pt x="537" y="362"/>
                              </a:lnTo>
                              <a:lnTo>
                                <a:pt x="537" y="361"/>
                              </a:lnTo>
                              <a:lnTo>
                                <a:pt x="538" y="360"/>
                              </a:lnTo>
                              <a:lnTo>
                                <a:pt x="539" y="359"/>
                              </a:lnTo>
                              <a:lnTo>
                                <a:pt x="539" y="359"/>
                              </a:lnTo>
                              <a:lnTo>
                                <a:pt x="540" y="358"/>
                              </a:lnTo>
                              <a:lnTo>
                                <a:pt x="540" y="357"/>
                              </a:lnTo>
                              <a:lnTo>
                                <a:pt x="541" y="356"/>
                              </a:lnTo>
                              <a:lnTo>
                                <a:pt x="541" y="355"/>
                              </a:lnTo>
                              <a:lnTo>
                                <a:pt x="542" y="355"/>
                              </a:lnTo>
                              <a:lnTo>
                                <a:pt x="542" y="354"/>
                              </a:lnTo>
                              <a:lnTo>
                                <a:pt x="543" y="353"/>
                              </a:lnTo>
                              <a:lnTo>
                                <a:pt x="543" y="352"/>
                              </a:lnTo>
                              <a:lnTo>
                                <a:pt x="543" y="351"/>
                              </a:lnTo>
                              <a:lnTo>
                                <a:pt x="544" y="350"/>
                              </a:lnTo>
                              <a:lnTo>
                                <a:pt x="544" y="349"/>
                              </a:lnTo>
                              <a:lnTo>
                                <a:pt x="545" y="349"/>
                              </a:lnTo>
                              <a:lnTo>
                                <a:pt x="545" y="347"/>
                              </a:lnTo>
                              <a:lnTo>
                                <a:pt x="546" y="346"/>
                              </a:lnTo>
                              <a:lnTo>
                                <a:pt x="546" y="345"/>
                              </a:lnTo>
                              <a:lnTo>
                                <a:pt x="547" y="343"/>
                              </a:lnTo>
                              <a:lnTo>
                                <a:pt x="547" y="342"/>
                              </a:lnTo>
                              <a:lnTo>
                                <a:pt x="548" y="340"/>
                              </a:lnTo>
                              <a:lnTo>
                                <a:pt x="548" y="338"/>
                              </a:lnTo>
                              <a:lnTo>
                                <a:pt x="549" y="337"/>
                              </a:lnTo>
                              <a:lnTo>
                                <a:pt x="549" y="335"/>
                              </a:lnTo>
                              <a:lnTo>
                                <a:pt x="550" y="334"/>
                              </a:lnTo>
                              <a:lnTo>
                                <a:pt x="550" y="332"/>
                              </a:lnTo>
                              <a:lnTo>
                                <a:pt x="550" y="330"/>
                              </a:lnTo>
                              <a:lnTo>
                                <a:pt x="551" y="329"/>
                              </a:lnTo>
                              <a:lnTo>
                                <a:pt x="551" y="327"/>
                              </a:lnTo>
                              <a:lnTo>
                                <a:pt x="552" y="325"/>
                              </a:lnTo>
                              <a:lnTo>
                                <a:pt x="552" y="323"/>
                              </a:lnTo>
                              <a:lnTo>
                                <a:pt x="552" y="322"/>
                              </a:lnTo>
                              <a:lnTo>
                                <a:pt x="553" y="320"/>
                              </a:lnTo>
                              <a:lnTo>
                                <a:pt x="553" y="318"/>
                              </a:lnTo>
                              <a:lnTo>
                                <a:pt x="553" y="316"/>
                              </a:lnTo>
                              <a:lnTo>
                                <a:pt x="554" y="314"/>
                              </a:lnTo>
                              <a:lnTo>
                                <a:pt x="554" y="312"/>
                              </a:lnTo>
                              <a:lnTo>
                                <a:pt x="554" y="310"/>
                              </a:lnTo>
                              <a:lnTo>
                                <a:pt x="555" y="308"/>
                              </a:lnTo>
                              <a:lnTo>
                                <a:pt x="555" y="306"/>
                              </a:lnTo>
                              <a:lnTo>
                                <a:pt x="555" y="304"/>
                              </a:lnTo>
                              <a:lnTo>
                                <a:pt x="556" y="302"/>
                              </a:lnTo>
                              <a:lnTo>
                                <a:pt x="556" y="299"/>
                              </a:lnTo>
                              <a:lnTo>
                                <a:pt x="556" y="297"/>
                              </a:lnTo>
                              <a:lnTo>
                                <a:pt x="556" y="295"/>
                              </a:lnTo>
                              <a:lnTo>
                                <a:pt x="557" y="292"/>
                              </a:lnTo>
                              <a:lnTo>
                                <a:pt x="557" y="289"/>
                              </a:lnTo>
                              <a:lnTo>
                                <a:pt x="557" y="287"/>
                              </a:lnTo>
                              <a:lnTo>
                                <a:pt x="558" y="284"/>
                              </a:lnTo>
                              <a:lnTo>
                                <a:pt x="558" y="281"/>
                              </a:lnTo>
                              <a:lnTo>
                                <a:pt x="558" y="279"/>
                              </a:lnTo>
                              <a:lnTo>
                                <a:pt x="559" y="276"/>
                              </a:lnTo>
                              <a:lnTo>
                                <a:pt x="559" y="273"/>
                              </a:lnTo>
                              <a:lnTo>
                                <a:pt x="559" y="269"/>
                              </a:lnTo>
                              <a:lnTo>
                                <a:pt x="560" y="264"/>
                              </a:lnTo>
                              <a:lnTo>
                                <a:pt x="560" y="259"/>
                              </a:lnTo>
                              <a:lnTo>
                                <a:pt x="561" y="254"/>
                              </a:lnTo>
                              <a:lnTo>
                                <a:pt x="561" y="249"/>
                              </a:lnTo>
                              <a:lnTo>
                                <a:pt x="561" y="244"/>
                              </a:lnTo>
                              <a:lnTo>
                                <a:pt x="562" y="238"/>
                              </a:lnTo>
                              <a:lnTo>
                                <a:pt x="562" y="232"/>
                              </a:lnTo>
                              <a:lnTo>
                                <a:pt x="563" y="226"/>
                              </a:lnTo>
                              <a:lnTo>
                                <a:pt x="563" y="219"/>
                              </a:lnTo>
                              <a:lnTo>
                                <a:pt x="564" y="212"/>
                              </a:lnTo>
                              <a:lnTo>
                                <a:pt x="564" y="205"/>
                              </a:lnTo>
                              <a:lnTo>
                                <a:pt x="565" y="198"/>
                              </a:lnTo>
                              <a:lnTo>
                                <a:pt x="565" y="189"/>
                              </a:lnTo>
                              <a:lnTo>
                                <a:pt x="566" y="181"/>
                              </a:lnTo>
                              <a:lnTo>
                                <a:pt x="566" y="171"/>
                              </a:lnTo>
                              <a:lnTo>
                                <a:pt x="567" y="159"/>
                              </a:lnTo>
                              <a:lnTo>
                                <a:pt x="568" y="144"/>
                              </a:lnTo>
                              <a:lnTo>
                                <a:pt x="569" y="129"/>
                              </a:lnTo>
                              <a:lnTo>
                                <a:pt x="570" y="115"/>
                              </a:lnTo>
                              <a:lnTo>
                                <a:pt x="571" y="102"/>
                              </a:lnTo>
                              <a:lnTo>
                                <a:pt x="571" y="91"/>
                              </a:lnTo>
                              <a:lnTo>
                                <a:pt x="572" y="81"/>
                              </a:lnTo>
                              <a:lnTo>
                                <a:pt x="573" y="72"/>
                              </a:lnTo>
                              <a:lnTo>
                                <a:pt x="573" y="63"/>
                              </a:lnTo>
                              <a:lnTo>
                                <a:pt x="574" y="57"/>
                              </a:lnTo>
                              <a:lnTo>
                                <a:pt x="574" y="50"/>
                              </a:lnTo>
                              <a:lnTo>
                                <a:pt x="575" y="44"/>
                              </a:lnTo>
                              <a:lnTo>
                                <a:pt x="575" y="38"/>
                              </a:lnTo>
                              <a:lnTo>
                                <a:pt x="576" y="34"/>
                              </a:lnTo>
                              <a:lnTo>
                                <a:pt x="576" y="29"/>
                              </a:lnTo>
                              <a:lnTo>
                                <a:pt x="577" y="25"/>
                              </a:lnTo>
                              <a:lnTo>
                                <a:pt x="577" y="21"/>
                              </a:lnTo>
                              <a:lnTo>
                                <a:pt x="578" y="18"/>
                              </a:lnTo>
                              <a:lnTo>
                                <a:pt x="578" y="15"/>
                              </a:lnTo>
                              <a:lnTo>
                                <a:pt x="578" y="12"/>
                              </a:lnTo>
                              <a:lnTo>
                                <a:pt x="579" y="9"/>
                              </a:lnTo>
                              <a:lnTo>
                                <a:pt x="579" y="7"/>
                              </a:lnTo>
                              <a:lnTo>
                                <a:pt x="580" y="5"/>
                              </a:lnTo>
                              <a:lnTo>
                                <a:pt x="580" y="4"/>
                              </a:lnTo>
                              <a:lnTo>
                                <a:pt x="580" y="2"/>
                              </a:lnTo>
                              <a:lnTo>
                                <a:pt x="581" y="1"/>
                              </a:lnTo>
                              <a:lnTo>
                                <a:pt x="581" y="1"/>
                              </a:lnTo>
                              <a:lnTo>
                                <a:pt x="582" y="0"/>
                              </a:lnTo>
                              <a:lnTo>
                                <a:pt x="582" y="0"/>
                              </a:lnTo>
                              <a:lnTo>
                                <a:pt x="583" y="1"/>
                              </a:lnTo>
                              <a:lnTo>
                                <a:pt x="583" y="1"/>
                              </a:lnTo>
                              <a:lnTo>
                                <a:pt x="583" y="2"/>
                              </a:lnTo>
                              <a:lnTo>
                                <a:pt x="584" y="3"/>
                              </a:lnTo>
                              <a:lnTo>
                                <a:pt x="584" y="5"/>
                              </a:lnTo>
                              <a:lnTo>
                                <a:pt x="585" y="7"/>
                              </a:lnTo>
                              <a:lnTo>
                                <a:pt x="585" y="9"/>
                              </a:lnTo>
                              <a:lnTo>
                                <a:pt x="586" y="11"/>
                              </a:lnTo>
                              <a:lnTo>
                                <a:pt x="586" y="14"/>
                              </a:lnTo>
                              <a:lnTo>
                                <a:pt x="587" y="18"/>
                              </a:lnTo>
                              <a:lnTo>
                                <a:pt x="587" y="22"/>
                              </a:lnTo>
                              <a:lnTo>
                                <a:pt x="587" y="26"/>
                              </a:lnTo>
                              <a:lnTo>
                                <a:pt x="588" y="30"/>
                              </a:lnTo>
                              <a:lnTo>
                                <a:pt x="589" y="35"/>
                              </a:lnTo>
                              <a:lnTo>
                                <a:pt x="589" y="41"/>
                              </a:lnTo>
                              <a:lnTo>
                                <a:pt x="590" y="47"/>
                              </a:lnTo>
                              <a:lnTo>
                                <a:pt x="590" y="54"/>
                              </a:lnTo>
                              <a:lnTo>
                                <a:pt x="591" y="61"/>
                              </a:lnTo>
                              <a:lnTo>
                                <a:pt x="592" y="69"/>
                              </a:lnTo>
                              <a:lnTo>
                                <a:pt x="592" y="78"/>
                              </a:lnTo>
                              <a:lnTo>
                                <a:pt x="593" y="89"/>
                              </a:lnTo>
                              <a:lnTo>
                                <a:pt x="594" y="101"/>
                              </a:lnTo>
                              <a:lnTo>
                                <a:pt x="595" y="118"/>
                              </a:lnTo>
                              <a:lnTo>
                                <a:pt x="597" y="135"/>
                              </a:lnTo>
                              <a:lnTo>
                                <a:pt x="598" y="147"/>
                              </a:lnTo>
                              <a:lnTo>
                                <a:pt x="598" y="158"/>
                              </a:lnTo>
                              <a:lnTo>
                                <a:pt x="599" y="167"/>
                              </a:lnTo>
                              <a:lnTo>
                                <a:pt x="600" y="176"/>
                              </a:lnTo>
                              <a:lnTo>
                                <a:pt x="601" y="185"/>
                              </a:lnTo>
                              <a:lnTo>
                                <a:pt x="601" y="193"/>
                              </a:lnTo>
                              <a:lnTo>
                                <a:pt x="602" y="200"/>
                              </a:lnTo>
                              <a:lnTo>
                                <a:pt x="602" y="207"/>
                              </a:lnTo>
                              <a:lnTo>
                                <a:pt x="603" y="214"/>
                              </a:lnTo>
                              <a:lnTo>
                                <a:pt x="604" y="221"/>
                              </a:lnTo>
                              <a:lnTo>
                                <a:pt x="604" y="227"/>
                              </a:lnTo>
                              <a:lnTo>
                                <a:pt x="605" y="234"/>
                              </a:lnTo>
                              <a:lnTo>
                                <a:pt x="605" y="240"/>
                              </a:lnTo>
                              <a:lnTo>
                                <a:pt x="606" y="246"/>
                              </a:lnTo>
                              <a:lnTo>
                                <a:pt x="607" y="251"/>
                              </a:lnTo>
                              <a:lnTo>
                                <a:pt x="607" y="256"/>
                              </a:lnTo>
                              <a:lnTo>
                                <a:pt x="608" y="261"/>
                              </a:lnTo>
                              <a:lnTo>
                                <a:pt x="608" y="266"/>
                              </a:lnTo>
                              <a:lnTo>
                                <a:pt x="609" y="271"/>
                              </a:lnTo>
                              <a:lnTo>
                                <a:pt x="609" y="274"/>
                              </a:lnTo>
                              <a:lnTo>
                                <a:pt x="610" y="277"/>
                              </a:lnTo>
                              <a:lnTo>
                                <a:pt x="610" y="280"/>
                              </a:lnTo>
                              <a:lnTo>
                                <a:pt x="610" y="283"/>
                              </a:lnTo>
                              <a:lnTo>
                                <a:pt x="611" y="286"/>
                              </a:lnTo>
                              <a:lnTo>
                                <a:pt x="611" y="289"/>
                              </a:lnTo>
                              <a:lnTo>
                                <a:pt x="612" y="292"/>
                              </a:lnTo>
                              <a:lnTo>
                                <a:pt x="612" y="295"/>
                              </a:lnTo>
                              <a:lnTo>
                                <a:pt x="612" y="298"/>
                              </a:lnTo>
                              <a:lnTo>
                                <a:pt x="613" y="301"/>
                              </a:lnTo>
                              <a:lnTo>
                                <a:pt x="613" y="304"/>
                              </a:lnTo>
                              <a:lnTo>
                                <a:pt x="614" y="306"/>
                              </a:lnTo>
                              <a:lnTo>
                                <a:pt x="614" y="309"/>
                              </a:lnTo>
                              <a:lnTo>
                                <a:pt x="614" y="311"/>
                              </a:lnTo>
                              <a:lnTo>
                                <a:pt x="615" y="314"/>
                              </a:lnTo>
                              <a:lnTo>
                                <a:pt x="615" y="316"/>
                              </a:lnTo>
                              <a:lnTo>
                                <a:pt x="616" y="319"/>
                              </a:lnTo>
                              <a:lnTo>
                                <a:pt x="616" y="321"/>
                              </a:lnTo>
                              <a:lnTo>
                                <a:pt x="617" y="324"/>
                              </a:lnTo>
                              <a:lnTo>
                                <a:pt x="617" y="326"/>
                              </a:lnTo>
                              <a:lnTo>
                                <a:pt x="618" y="328"/>
                              </a:lnTo>
                              <a:lnTo>
                                <a:pt x="618" y="330"/>
                              </a:lnTo>
                              <a:lnTo>
                                <a:pt x="619" y="333"/>
                              </a:lnTo>
                              <a:lnTo>
                                <a:pt x="619" y="335"/>
                              </a:lnTo>
                              <a:lnTo>
                                <a:pt x="620" y="337"/>
                              </a:lnTo>
                              <a:lnTo>
                                <a:pt x="620" y="339"/>
                              </a:lnTo>
                              <a:lnTo>
                                <a:pt x="621" y="342"/>
                              </a:lnTo>
                              <a:lnTo>
                                <a:pt x="622" y="345"/>
                              </a:lnTo>
                              <a:lnTo>
                                <a:pt x="622" y="347"/>
                              </a:lnTo>
                              <a:lnTo>
                                <a:pt x="623" y="348"/>
                              </a:lnTo>
                              <a:lnTo>
                                <a:pt x="623" y="349"/>
                              </a:lnTo>
                              <a:lnTo>
                                <a:pt x="623" y="350"/>
                              </a:lnTo>
                              <a:lnTo>
                                <a:pt x="623" y="350"/>
                              </a:lnTo>
                              <a:lnTo>
                                <a:pt x="624" y="351"/>
                              </a:lnTo>
                              <a:lnTo>
                                <a:pt x="624" y="351"/>
                              </a:lnTo>
                              <a:lnTo>
                                <a:pt x="624" y="352"/>
                              </a:lnTo>
                              <a:lnTo>
                                <a:pt x="624" y="352"/>
                              </a:lnTo>
                              <a:lnTo>
                                <a:pt x="624" y="353"/>
                              </a:lnTo>
                              <a:lnTo>
                                <a:pt x="625" y="354"/>
                              </a:lnTo>
                              <a:lnTo>
                                <a:pt x="625" y="355"/>
                              </a:lnTo>
                              <a:lnTo>
                                <a:pt x="626" y="357"/>
                              </a:lnTo>
                              <a:lnTo>
                                <a:pt x="626" y="358"/>
                              </a:lnTo>
                              <a:lnTo>
                                <a:pt x="626" y="359"/>
                              </a:lnTo>
                              <a:lnTo>
                                <a:pt x="627" y="360"/>
                              </a:lnTo>
                              <a:lnTo>
                                <a:pt x="627" y="361"/>
                              </a:lnTo>
                              <a:lnTo>
                                <a:pt x="628" y="362"/>
                              </a:lnTo>
                              <a:lnTo>
                                <a:pt x="628" y="363"/>
                              </a:lnTo>
                              <a:lnTo>
                                <a:pt x="629" y="364"/>
                              </a:lnTo>
                              <a:lnTo>
                                <a:pt x="629" y="365"/>
                              </a:lnTo>
                              <a:lnTo>
                                <a:pt x="630" y="366"/>
                              </a:lnTo>
                              <a:lnTo>
                                <a:pt x="630" y="367"/>
                              </a:lnTo>
                              <a:lnTo>
                                <a:pt x="631" y="368"/>
                              </a:lnTo>
                              <a:lnTo>
                                <a:pt x="631" y="369"/>
                              </a:lnTo>
                              <a:lnTo>
                                <a:pt x="632" y="370"/>
                              </a:lnTo>
                              <a:lnTo>
                                <a:pt x="633" y="371"/>
                              </a:lnTo>
                              <a:lnTo>
                                <a:pt x="633" y="372"/>
                              </a:lnTo>
                              <a:lnTo>
                                <a:pt x="634" y="372"/>
                              </a:lnTo>
                              <a:lnTo>
                                <a:pt x="634" y="373"/>
                              </a:lnTo>
                              <a:lnTo>
                                <a:pt x="635" y="374"/>
                              </a:lnTo>
                              <a:lnTo>
                                <a:pt x="635" y="375"/>
                              </a:lnTo>
                              <a:lnTo>
                                <a:pt x="636" y="375"/>
                              </a:lnTo>
                              <a:lnTo>
                                <a:pt x="637" y="376"/>
                              </a:lnTo>
                              <a:lnTo>
                                <a:pt x="637" y="377"/>
                              </a:lnTo>
                              <a:lnTo>
                                <a:pt x="638" y="378"/>
                              </a:lnTo>
                              <a:lnTo>
                                <a:pt x="639" y="378"/>
                              </a:lnTo>
                              <a:lnTo>
                                <a:pt x="639" y="379"/>
                              </a:lnTo>
                              <a:lnTo>
                                <a:pt x="640" y="380"/>
                              </a:lnTo>
                              <a:lnTo>
                                <a:pt x="641" y="380"/>
                              </a:lnTo>
                              <a:lnTo>
                                <a:pt x="642" y="381"/>
                              </a:lnTo>
                              <a:lnTo>
                                <a:pt x="642" y="381"/>
                              </a:lnTo>
                              <a:lnTo>
                                <a:pt x="643" y="382"/>
                              </a:lnTo>
                              <a:lnTo>
                                <a:pt x="644" y="382"/>
                              </a:lnTo>
                              <a:lnTo>
                                <a:pt x="645" y="383"/>
                              </a:lnTo>
                              <a:lnTo>
                                <a:pt x="646" y="383"/>
                              </a:lnTo>
                              <a:lnTo>
                                <a:pt x="647" y="384"/>
                              </a:lnTo>
                              <a:lnTo>
                                <a:pt x="648" y="384"/>
                              </a:lnTo>
                              <a:lnTo>
                                <a:pt x="649" y="385"/>
                              </a:lnTo>
                              <a:lnTo>
                                <a:pt x="650" y="385"/>
                              </a:lnTo>
                              <a:lnTo>
                                <a:pt x="651" y="385"/>
                              </a:lnTo>
                              <a:lnTo>
                                <a:pt x="651" y="385"/>
                              </a:lnTo>
                              <a:lnTo>
                                <a:pt x="652" y="386"/>
                              </a:lnTo>
                              <a:lnTo>
                                <a:pt x="653" y="386"/>
                              </a:lnTo>
                              <a:lnTo>
                                <a:pt x="654" y="386"/>
                              </a:lnTo>
                              <a:lnTo>
                                <a:pt x="655" y="386"/>
                              </a:lnTo>
                              <a:lnTo>
                                <a:pt x="656" y="386"/>
                              </a:lnTo>
                              <a:lnTo>
                                <a:pt x="656" y="386"/>
                              </a:lnTo>
                              <a:lnTo>
                                <a:pt x="657" y="387"/>
                              </a:lnTo>
                              <a:lnTo>
                                <a:pt x="658" y="387"/>
                              </a:lnTo>
                              <a:lnTo>
                                <a:pt x="659" y="387"/>
                              </a:lnTo>
                              <a:lnTo>
                                <a:pt x="660" y="387"/>
                              </a:lnTo>
                              <a:lnTo>
                                <a:pt x="661" y="387"/>
                              </a:lnTo>
                              <a:lnTo>
                                <a:pt x="663" y="387"/>
                              </a:lnTo>
                              <a:lnTo>
                                <a:pt x="663" y="387"/>
                              </a:lnTo>
                              <a:lnTo>
                                <a:pt x="665" y="387"/>
                              </a:lnTo>
                              <a:lnTo>
                                <a:pt x="666" y="387"/>
                              </a:lnTo>
                              <a:lnTo>
                                <a:pt x="667" y="387"/>
                              </a:lnTo>
                              <a:lnTo>
                                <a:pt x="667" y="387"/>
                              </a:lnTo>
                              <a:lnTo>
                                <a:pt x="668" y="387"/>
                              </a:lnTo>
                              <a:lnTo>
                                <a:pt x="669" y="387"/>
                              </a:lnTo>
                              <a:lnTo>
                                <a:pt x="669" y="387"/>
                              </a:lnTo>
                              <a:lnTo>
                                <a:pt x="670" y="387"/>
                              </a:lnTo>
                              <a:lnTo>
                                <a:pt x="671" y="387"/>
                              </a:lnTo>
                              <a:lnTo>
                                <a:pt x="672" y="387"/>
                              </a:lnTo>
                              <a:lnTo>
                                <a:pt x="673" y="387"/>
                              </a:lnTo>
                              <a:lnTo>
                                <a:pt x="675" y="387"/>
                              </a:lnTo>
                              <a:lnTo>
                                <a:pt x="676" y="386"/>
                              </a:lnTo>
                              <a:lnTo>
                                <a:pt x="678" y="386"/>
                              </a:lnTo>
                              <a:lnTo>
                                <a:pt x="679" y="386"/>
                              </a:lnTo>
                              <a:lnTo>
                                <a:pt x="680" y="386"/>
                              </a:lnTo>
                              <a:lnTo>
                                <a:pt x="682" y="386"/>
                              </a:lnTo>
                              <a:lnTo>
                                <a:pt x="683" y="385"/>
                              </a:lnTo>
                              <a:lnTo>
                                <a:pt x="685" y="385"/>
                              </a:lnTo>
                              <a:lnTo>
                                <a:pt x="687" y="384"/>
                              </a:lnTo>
                              <a:lnTo>
                                <a:pt x="689" y="384"/>
                              </a:lnTo>
                              <a:lnTo>
                                <a:pt x="692" y="383"/>
                              </a:lnTo>
                              <a:lnTo>
                                <a:pt x="696" y="382"/>
                              </a:lnTo>
                              <a:lnTo>
                                <a:pt x="701" y="381"/>
                              </a:lnTo>
                              <a:lnTo>
                                <a:pt x="706" y="380"/>
                              </a:lnTo>
                              <a:lnTo>
                                <a:pt x="709" y="379"/>
                              </a:lnTo>
                              <a:lnTo>
                                <a:pt x="710" y="379"/>
                              </a:lnTo>
                              <a:lnTo>
                                <a:pt x="711" y="378"/>
                              </a:lnTo>
                              <a:lnTo>
                                <a:pt x="712" y="378"/>
                              </a:lnTo>
                              <a:lnTo>
                                <a:pt x="713" y="378"/>
                              </a:lnTo>
                            </a:path>
                          </a:pathLst>
                        </a:custGeom>
                        <a:noFill/>
                        <a:ln w="4763">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69" name="Freeform 157"/>
                        <a:cNvSpPr>
                          <a:spLocks/>
                        </a:cNvSpPr>
                      </a:nvSpPr>
                      <a:spPr bwMode="auto">
                        <a:xfrm>
                          <a:off x="5175594" y="11158685"/>
                          <a:ext cx="2677391" cy="79431"/>
                        </a:xfrm>
                        <a:custGeom>
                          <a:avLst/>
                          <a:gdLst/>
                          <a:ahLst/>
                          <a:cxnLst>
                            <a:cxn ang="0">
                              <a:pos x="15" y="21"/>
                            </a:cxn>
                            <a:cxn ang="0">
                              <a:pos x="26" y="18"/>
                            </a:cxn>
                            <a:cxn ang="0">
                              <a:pos x="35" y="19"/>
                            </a:cxn>
                            <a:cxn ang="0">
                              <a:pos x="43" y="22"/>
                            </a:cxn>
                            <a:cxn ang="0">
                              <a:pos x="58" y="28"/>
                            </a:cxn>
                            <a:cxn ang="0">
                              <a:pos x="83" y="35"/>
                            </a:cxn>
                            <a:cxn ang="0">
                              <a:pos x="89" y="37"/>
                            </a:cxn>
                            <a:cxn ang="0">
                              <a:pos x="113" y="42"/>
                            </a:cxn>
                            <a:cxn ang="0">
                              <a:pos x="130" y="45"/>
                            </a:cxn>
                            <a:cxn ang="0">
                              <a:pos x="152" y="49"/>
                            </a:cxn>
                            <a:cxn ang="0">
                              <a:pos x="173" y="52"/>
                            </a:cxn>
                            <a:cxn ang="0">
                              <a:pos x="190" y="54"/>
                            </a:cxn>
                            <a:cxn ang="0">
                              <a:pos x="218" y="55"/>
                            </a:cxn>
                            <a:cxn ang="0">
                              <a:pos x="245" y="55"/>
                            </a:cxn>
                            <a:cxn ang="0">
                              <a:pos x="277" y="56"/>
                            </a:cxn>
                            <a:cxn ang="0">
                              <a:pos x="322" y="56"/>
                            </a:cxn>
                            <a:cxn ang="0">
                              <a:pos x="363" y="56"/>
                            </a:cxn>
                            <a:cxn ang="0">
                              <a:pos x="407" y="56"/>
                            </a:cxn>
                            <a:cxn ang="0">
                              <a:pos x="444" y="56"/>
                            </a:cxn>
                            <a:cxn ang="0">
                              <a:pos x="473" y="56"/>
                            </a:cxn>
                            <a:cxn ang="0">
                              <a:pos x="493" y="56"/>
                            </a:cxn>
                            <a:cxn ang="0">
                              <a:pos x="521" y="56"/>
                            </a:cxn>
                            <a:cxn ang="0">
                              <a:pos x="547" y="55"/>
                            </a:cxn>
                            <a:cxn ang="0">
                              <a:pos x="597" y="55"/>
                            </a:cxn>
                            <a:cxn ang="0">
                              <a:pos x="655" y="55"/>
                            </a:cxn>
                            <a:cxn ang="0">
                              <a:pos x="702" y="54"/>
                            </a:cxn>
                            <a:cxn ang="0">
                              <a:pos x="749" y="54"/>
                            </a:cxn>
                            <a:cxn ang="0">
                              <a:pos x="786" y="53"/>
                            </a:cxn>
                            <a:cxn ang="0">
                              <a:pos x="833" y="52"/>
                            </a:cxn>
                            <a:cxn ang="0">
                              <a:pos x="884" y="51"/>
                            </a:cxn>
                            <a:cxn ang="0">
                              <a:pos x="923" y="51"/>
                            </a:cxn>
                            <a:cxn ang="0">
                              <a:pos x="965" y="50"/>
                            </a:cxn>
                            <a:cxn ang="0">
                              <a:pos x="1018" y="49"/>
                            </a:cxn>
                            <a:cxn ang="0">
                              <a:pos x="1054" y="48"/>
                            </a:cxn>
                            <a:cxn ang="0">
                              <a:pos x="1095" y="47"/>
                            </a:cxn>
                            <a:cxn ang="0">
                              <a:pos x="1141" y="46"/>
                            </a:cxn>
                            <a:cxn ang="0">
                              <a:pos x="1177" y="45"/>
                            </a:cxn>
                            <a:cxn ang="0">
                              <a:pos x="1205" y="44"/>
                            </a:cxn>
                            <a:cxn ang="0">
                              <a:pos x="1230" y="43"/>
                            </a:cxn>
                            <a:cxn ang="0">
                              <a:pos x="1251" y="41"/>
                            </a:cxn>
                            <a:cxn ang="0">
                              <a:pos x="1268" y="39"/>
                            </a:cxn>
                            <a:cxn ang="0">
                              <a:pos x="1287" y="36"/>
                            </a:cxn>
                            <a:cxn ang="0">
                              <a:pos x="1310" y="31"/>
                            </a:cxn>
                            <a:cxn ang="0">
                              <a:pos x="1349" y="23"/>
                            </a:cxn>
                            <a:cxn ang="0">
                              <a:pos x="1365" y="20"/>
                            </a:cxn>
                            <a:cxn ang="0">
                              <a:pos x="1395" y="14"/>
                            </a:cxn>
                            <a:cxn ang="0">
                              <a:pos x="1412" y="12"/>
                            </a:cxn>
                            <a:cxn ang="0">
                              <a:pos x="1445" y="8"/>
                            </a:cxn>
                            <a:cxn ang="0">
                              <a:pos x="1483" y="6"/>
                            </a:cxn>
                            <a:cxn ang="0">
                              <a:pos x="1518" y="5"/>
                            </a:cxn>
                            <a:cxn ang="0">
                              <a:pos x="1571" y="7"/>
                            </a:cxn>
                            <a:cxn ang="0">
                              <a:pos x="1608" y="8"/>
                            </a:cxn>
                            <a:cxn ang="0">
                              <a:pos x="1658" y="11"/>
                            </a:cxn>
                            <a:cxn ang="0">
                              <a:pos x="1705" y="13"/>
                            </a:cxn>
                            <a:cxn ang="0">
                              <a:pos x="1756" y="15"/>
                            </a:cxn>
                            <a:cxn ang="0">
                              <a:pos x="1801" y="17"/>
                            </a:cxn>
                            <a:cxn ang="0">
                              <a:pos x="1854" y="19"/>
                            </a:cxn>
                            <a:cxn ang="0">
                              <a:pos x="1896" y="21"/>
                            </a:cxn>
                            <a:cxn ang="0">
                              <a:pos x="1925" y="22"/>
                            </a:cxn>
                            <a:cxn ang="0">
                              <a:pos x="1949" y="20"/>
                            </a:cxn>
                            <a:cxn ang="0">
                              <a:pos x="1965" y="18"/>
                            </a:cxn>
                            <a:cxn ang="0">
                              <a:pos x="1975" y="15"/>
                            </a:cxn>
                            <a:cxn ang="0">
                              <a:pos x="1991" y="9"/>
                            </a:cxn>
                          </a:cxnLst>
                          <a:rect l="0" t="0" r="r" b="b"/>
                          <a:pathLst>
                            <a:path w="2006" h="56">
                              <a:moveTo>
                                <a:pt x="0" y="26"/>
                              </a:moveTo>
                              <a:lnTo>
                                <a:pt x="1" y="26"/>
                              </a:lnTo>
                              <a:lnTo>
                                <a:pt x="2" y="25"/>
                              </a:lnTo>
                              <a:lnTo>
                                <a:pt x="4" y="25"/>
                              </a:lnTo>
                              <a:lnTo>
                                <a:pt x="7" y="24"/>
                              </a:lnTo>
                              <a:lnTo>
                                <a:pt x="10" y="23"/>
                              </a:lnTo>
                              <a:lnTo>
                                <a:pt x="13" y="22"/>
                              </a:lnTo>
                              <a:lnTo>
                                <a:pt x="15" y="21"/>
                              </a:lnTo>
                              <a:lnTo>
                                <a:pt x="17" y="21"/>
                              </a:lnTo>
                              <a:lnTo>
                                <a:pt x="19" y="20"/>
                              </a:lnTo>
                              <a:lnTo>
                                <a:pt x="20" y="20"/>
                              </a:lnTo>
                              <a:lnTo>
                                <a:pt x="21" y="19"/>
                              </a:lnTo>
                              <a:lnTo>
                                <a:pt x="23" y="19"/>
                              </a:lnTo>
                              <a:lnTo>
                                <a:pt x="24" y="19"/>
                              </a:lnTo>
                              <a:lnTo>
                                <a:pt x="25" y="19"/>
                              </a:lnTo>
                              <a:lnTo>
                                <a:pt x="26" y="18"/>
                              </a:lnTo>
                              <a:lnTo>
                                <a:pt x="27" y="18"/>
                              </a:lnTo>
                              <a:lnTo>
                                <a:pt x="28" y="18"/>
                              </a:lnTo>
                              <a:lnTo>
                                <a:pt x="29" y="18"/>
                              </a:lnTo>
                              <a:lnTo>
                                <a:pt x="30" y="19"/>
                              </a:lnTo>
                              <a:lnTo>
                                <a:pt x="31" y="19"/>
                              </a:lnTo>
                              <a:lnTo>
                                <a:pt x="33" y="19"/>
                              </a:lnTo>
                              <a:lnTo>
                                <a:pt x="34" y="19"/>
                              </a:lnTo>
                              <a:lnTo>
                                <a:pt x="35" y="19"/>
                              </a:lnTo>
                              <a:lnTo>
                                <a:pt x="36" y="20"/>
                              </a:lnTo>
                              <a:lnTo>
                                <a:pt x="37" y="20"/>
                              </a:lnTo>
                              <a:lnTo>
                                <a:pt x="39" y="21"/>
                              </a:lnTo>
                              <a:lnTo>
                                <a:pt x="40" y="21"/>
                              </a:lnTo>
                              <a:lnTo>
                                <a:pt x="41" y="21"/>
                              </a:lnTo>
                              <a:lnTo>
                                <a:pt x="41" y="22"/>
                              </a:lnTo>
                              <a:lnTo>
                                <a:pt x="42" y="22"/>
                              </a:lnTo>
                              <a:lnTo>
                                <a:pt x="43" y="22"/>
                              </a:lnTo>
                              <a:lnTo>
                                <a:pt x="43" y="22"/>
                              </a:lnTo>
                              <a:lnTo>
                                <a:pt x="44" y="23"/>
                              </a:lnTo>
                              <a:lnTo>
                                <a:pt x="46" y="24"/>
                              </a:lnTo>
                              <a:lnTo>
                                <a:pt x="49" y="25"/>
                              </a:lnTo>
                              <a:lnTo>
                                <a:pt x="51" y="26"/>
                              </a:lnTo>
                              <a:lnTo>
                                <a:pt x="53" y="27"/>
                              </a:lnTo>
                              <a:lnTo>
                                <a:pt x="55" y="27"/>
                              </a:lnTo>
                              <a:lnTo>
                                <a:pt x="58" y="28"/>
                              </a:lnTo>
                              <a:lnTo>
                                <a:pt x="60" y="29"/>
                              </a:lnTo>
                              <a:lnTo>
                                <a:pt x="62" y="30"/>
                              </a:lnTo>
                              <a:lnTo>
                                <a:pt x="65" y="30"/>
                              </a:lnTo>
                              <a:lnTo>
                                <a:pt x="67" y="31"/>
                              </a:lnTo>
                              <a:lnTo>
                                <a:pt x="70" y="32"/>
                              </a:lnTo>
                              <a:lnTo>
                                <a:pt x="75" y="33"/>
                              </a:lnTo>
                              <a:lnTo>
                                <a:pt x="80" y="34"/>
                              </a:lnTo>
                              <a:lnTo>
                                <a:pt x="83" y="35"/>
                              </a:lnTo>
                              <a:lnTo>
                                <a:pt x="84" y="35"/>
                              </a:lnTo>
                              <a:lnTo>
                                <a:pt x="85" y="36"/>
                              </a:lnTo>
                              <a:lnTo>
                                <a:pt x="86" y="36"/>
                              </a:lnTo>
                              <a:lnTo>
                                <a:pt x="87" y="36"/>
                              </a:lnTo>
                              <a:lnTo>
                                <a:pt x="87" y="36"/>
                              </a:lnTo>
                              <a:lnTo>
                                <a:pt x="88" y="36"/>
                              </a:lnTo>
                              <a:lnTo>
                                <a:pt x="88" y="36"/>
                              </a:lnTo>
                              <a:lnTo>
                                <a:pt x="89" y="37"/>
                              </a:lnTo>
                              <a:lnTo>
                                <a:pt x="91" y="37"/>
                              </a:lnTo>
                              <a:lnTo>
                                <a:pt x="93" y="38"/>
                              </a:lnTo>
                              <a:lnTo>
                                <a:pt x="95" y="38"/>
                              </a:lnTo>
                              <a:lnTo>
                                <a:pt x="98" y="39"/>
                              </a:lnTo>
                              <a:lnTo>
                                <a:pt x="102" y="40"/>
                              </a:lnTo>
                              <a:lnTo>
                                <a:pt x="106" y="41"/>
                              </a:lnTo>
                              <a:lnTo>
                                <a:pt x="109" y="41"/>
                              </a:lnTo>
                              <a:lnTo>
                                <a:pt x="113" y="42"/>
                              </a:lnTo>
                              <a:lnTo>
                                <a:pt x="116" y="43"/>
                              </a:lnTo>
                              <a:lnTo>
                                <a:pt x="119" y="43"/>
                              </a:lnTo>
                              <a:lnTo>
                                <a:pt x="123" y="44"/>
                              </a:lnTo>
                              <a:lnTo>
                                <a:pt x="125" y="45"/>
                              </a:lnTo>
                              <a:lnTo>
                                <a:pt x="127" y="45"/>
                              </a:lnTo>
                              <a:lnTo>
                                <a:pt x="128" y="45"/>
                              </a:lnTo>
                              <a:lnTo>
                                <a:pt x="129" y="45"/>
                              </a:lnTo>
                              <a:lnTo>
                                <a:pt x="130" y="45"/>
                              </a:lnTo>
                              <a:lnTo>
                                <a:pt x="131" y="46"/>
                              </a:lnTo>
                              <a:lnTo>
                                <a:pt x="132" y="46"/>
                              </a:lnTo>
                              <a:lnTo>
                                <a:pt x="132" y="46"/>
                              </a:lnTo>
                              <a:lnTo>
                                <a:pt x="137" y="47"/>
                              </a:lnTo>
                              <a:lnTo>
                                <a:pt x="143" y="48"/>
                              </a:lnTo>
                              <a:lnTo>
                                <a:pt x="147" y="48"/>
                              </a:lnTo>
                              <a:lnTo>
                                <a:pt x="150" y="49"/>
                              </a:lnTo>
                              <a:lnTo>
                                <a:pt x="152" y="49"/>
                              </a:lnTo>
                              <a:lnTo>
                                <a:pt x="155" y="50"/>
                              </a:lnTo>
                              <a:lnTo>
                                <a:pt x="158" y="50"/>
                              </a:lnTo>
                              <a:lnTo>
                                <a:pt x="161" y="51"/>
                              </a:lnTo>
                              <a:lnTo>
                                <a:pt x="163" y="51"/>
                              </a:lnTo>
                              <a:lnTo>
                                <a:pt x="166" y="51"/>
                              </a:lnTo>
                              <a:lnTo>
                                <a:pt x="169" y="52"/>
                              </a:lnTo>
                              <a:lnTo>
                                <a:pt x="171" y="52"/>
                              </a:lnTo>
                              <a:lnTo>
                                <a:pt x="173" y="52"/>
                              </a:lnTo>
                              <a:lnTo>
                                <a:pt x="175" y="52"/>
                              </a:lnTo>
                              <a:lnTo>
                                <a:pt x="176" y="52"/>
                              </a:lnTo>
                              <a:lnTo>
                                <a:pt x="178" y="53"/>
                              </a:lnTo>
                              <a:lnTo>
                                <a:pt x="181" y="53"/>
                              </a:lnTo>
                              <a:lnTo>
                                <a:pt x="184" y="53"/>
                              </a:lnTo>
                              <a:lnTo>
                                <a:pt x="186" y="53"/>
                              </a:lnTo>
                              <a:lnTo>
                                <a:pt x="188" y="53"/>
                              </a:lnTo>
                              <a:lnTo>
                                <a:pt x="190" y="54"/>
                              </a:lnTo>
                              <a:lnTo>
                                <a:pt x="192" y="54"/>
                              </a:lnTo>
                              <a:lnTo>
                                <a:pt x="195" y="54"/>
                              </a:lnTo>
                              <a:lnTo>
                                <a:pt x="198" y="54"/>
                              </a:lnTo>
                              <a:lnTo>
                                <a:pt x="203" y="54"/>
                              </a:lnTo>
                              <a:lnTo>
                                <a:pt x="208" y="54"/>
                              </a:lnTo>
                              <a:lnTo>
                                <a:pt x="212" y="55"/>
                              </a:lnTo>
                              <a:lnTo>
                                <a:pt x="215" y="55"/>
                              </a:lnTo>
                              <a:lnTo>
                                <a:pt x="218" y="55"/>
                              </a:lnTo>
                              <a:lnTo>
                                <a:pt x="219" y="55"/>
                              </a:lnTo>
                              <a:lnTo>
                                <a:pt x="222" y="55"/>
                              </a:lnTo>
                              <a:lnTo>
                                <a:pt x="226" y="55"/>
                              </a:lnTo>
                              <a:lnTo>
                                <a:pt x="230" y="55"/>
                              </a:lnTo>
                              <a:lnTo>
                                <a:pt x="234" y="55"/>
                              </a:lnTo>
                              <a:lnTo>
                                <a:pt x="237" y="55"/>
                              </a:lnTo>
                              <a:lnTo>
                                <a:pt x="241" y="55"/>
                              </a:lnTo>
                              <a:lnTo>
                                <a:pt x="245" y="55"/>
                              </a:lnTo>
                              <a:lnTo>
                                <a:pt x="249" y="55"/>
                              </a:lnTo>
                              <a:lnTo>
                                <a:pt x="253" y="56"/>
                              </a:lnTo>
                              <a:lnTo>
                                <a:pt x="258" y="56"/>
                              </a:lnTo>
                              <a:lnTo>
                                <a:pt x="262" y="56"/>
                              </a:lnTo>
                              <a:lnTo>
                                <a:pt x="266" y="56"/>
                              </a:lnTo>
                              <a:lnTo>
                                <a:pt x="269" y="56"/>
                              </a:lnTo>
                              <a:lnTo>
                                <a:pt x="273" y="56"/>
                              </a:lnTo>
                              <a:lnTo>
                                <a:pt x="277" y="56"/>
                              </a:lnTo>
                              <a:lnTo>
                                <a:pt x="281" y="56"/>
                              </a:lnTo>
                              <a:lnTo>
                                <a:pt x="286" y="56"/>
                              </a:lnTo>
                              <a:lnTo>
                                <a:pt x="292" y="56"/>
                              </a:lnTo>
                              <a:lnTo>
                                <a:pt x="299" y="56"/>
                              </a:lnTo>
                              <a:lnTo>
                                <a:pt x="307" y="56"/>
                              </a:lnTo>
                              <a:lnTo>
                                <a:pt x="313" y="56"/>
                              </a:lnTo>
                              <a:lnTo>
                                <a:pt x="317" y="56"/>
                              </a:lnTo>
                              <a:lnTo>
                                <a:pt x="322" y="56"/>
                              </a:lnTo>
                              <a:lnTo>
                                <a:pt x="327" y="56"/>
                              </a:lnTo>
                              <a:lnTo>
                                <a:pt x="333" y="56"/>
                              </a:lnTo>
                              <a:lnTo>
                                <a:pt x="338" y="56"/>
                              </a:lnTo>
                              <a:lnTo>
                                <a:pt x="345" y="56"/>
                              </a:lnTo>
                              <a:lnTo>
                                <a:pt x="351" y="56"/>
                              </a:lnTo>
                              <a:lnTo>
                                <a:pt x="355" y="56"/>
                              </a:lnTo>
                              <a:lnTo>
                                <a:pt x="358" y="56"/>
                              </a:lnTo>
                              <a:lnTo>
                                <a:pt x="363" y="56"/>
                              </a:lnTo>
                              <a:lnTo>
                                <a:pt x="371" y="56"/>
                              </a:lnTo>
                              <a:lnTo>
                                <a:pt x="380" y="56"/>
                              </a:lnTo>
                              <a:lnTo>
                                <a:pt x="388" y="56"/>
                              </a:lnTo>
                              <a:lnTo>
                                <a:pt x="394" y="56"/>
                              </a:lnTo>
                              <a:lnTo>
                                <a:pt x="398" y="56"/>
                              </a:lnTo>
                              <a:lnTo>
                                <a:pt x="401" y="56"/>
                              </a:lnTo>
                              <a:lnTo>
                                <a:pt x="404" y="56"/>
                              </a:lnTo>
                              <a:lnTo>
                                <a:pt x="407" y="56"/>
                              </a:lnTo>
                              <a:lnTo>
                                <a:pt x="410" y="56"/>
                              </a:lnTo>
                              <a:lnTo>
                                <a:pt x="415" y="56"/>
                              </a:lnTo>
                              <a:lnTo>
                                <a:pt x="421" y="56"/>
                              </a:lnTo>
                              <a:lnTo>
                                <a:pt x="427" y="56"/>
                              </a:lnTo>
                              <a:lnTo>
                                <a:pt x="434" y="56"/>
                              </a:lnTo>
                              <a:lnTo>
                                <a:pt x="438" y="56"/>
                              </a:lnTo>
                              <a:lnTo>
                                <a:pt x="441" y="56"/>
                              </a:lnTo>
                              <a:lnTo>
                                <a:pt x="444" y="56"/>
                              </a:lnTo>
                              <a:lnTo>
                                <a:pt x="448" y="56"/>
                              </a:lnTo>
                              <a:lnTo>
                                <a:pt x="452" y="56"/>
                              </a:lnTo>
                              <a:lnTo>
                                <a:pt x="455" y="56"/>
                              </a:lnTo>
                              <a:lnTo>
                                <a:pt x="459" y="56"/>
                              </a:lnTo>
                              <a:lnTo>
                                <a:pt x="462" y="56"/>
                              </a:lnTo>
                              <a:lnTo>
                                <a:pt x="466" y="56"/>
                              </a:lnTo>
                              <a:lnTo>
                                <a:pt x="469" y="56"/>
                              </a:lnTo>
                              <a:lnTo>
                                <a:pt x="473" y="56"/>
                              </a:lnTo>
                              <a:lnTo>
                                <a:pt x="476" y="56"/>
                              </a:lnTo>
                              <a:lnTo>
                                <a:pt x="479" y="56"/>
                              </a:lnTo>
                              <a:lnTo>
                                <a:pt x="481" y="56"/>
                              </a:lnTo>
                              <a:lnTo>
                                <a:pt x="483" y="56"/>
                              </a:lnTo>
                              <a:lnTo>
                                <a:pt x="485" y="56"/>
                              </a:lnTo>
                              <a:lnTo>
                                <a:pt x="488" y="56"/>
                              </a:lnTo>
                              <a:lnTo>
                                <a:pt x="490" y="56"/>
                              </a:lnTo>
                              <a:lnTo>
                                <a:pt x="493" y="56"/>
                              </a:lnTo>
                              <a:lnTo>
                                <a:pt x="495" y="56"/>
                              </a:lnTo>
                              <a:lnTo>
                                <a:pt x="497" y="56"/>
                              </a:lnTo>
                              <a:lnTo>
                                <a:pt x="500" y="56"/>
                              </a:lnTo>
                              <a:lnTo>
                                <a:pt x="503" y="56"/>
                              </a:lnTo>
                              <a:lnTo>
                                <a:pt x="507" y="56"/>
                              </a:lnTo>
                              <a:lnTo>
                                <a:pt x="512" y="56"/>
                              </a:lnTo>
                              <a:lnTo>
                                <a:pt x="517" y="56"/>
                              </a:lnTo>
                              <a:lnTo>
                                <a:pt x="521" y="56"/>
                              </a:lnTo>
                              <a:lnTo>
                                <a:pt x="524" y="56"/>
                              </a:lnTo>
                              <a:lnTo>
                                <a:pt x="526" y="56"/>
                              </a:lnTo>
                              <a:lnTo>
                                <a:pt x="528" y="56"/>
                              </a:lnTo>
                              <a:lnTo>
                                <a:pt x="531" y="56"/>
                              </a:lnTo>
                              <a:lnTo>
                                <a:pt x="534" y="56"/>
                              </a:lnTo>
                              <a:lnTo>
                                <a:pt x="539" y="56"/>
                              </a:lnTo>
                              <a:lnTo>
                                <a:pt x="543" y="55"/>
                              </a:lnTo>
                              <a:lnTo>
                                <a:pt x="547" y="55"/>
                              </a:lnTo>
                              <a:lnTo>
                                <a:pt x="551" y="55"/>
                              </a:lnTo>
                              <a:lnTo>
                                <a:pt x="555" y="55"/>
                              </a:lnTo>
                              <a:lnTo>
                                <a:pt x="560" y="55"/>
                              </a:lnTo>
                              <a:lnTo>
                                <a:pt x="566" y="55"/>
                              </a:lnTo>
                              <a:lnTo>
                                <a:pt x="573" y="55"/>
                              </a:lnTo>
                              <a:lnTo>
                                <a:pt x="582" y="55"/>
                              </a:lnTo>
                              <a:lnTo>
                                <a:pt x="589" y="55"/>
                              </a:lnTo>
                              <a:lnTo>
                                <a:pt x="597" y="55"/>
                              </a:lnTo>
                              <a:lnTo>
                                <a:pt x="606" y="55"/>
                              </a:lnTo>
                              <a:lnTo>
                                <a:pt x="612" y="55"/>
                              </a:lnTo>
                              <a:lnTo>
                                <a:pt x="619" y="55"/>
                              </a:lnTo>
                              <a:lnTo>
                                <a:pt x="627" y="55"/>
                              </a:lnTo>
                              <a:lnTo>
                                <a:pt x="634" y="55"/>
                              </a:lnTo>
                              <a:lnTo>
                                <a:pt x="641" y="55"/>
                              </a:lnTo>
                              <a:lnTo>
                                <a:pt x="648" y="55"/>
                              </a:lnTo>
                              <a:lnTo>
                                <a:pt x="655" y="55"/>
                              </a:lnTo>
                              <a:lnTo>
                                <a:pt x="662" y="55"/>
                              </a:lnTo>
                              <a:lnTo>
                                <a:pt x="669" y="55"/>
                              </a:lnTo>
                              <a:lnTo>
                                <a:pt x="676" y="55"/>
                              </a:lnTo>
                              <a:lnTo>
                                <a:pt x="683" y="55"/>
                              </a:lnTo>
                              <a:lnTo>
                                <a:pt x="691" y="55"/>
                              </a:lnTo>
                              <a:lnTo>
                                <a:pt x="697" y="54"/>
                              </a:lnTo>
                              <a:lnTo>
                                <a:pt x="700" y="54"/>
                              </a:lnTo>
                              <a:lnTo>
                                <a:pt x="702" y="54"/>
                              </a:lnTo>
                              <a:lnTo>
                                <a:pt x="706" y="54"/>
                              </a:lnTo>
                              <a:lnTo>
                                <a:pt x="711" y="54"/>
                              </a:lnTo>
                              <a:lnTo>
                                <a:pt x="717" y="54"/>
                              </a:lnTo>
                              <a:lnTo>
                                <a:pt x="724" y="54"/>
                              </a:lnTo>
                              <a:lnTo>
                                <a:pt x="733" y="54"/>
                              </a:lnTo>
                              <a:lnTo>
                                <a:pt x="740" y="54"/>
                              </a:lnTo>
                              <a:lnTo>
                                <a:pt x="744" y="54"/>
                              </a:lnTo>
                              <a:lnTo>
                                <a:pt x="749" y="54"/>
                              </a:lnTo>
                              <a:lnTo>
                                <a:pt x="754" y="54"/>
                              </a:lnTo>
                              <a:lnTo>
                                <a:pt x="758" y="53"/>
                              </a:lnTo>
                              <a:lnTo>
                                <a:pt x="763" y="53"/>
                              </a:lnTo>
                              <a:lnTo>
                                <a:pt x="768" y="53"/>
                              </a:lnTo>
                              <a:lnTo>
                                <a:pt x="772" y="53"/>
                              </a:lnTo>
                              <a:lnTo>
                                <a:pt x="777" y="53"/>
                              </a:lnTo>
                              <a:lnTo>
                                <a:pt x="782" y="53"/>
                              </a:lnTo>
                              <a:lnTo>
                                <a:pt x="786" y="53"/>
                              </a:lnTo>
                              <a:lnTo>
                                <a:pt x="791" y="53"/>
                              </a:lnTo>
                              <a:lnTo>
                                <a:pt x="797" y="53"/>
                              </a:lnTo>
                              <a:lnTo>
                                <a:pt x="804" y="53"/>
                              </a:lnTo>
                              <a:lnTo>
                                <a:pt x="808" y="53"/>
                              </a:lnTo>
                              <a:lnTo>
                                <a:pt x="814" y="53"/>
                              </a:lnTo>
                              <a:lnTo>
                                <a:pt x="823" y="52"/>
                              </a:lnTo>
                              <a:lnTo>
                                <a:pt x="829" y="52"/>
                              </a:lnTo>
                              <a:lnTo>
                                <a:pt x="833" y="52"/>
                              </a:lnTo>
                              <a:lnTo>
                                <a:pt x="837" y="52"/>
                              </a:lnTo>
                              <a:lnTo>
                                <a:pt x="842" y="52"/>
                              </a:lnTo>
                              <a:lnTo>
                                <a:pt x="848" y="52"/>
                              </a:lnTo>
                              <a:lnTo>
                                <a:pt x="853" y="52"/>
                              </a:lnTo>
                              <a:lnTo>
                                <a:pt x="861" y="52"/>
                              </a:lnTo>
                              <a:lnTo>
                                <a:pt x="870" y="52"/>
                              </a:lnTo>
                              <a:lnTo>
                                <a:pt x="877" y="52"/>
                              </a:lnTo>
                              <a:lnTo>
                                <a:pt x="884" y="51"/>
                              </a:lnTo>
                              <a:lnTo>
                                <a:pt x="890" y="51"/>
                              </a:lnTo>
                              <a:lnTo>
                                <a:pt x="897" y="51"/>
                              </a:lnTo>
                              <a:lnTo>
                                <a:pt x="903" y="51"/>
                              </a:lnTo>
                              <a:lnTo>
                                <a:pt x="909" y="51"/>
                              </a:lnTo>
                              <a:lnTo>
                                <a:pt x="916" y="51"/>
                              </a:lnTo>
                              <a:lnTo>
                                <a:pt x="919" y="51"/>
                              </a:lnTo>
                              <a:lnTo>
                                <a:pt x="921" y="51"/>
                              </a:lnTo>
                              <a:lnTo>
                                <a:pt x="923" y="51"/>
                              </a:lnTo>
                              <a:lnTo>
                                <a:pt x="925" y="51"/>
                              </a:lnTo>
                              <a:lnTo>
                                <a:pt x="929" y="51"/>
                              </a:lnTo>
                              <a:lnTo>
                                <a:pt x="933" y="50"/>
                              </a:lnTo>
                              <a:lnTo>
                                <a:pt x="938" y="50"/>
                              </a:lnTo>
                              <a:lnTo>
                                <a:pt x="944" y="50"/>
                              </a:lnTo>
                              <a:lnTo>
                                <a:pt x="951" y="50"/>
                              </a:lnTo>
                              <a:lnTo>
                                <a:pt x="959" y="50"/>
                              </a:lnTo>
                              <a:lnTo>
                                <a:pt x="965" y="50"/>
                              </a:lnTo>
                              <a:lnTo>
                                <a:pt x="971" y="50"/>
                              </a:lnTo>
                              <a:lnTo>
                                <a:pt x="977" y="50"/>
                              </a:lnTo>
                              <a:lnTo>
                                <a:pt x="985" y="50"/>
                              </a:lnTo>
                              <a:lnTo>
                                <a:pt x="994" y="49"/>
                              </a:lnTo>
                              <a:lnTo>
                                <a:pt x="1002" y="49"/>
                              </a:lnTo>
                              <a:lnTo>
                                <a:pt x="1008" y="49"/>
                              </a:lnTo>
                              <a:lnTo>
                                <a:pt x="1013" y="49"/>
                              </a:lnTo>
                              <a:lnTo>
                                <a:pt x="1018" y="49"/>
                              </a:lnTo>
                              <a:lnTo>
                                <a:pt x="1023" y="49"/>
                              </a:lnTo>
                              <a:lnTo>
                                <a:pt x="1029" y="49"/>
                              </a:lnTo>
                              <a:lnTo>
                                <a:pt x="1035" y="49"/>
                              </a:lnTo>
                              <a:lnTo>
                                <a:pt x="1041" y="48"/>
                              </a:lnTo>
                              <a:lnTo>
                                <a:pt x="1046" y="48"/>
                              </a:lnTo>
                              <a:lnTo>
                                <a:pt x="1049" y="48"/>
                              </a:lnTo>
                              <a:lnTo>
                                <a:pt x="1051" y="48"/>
                              </a:lnTo>
                              <a:lnTo>
                                <a:pt x="1054" y="48"/>
                              </a:lnTo>
                              <a:lnTo>
                                <a:pt x="1059" y="48"/>
                              </a:lnTo>
                              <a:lnTo>
                                <a:pt x="1064" y="48"/>
                              </a:lnTo>
                              <a:lnTo>
                                <a:pt x="1071" y="48"/>
                              </a:lnTo>
                              <a:lnTo>
                                <a:pt x="1078" y="47"/>
                              </a:lnTo>
                              <a:lnTo>
                                <a:pt x="1085" y="47"/>
                              </a:lnTo>
                              <a:lnTo>
                                <a:pt x="1090" y="47"/>
                              </a:lnTo>
                              <a:lnTo>
                                <a:pt x="1093" y="47"/>
                              </a:lnTo>
                              <a:lnTo>
                                <a:pt x="1095" y="47"/>
                              </a:lnTo>
                              <a:lnTo>
                                <a:pt x="1100" y="47"/>
                              </a:lnTo>
                              <a:lnTo>
                                <a:pt x="1107" y="47"/>
                              </a:lnTo>
                              <a:lnTo>
                                <a:pt x="1116" y="46"/>
                              </a:lnTo>
                              <a:lnTo>
                                <a:pt x="1126" y="46"/>
                              </a:lnTo>
                              <a:lnTo>
                                <a:pt x="1134" y="46"/>
                              </a:lnTo>
                              <a:lnTo>
                                <a:pt x="1136" y="46"/>
                              </a:lnTo>
                              <a:lnTo>
                                <a:pt x="1138" y="46"/>
                              </a:lnTo>
                              <a:lnTo>
                                <a:pt x="1141" y="46"/>
                              </a:lnTo>
                              <a:lnTo>
                                <a:pt x="1147" y="46"/>
                              </a:lnTo>
                              <a:lnTo>
                                <a:pt x="1151" y="46"/>
                              </a:lnTo>
                              <a:lnTo>
                                <a:pt x="1154" y="45"/>
                              </a:lnTo>
                              <a:lnTo>
                                <a:pt x="1159" y="45"/>
                              </a:lnTo>
                              <a:lnTo>
                                <a:pt x="1164" y="45"/>
                              </a:lnTo>
                              <a:lnTo>
                                <a:pt x="1169" y="45"/>
                              </a:lnTo>
                              <a:lnTo>
                                <a:pt x="1174" y="45"/>
                              </a:lnTo>
                              <a:lnTo>
                                <a:pt x="1177" y="45"/>
                              </a:lnTo>
                              <a:lnTo>
                                <a:pt x="1179" y="45"/>
                              </a:lnTo>
                              <a:lnTo>
                                <a:pt x="1181" y="45"/>
                              </a:lnTo>
                              <a:lnTo>
                                <a:pt x="1184" y="45"/>
                              </a:lnTo>
                              <a:lnTo>
                                <a:pt x="1187" y="44"/>
                              </a:lnTo>
                              <a:lnTo>
                                <a:pt x="1191" y="44"/>
                              </a:lnTo>
                              <a:lnTo>
                                <a:pt x="1194" y="44"/>
                              </a:lnTo>
                              <a:lnTo>
                                <a:pt x="1199" y="44"/>
                              </a:lnTo>
                              <a:lnTo>
                                <a:pt x="1205" y="44"/>
                              </a:lnTo>
                              <a:lnTo>
                                <a:pt x="1211" y="44"/>
                              </a:lnTo>
                              <a:lnTo>
                                <a:pt x="1215" y="43"/>
                              </a:lnTo>
                              <a:lnTo>
                                <a:pt x="1219" y="43"/>
                              </a:lnTo>
                              <a:lnTo>
                                <a:pt x="1223" y="43"/>
                              </a:lnTo>
                              <a:lnTo>
                                <a:pt x="1225" y="43"/>
                              </a:lnTo>
                              <a:lnTo>
                                <a:pt x="1227" y="43"/>
                              </a:lnTo>
                              <a:lnTo>
                                <a:pt x="1228" y="43"/>
                              </a:lnTo>
                              <a:lnTo>
                                <a:pt x="1230" y="43"/>
                              </a:lnTo>
                              <a:lnTo>
                                <a:pt x="1232" y="43"/>
                              </a:lnTo>
                              <a:lnTo>
                                <a:pt x="1235" y="42"/>
                              </a:lnTo>
                              <a:lnTo>
                                <a:pt x="1238" y="42"/>
                              </a:lnTo>
                              <a:lnTo>
                                <a:pt x="1240" y="42"/>
                              </a:lnTo>
                              <a:lnTo>
                                <a:pt x="1243" y="42"/>
                              </a:lnTo>
                              <a:lnTo>
                                <a:pt x="1246" y="41"/>
                              </a:lnTo>
                              <a:lnTo>
                                <a:pt x="1248" y="41"/>
                              </a:lnTo>
                              <a:lnTo>
                                <a:pt x="1251" y="41"/>
                              </a:lnTo>
                              <a:lnTo>
                                <a:pt x="1254" y="41"/>
                              </a:lnTo>
                              <a:lnTo>
                                <a:pt x="1257" y="40"/>
                              </a:lnTo>
                              <a:lnTo>
                                <a:pt x="1260" y="40"/>
                              </a:lnTo>
                              <a:lnTo>
                                <a:pt x="1262" y="40"/>
                              </a:lnTo>
                              <a:lnTo>
                                <a:pt x="1264" y="39"/>
                              </a:lnTo>
                              <a:lnTo>
                                <a:pt x="1265" y="39"/>
                              </a:lnTo>
                              <a:lnTo>
                                <a:pt x="1267" y="39"/>
                              </a:lnTo>
                              <a:lnTo>
                                <a:pt x="1268" y="39"/>
                              </a:lnTo>
                              <a:lnTo>
                                <a:pt x="1269" y="39"/>
                              </a:lnTo>
                              <a:lnTo>
                                <a:pt x="1270" y="39"/>
                              </a:lnTo>
                              <a:lnTo>
                                <a:pt x="1270" y="38"/>
                              </a:lnTo>
                              <a:lnTo>
                                <a:pt x="1272" y="38"/>
                              </a:lnTo>
                              <a:lnTo>
                                <a:pt x="1275" y="38"/>
                              </a:lnTo>
                              <a:lnTo>
                                <a:pt x="1279" y="37"/>
                              </a:lnTo>
                              <a:lnTo>
                                <a:pt x="1283" y="36"/>
                              </a:lnTo>
                              <a:lnTo>
                                <a:pt x="1287" y="36"/>
                              </a:lnTo>
                              <a:lnTo>
                                <a:pt x="1290" y="35"/>
                              </a:lnTo>
                              <a:lnTo>
                                <a:pt x="1294" y="34"/>
                              </a:lnTo>
                              <a:lnTo>
                                <a:pt x="1298" y="33"/>
                              </a:lnTo>
                              <a:lnTo>
                                <a:pt x="1304" y="32"/>
                              </a:lnTo>
                              <a:lnTo>
                                <a:pt x="1307" y="32"/>
                              </a:lnTo>
                              <a:lnTo>
                                <a:pt x="1309" y="31"/>
                              </a:lnTo>
                              <a:lnTo>
                                <a:pt x="1310" y="31"/>
                              </a:lnTo>
                              <a:lnTo>
                                <a:pt x="1310" y="31"/>
                              </a:lnTo>
                              <a:lnTo>
                                <a:pt x="1311" y="31"/>
                              </a:lnTo>
                              <a:lnTo>
                                <a:pt x="1313" y="30"/>
                              </a:lnTo>
                              <a:lnTo>
                                <a:pt x="1316" y="30"/>
                              </a:lnTo>
                              <a:lnTo>
                                <a:pt x="1322" y="28"/>
                              </a:lnTo>
                              <a:lnTo>
                                <a:pt x="1330" y="27"/>
                              </a:lnTo>
                              <a:lnTo>
                                <a:pt x="1337" y="25"/>
                              </a:lnTo>
                              <a:lnTo>
                                <a:pt x="1343" y="24"/>
                              </a:lnTo>
                              <a:lnTo>
                                <a:pt x="1349" y="23"/>
                              </a:lnTo>
                              <a:lnTo>
                                <a:pt x="1351" y="22"/>
                              </a:lnTo>
                              <a:lnTo>
                                <a:pt x="1353" y="22"/>
                              </a:lnTo>
                              <a:lnTo>
                                <a:pt x="1354" y="22"/>
                              </a:lnTo>
                              <a:lnTo>
                                <a:pt x="1355" y="21"/>
                              </a:lnTo>
                              <a:lnTo>
                                <a:pt x="1356" y="21"/>
                              </a:lnTo>
                              <a:lnTo>
                                <a:pt x="1357" y="21"/>
                              </a:lnTo>
                              <a:lnTo>
                                <a:pt x="1361" y="20"/>
                              </a:lnTo>
                              <a:lnTo>
                                <a:pt x="1365" y="20"/>
                              </a:lnTo>
                              <a:lnTo>
                                <a:pt x="1370" y="19"/>
                              </a:lnTo>
                              <a:lnTo>
                                <a:pt x="1376" y="18"/>
                              </a:lnTo>
                              <a:lnTo>
                                <a:pt x="1380" y="17"/>
                              </a:lnTo>
                              <a:lnTo>
                                <a:pt x="1384" y="16"/>
                              </a:lnTo>
                              <a:lnTo>
                                <a:pt x="1387" y="16"/>
                              </a:lnTo>
                              <a:lnTo>
                                <a:pt x="1390" y="15"/>
                              </a:lnTo>
                              <a:lnTo>
                                <a:pt x="1393" y="15"/>
                              </a:lnTo>
                              <a:lnTo>
                                <a:pt x="1395" y="14"/>
                              </a:lnTo>
                              <a:lnTo>
                                <a:pt x="1396" y="14"/>
                              </a:lnTo>
                              <a:lnTo>
                                <a:pt x="1397" y="14"/>
                              </a:lnTo>
                              <a:lnTo>
                                <a:pt x="1398" y="14"/>
                              </a:lnTo>
                              <a:lnTo>
                                <a:pt x="1398" y="14"/>
                              </a:lnTo>
                              <a:lnTo>
                                <a:pt x="1401" y="14"/>
                              </a:lnTo>
                              <a:lnTo>
                                <a:pt x="1405" y="13"/>
                              </a:lnTo>
                              <a:lnTo>
                                <a:pt x="1408" y="12"/>
                              </a:lnTo>
                              <a:lnTo>
                                <a:pt x="1412" y="12"/>
                              </a:lnTo>
                              <a:lnTo>
                                <a:pt x="1418" y="11"/>
                              </a:lnTo>
                              <a:lnTo>
                                <a:pt x="1424" y="10"/>
                              </a:lnTo>
                              <a:lnTo>
                                <a:pt x="1430" y="10"/>
                              </a:lnTo>
                              <a:lnTo>
                                <a:pt x="1436" y="9"/>
                              </a:lnTo>
                              <a:lnTo>
                                <a:pt x="1440" y="9"/>
                              </a:lnTo>
                              <a:lnTo>
                                <a:pt x="1442" y="9"/>
                              </a:lnTo>
                              <a:lnTo>
                                <a:pt x="1443" y="8"/>
                              </a:lnTo>
                              <a:lnTo>
                                <a:pt x="1445" y="8"/>
                              </a:lnTo>
                              <a:lnTo>
                                <a:pt x="1449" y="8"/>
                              </a:lnTo>
                              <a:lnTo>
                                <a:pt x="1453" y="8"/>
                              </a:lnTo>
                              <a:lnTo>
                                <a:pt x="1457" y="7"/>
                              </a:lnTo>
                              <a:lnTo>
                                <a:pt x="1461" y="7"/>
                              </a:lnTo>
                              <a:lnTo>
                                <a:pt x="1467" y="7"/>
                              </a:lnTo>
                              <a:lnTo>
                                <a:pt x="1472" y="6"/>
                              </a:lnTo>
                              <a:lnTo>
                                <a:pt x="1478" y="6"/>
                              </a:lnTo>
                              <a:lnTo>
                                <a:pt x="1483" y="6"/>
                              </a:lnTo>
                              <a:lnTo>
                                <a:pt x="1488" y="6"/>
                              </a:lnTo>
                              <a:lnTo>
                                <a:pt x="1492" y="6"/>
                              </a:lnTo>
                              <a:lnTo>
                                <a:pt x="1497" y="6"/>
                              </a:lnTo>
                              <a:lnTo>
                                <a:pt x="1501" y="5"/>
                              </a:lnTo>
                              <a:lnTo>
                                <a:pt x="1504" y="5"/>
                              </a:lnTo>
                              <a:lnTo>
                                <a:pt x="1508" y="5"/>
                              </a:lnTo>
                              <a:lnTo>
                                <a:pt x="1513" y="5"/>
                              </a:lnTo>
                              <a:lnTo>
                                <a:pt x="1518" y="5"/>
                              </a:lnTo>
                              <a:lnTo>
                                <a:pt x="1526" y="6"/>
                              </a:lnTo>
                              <a:lnTo>
                                <a:pt x="1534" y="6"/>
                              </a:lnTo>
                              <a:lnTo>
                                <a:pt x="1539" y="6"/>
                              </a:lnTo>
                              <a:lnTo>
                                <a:pt x="1545" y="6"/>
                              </a:lnTo>
                              <a:lnTo>
                                <a:pt x="1552" y="6"/>
                              </a:lnTo>
                              <a:lnTo>
                                <a:pt x="1559" y="6"/>
                              </a:lnTo>
                              <a:lnTo>
                                <a:pt x="1566" y="7"/>
                              </a:lnTo>
                              <a:lnTo>
                                <a:pt x="1571" y="7"/>
                              </a:lnTo>
                              <a:lnTo>
                                <a:pt x="1573" y="7"/>
                              </a:lnTo>
                              <a:lnTo>
                                <a:pt x="1575" y="7"/>
                              </a:lnTo>
                              <a:lnTo>
                                <a:pt x="1579" y="7"/>
                              </a:lnTo>
                              <a:lnTo>
                                <a:pt x="1584" y="7"/>
                              </a:lnTo>
                              <a:lnTo>
                                <a:pt x="1590" y="8"/>
                              </a:lnTo>
                              <a:lnTo>
                                <a:pt x="1596" y="8"/>
                              </a:lnTo>
                              <a:lnTo>
                                <a:pt x="1601" y="8"/>
                              </a:lnTo>
                              <a:lnTo>
                                <a:pt x="1608" y="8"/>
                              </a:lnTo>
                              <a:lnTo>
                                <a:pt x="1615" y="9"/>
                              </a:lnTo>
                              <a:lnTo>
                                <a:pt x="1618" y="9"/>
                              </a:lnTo>
                              <a:lnTo>
                                <a:pt x="1620" y="9"/>
                              </a:lnTo>
                              <a:lnTo>
                                <a:pt x="1623" y="9"/>
                              </a:lnTo>
                              <a:lnTo>
                                <a:pt x="1633" y="9"/>
                              </a:lnTo>
                              <a:lnTo>
                                <a:pt x="1644" y="10"/>
                              </a:lnTo>
                              <a:lnTo>
                                <a:pt x="1653" y="10"/>
                              </a:lnTo>
                              <a:lnTo>
                                <a:pt x="1658" y="11"/>
                              </a:lnTo>
                              <a:lnTo>
                                <a:pt x="1661" y="11"/>
                              </a:lnTo>
                              <a:lnTo>
                                <a:pt x="1663" y="11"/>
                              </a:lnTo>
                              <a:lnTo>
                                <a:pt x="1670" y="11"/>
                              </a:lnTo>
                              <a:lnTo>
                                <a:pt x="1679" y="12"/>
                              </a:lnTo>
                              <a:lnTo>
                                <a:pt x="1688" y="12"/>
                              </a:lnTo>
                              <a:lnTo>
                                <a:pt x="1696" y="12"/>
                              </a:lnTo>
                              <a:lnTo>
                                <a:pt x="1702" y="13"/>
                              </a:lnTo>
                              <a:lnTo>
                                <a:pt x="1705" y="13"/>
                              </a:lnTo>
                              <a:lnTo>
                                <a:pt x="1707" y="13"/>
                              </a:lnTo>
                              <a:lnTo>
                                <a:pt x="1710" y="13"/>
                              </a:lnTo>
                              <a:lnTo>
                                <a:pt x="1716" y="13"/>
                              </a:lnTo>
                              <a:lnTo>
                                <a:pt x="1723" y="14"/>
                              </a:lnTo>
                              <a:lnTo>
                                <a:pt x="1736" y="14"/>
                              </a:lnTo>
                              <a:lnTo>
                                <a:pt x="1746" y="15"/>
                              </a:lnTo>
                              <a:lnTo>
                                <a:pt x="1750" y="15"/>
                              </a:lnTo>
                              <a:lnTo>
                                <a:pt x="1756" y="15"/>
                              </a:lnTo>
                              <a:lnTo>
                                <a:pt x="1764" y="15"/>
                              </a:lnTo>
                              <a:lnTo>
                                <a:pt x="1771" y="16"/>
                              </a:lnTo>
                              <a:lnTo>
                                <a:pt x="1778" y="16"/>
                              </a:lnTo>
                              <a:lnTo>
                                <a:pt x="1785" y="16"/>
                              </a:lnTo>
                              <a:lnTo>
                                <a:pt x="1789" y="17"/>
                              </a:lnTo>
                              <a:lnTo>
                                <a:pt x="1791" y="17"/>
                              </a:lnTo>
                              <a:lnTo>
                                <a:pt x="1795" y="17"/>
                              </a:lnTo>
                              <a:lnTo>
                                <a:pt x="1801" y="17"/>
                              </a:lnTo>
                              <a:lnTo>
                                <a:pt x="1806" y="17"/>
                              </a:lnTo>
                              <a:lnTo>
                                <a:pt x="1815" y="18"/>
                              </a:lnTo>
                              <a:lnTo>
                                <a:pt x="1826" y="18"/>
                              </a:lnTo>
                              <a:lnTo>
                                <a:pt x="1834" y="18"/>
                              </a:lnTo>
                              <a:lnTo>
                                <a:pt x="1837" y="19"/>
                              </a:lnTo>
                              <a:lnTo>
                                <a:pt x="1841" y="19"/>
                              </a:lnTo>
                              <a:lnTo>
                                <a:pt x="1847" y="19"/>
                              </a:lnTo>
                              <a:lnTo>
                                <a:pt x="1854" y="19"/>
                              </a:lnTo>
                              <a:lnTo>
                                <a:pt x="1861" y="20"/>
                              </a:lnTo>
                              <a:lnTo>
                                <a:pt x="1869" y="20"/>
                              </a:lnTo>
                              <a:lnTo>
                                <a:pt x="1875" y="20"/>
                              </a:lnTo>
                              <a:lnTo>
                                <a:pt x="1878" y="20"/>
                              </a:lnTo>
                              <a:lnTo>
                                <a:pt x="1880" y="20"/>
                              </a:lnTo>
                              <a:lnTo>
                                <a:pt x="1883" y="21"/>
                              </a:lnTo>
                              <a:lnTo>
                                <a:pt x="1890" y="21"/>
                              </a:lnTo>
                              <a:lnTo>
                                <a:pt x="1896" y="21"/>
                              </a:lnTo>
                              <a:lnTo>
                                <a:pt x="1902" y="21"/>
                              </a:lnTo>
                              <a:lnTo>
                                <a:pt x="1908" y="22"/>
                              </a:lnTo>
                              <a:lnTo>
                                <a:pt x="1912" y="22"/>
                              </a:lnTo>
                              <a:lnTo>
                                <a:pt x="1915" y="22"/>
                              </a:lnTo>
                              <a:lnTo>
                                <a:pt x="1919" y="22"/>
                              </a:lnTo>
                              <a:lnTo>
                                <a:pt x="1921" y="22"/>
                              </a:lnTo>
                              <a:lnTo>
                                <a:pt x="1923" y="22"/>
                              </a:lnTo>
                              <a:lnTo>
                                <a:pt x="1925" y="22"/>
                              </a:lnTo>
                              <a:lnTo>
                                <a:pt x="1928" y="22"/>
                              </a:lnTo>
                              <a:lnTo>
                                <a:pt x="1931" y="22"/>
                              </a:lnTo>
                              <a:lnTo>
                                <a:pt x="1934" y="21"/>
                              </a:lnTo>
                              <a:lnTo>
                                <a:pt x="1937" y="21"/>
                              </a:lnTo>
                              <a:lnTo>
                                <a:pt x="1940" y="21"/>
                              </a:lnTo>
                              <a:lnTo>
                                <a:pt x="1943" y="21"/>
                              </a:lnTo>
                              <a:lnTo>
                                <a:pt x="1946" y="21"/>
                              </a:lnTo>
                              <a:lnTo>
                                <a:pt x="1949" y="20"/>
                              </a:lnTo>
                              <a:lnTo>
                                <a:pt x="1951" y="20"/>
                              </a:lnTo>
                              <a:lnTo>
                                <a:pt x="1954" y="20"/>
                              </a:lnTo>
                              <a:lnTo>
                                <a:pt x="1957" y="19"/>
                              </a:lnTo>
                              <a:lnTo>
                                <a:pt x="1960" y="19"/>
                              </a:lnTo>
                              <a:lnTo>
                                <a:pt x="1962" y="18"/>
                              </a:lnTo>
                              <a:lnTo>
                                <a:pt x="1963" y="18"/>
                              </a:lnTo>
                              <a:lnTo>
                                <a:pt x="1964" y="18"/>
                              </a:lnTo>
                              <a:lnTo>
                                <a:pt x="1965" y="18"/>
                              </a:lnTo>
                              <a:lnTo>
                                <a:pt x="1965" y="18"/>
                              </a:lnTo>
                              <a:lnTo>
                                <a:pt x="1966" y="17"/>
                              </a:lnTo>
                              <a:lnTo>
                                <a:pt x="1966" y="17"/>
                              </a:lnTo>
                              <a:lnTo>
                                <a:pt x="1968" y="17"/>
                              </a:lnTo>
                              <a:lnTo>
                                <a:pt x="1970" y="17"/>
                              </a:lnTo>
                              <a:lnTo>
                                <a:pt x="1972" y="16"/>
                              </a:lnTo>
                              <a:lnTo>
                                <a:pt x="1974" y="15"/>
                              </a:lnTo>
                              <a:lnTo>
                                <a:pt x="1975" y="15"/>
                              </a:lnTo>
                              <a:lnTo>
                                <a:pt x="1977" y="14"/>
                              </a:lnTo>
                              <a:lnTo>
                                <a:pt x="1979" y="14"/>
                              </a:lnTo>
                              <a:lnTo>
                                <a:pt x="1981" y="13"/>
                              </a:lnTo>
                              <a:lnTo>
                                <a:pt x="1983" y="12"/>
                              </a:lnTo>
                              <a:lnTo>
                                <a:pt x="1985" y="11"/>
                              </a:lnTo>
                              <a:lnTo>
                                <a:pt x="1987" y="11"/>
                              </a:lnTo>
                              <a:lnTo>
                                <a:pt x="1989" y="10"/>
                              </a:lnTo>
                              <a:lnTo>
                                <a:pt x="1991" y="9"/>
                              </a:lnTo>
                              <a:lnTo>
                                <a:pt x="1993" y="7"/>
                              </a:lnTo>
                              <a:lnTo>
                                <a:pt x="1995" y="6"/>
                              </a:lnTo>
                              <a:lnTo>
                                <a:pt x="1998" y="5"/>
                              </a:lnTo>
                              <a:lnTo>
                                <a:pt x="2000" y="4"/>
                              </a:lnTo>
                              <a:lnTo>
                                <a:pt x="2002" y="2"/>
                              </a:lnTo>
                              <a:lnTo>
                                <a:pt x="2004" y="1"/>
                              </a:lnTo>
                              <a:lnTo>
                                <a:pt x="2006" y="0"/>
                              </a:lnTo>
                            </a:path>
                          </a:pathLst>
                        </a:custGeom>
                        <a:noFill/>
                        <a:ln w="4763">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70" name="Freeform 158"/>
                        <a:cNvSpPr>
                          <a:spLocks/>
                        </a:cNvSpPr>
                      </a:nvSpPr>
                      <a:spPr bwMode="auto">
                        <a:xfrm>
                          <a:off x="7852985" y="11131735"/>
                          <a:ext cx="711391" cy="130493"/>
                        </a:xfrm>
                        <a:custGeom>
                          <a:avLst/>
                          <a:gdLst/>
                          <a:ahLst/>
                          <a:cxnLst>
                            <a:cxn ang="0">
                              <a:pos x="2" y="18"/>
                            </a:cxn>
                            <a:cxn ang="0">
                              <a:pos x="4" y="17"/>
                            </a:cxn>
                            <a:cxn ang="0">
                              <a:pos x="10" y="13"/>
                            </a:cxn>
                            <a:cxn ang="0">
                              <a:pos x="21" y="7"/>
                            </a:cxn>
                            <a:cxn ang="0">
                              <a:pos x="30" y="3"/>
                            </a:cxn>
                            <a:cxn ang="0">
                              <a:pos x="39" y="1"/>
                            </a:cxn>
                            <a:cxn ang="0">
                              <a:pos x="45" y="0"/>
                            </a:cxn>
                            <a:cxn ang="0">
                              <a:pos x="51" y="0"/>
                            </a:cxn>
                            <a:cxn ang="0">
                              <a:pos x="58" y="1"/>
                            </a:cxn>
                            <a:cxn ang="0">
                              <a:pos x="67" y="4"/>
                            </a:cxn>
                            <a:cxn ang="0">
                              <a:pos x="75" y="8"/>
                            </a:cxn>
                            <a:cxn ang="0">
                              <a:pos x="86" y="14"/>
                            </a:cxn>
                            <a:cxn ang="0">
                              <a:pos x="89" y="16"/>
                            </a:cxn>
                            <a:cxn ang="0">
                              <a:pos x="91" y="17"/>
                            </a:cxn>
                            <a:cxn ang="0">
                              <a:pos x="92" y="18"/>
                            </a:cxn>
                            <a:cxn ang="0">
                              <a:pos x="101" y="24"/>
                            </a:cxn>
                            <a:cxn ang="0">
                              <a:pos x="113" y="33"/>
                            </a:cxn>
                            <a:cxn ang="0">
                              <a:pos x="126" y="43"/>
                            </a:cxn>
                            <a:cxn ang="0">
                              <a:pos x="133" y="48"/>
                            </a:cxn>
                            <a:cxn ang="0">
                              <a:pos x="136" y="49"/>
                            </a:cxn>
                            <a:cxn ang="0">
                              <a:pos x="139" y="51"/>
                            </a:cxn>
                            <a:cxn ang="0">
                              <a:pos x="146" y="55"/>
                            </a:cxn>
                            <a:cxn ang="0">
                              <a:pos x="154" y="60"/>
                            </a:cxn>
                            <a:cxn ang="0">
                              <a:pos x="161" y="63"/>
                            </a:cxn>
                            <a:cxn ang="0">
                              <a:pos x="168" y="67"/>
                            </a:cxn>
                            <a:cxn ang="0">
                              <a:pos x="175" y="70"/>
                            </a:cxn>
                            <a:cxn ang="0">
                              <a:pos x="179" y="71"/>
                            </a:cxn>
                            <a:cxn ang="0">
                              <a:pos x="181" y="72"/>
                            </a:cxn>
                            <a:cxn ang="0">
                              <a:pos x="185" y="74"/>
                            </a:cxn>
                            <a:cxn ang="0">
                              <a:pos x="192" y="75"/>
                            </a:cxn>
                            <a:cxn ang="0">
                              <a:pos x="199" y="78"/>
                            </a:cxn>
                            <a:cxn ang="0">
                              <a:pos x="206" y="79"/>
                            </a:cxn>
                            <a:cxn ang="0">
                              <a:pos x="214" y="81"/>
                            </a:cxn>
                            <a:cxn ang="0">
                              <a:pos x="221" y="82"/>
                            </a:cxn>
                            <a:cxn ang="0">
                              <a:pos x="224" y="83"/>
                            </a:cxn>
                            <a:cxn ang="0">
                              <a:pos x="229" y="84"/>
                            </a:cxn>
                            <a:cxn ang="0">
                              <a:pos x="237" y="85"/>
                            </a:cxn>
                            <a:cxn ang="0">
                              <a:pos x="247" y="86"/>
                            </a:cxn>
                            <a:cxn ang="0">
                              <a:pos x="257" y="87"/>
                            </a:cxn>
                            <a:cxn ang="0">
                              <a:pos x="266" y="87"/>
                            </a:cxn>
                            <a:cxn ang="0">
                              <a:pos x="271" y="88"/>
                            </a:cxn>
                            <a:cxn ang="0">
                              <a:pos x="284" y="89"/>
                            </a:cxn>
                            <a:cxn ang="0">
                              <a:pos x="300" y="89"/>
                            </a:cxn>
                            <a:cxn ang="0">
                              <a:pos x="312" y="90"/>
                            </a:cxn>
                            <a:cxn ang="0">
                              <a:pos x="322" y="90"/>
                            </a:cxn>
                            <a:cxn ang="0">
                              <a:pos x="343" y="91"/>
                            </a:cxn>
                            <a:cxn ang="0">
                              <a:pos x="357" y="91"/>
                            </a:cxn>
                            <a:cxn ang="0">
                              <a:pos x="370" y="91"/>
                            </a:cxn>
                            <a:cxn ang="0">
                              <a:pos x="396" y="91"/>
                            </a:cxn>
                            <a:cxn ang="0">
                              <a:pos x="410" y="91"/>
                            </a:cxn>
                            <a:cxn ang="0">
                              <a:pos x="434" y="92"/>
                            </a:cxn>
                            <a:cxn ang="0">
                              <a:pos x="451" y="92"/>
                            </a:cxn>
                            <a:cxn ang="0">
                              <a:pos x="471" y="92"/>
                            </a:cxn>
                            <a:cxn ang="0">
                              <a:pos x="492" y="92"/>
                            </a:cxn>
                            <a:cxn ang="0">
                              <a:pos x="503" y="92"/>
                            </a:cxn>
                            <a:cxn ang="0">
                              <a:pos x="511" y="91"/>
                            </a:cxn>
                            <a:cxn ang="0">
                              <a:pos x="520" y="91"/>
                            </a:cxn>
                            <a:cxn ang="0">
                              <a:pos x="528" y="91"/>
                            </a:cxn>
                          </a:cxnLst>
                          <a:rect l="0" t="0" r="r" b="b"/>
                          <a:pathLst>
                            <a:path w="533" h="92">
                              <a:moveTo>
                                <a:pt x="0" y="19"/>
                              </a:moveTo>
                              <a:lnTo>
                                <a:pt x="1" y="19"/>
                              </a:lnTo>
                              <a:lnTo>
                                <a:pt x="1" y="18"/>
                              </a:lnTo>
                              <a:lnTo>
                                <a:pt x="2" y="18"/>
                              </a:lnTo>
                              <a:lnTo>
                                <a:pt x="3" y="17"/>
                              </a:lnTo>
                              <a:lnTo>
                                <a:pt x="3" y="17"/>
                              </a:lnTo>
                              <a:lnTo>
                                <a:pt x="3" y="17"/>
                              </a:lnTo>
                              <a:lnTo>
                                <a:pt x="4" y="17"/>
                              </a:lnTo>
                              <a:lnTo>
                                <a:pt x="4" y="17"/>
                              </a:lnTo>
                              <a:lnTo>
                                <a:pt x="5" y="16"/>
                              </a:lnTo>
                              <a:lnTo>
                                <a:pt x="8" y="14"/>
                              </a:lnTo>
                              <a:lnTo>
                                <a:pt x="10" y="13"/>
                              </a:lnTo>
                              <a:lnTo>
                                <a:pt x="13" y="11"/>
                              </a:lnTo>
                              <a:lnTo>
                                <a:pt x="16" y="9"/>
                              </a:lnTo>
                              <a:lnTo>
                                <a:pt x="18" y="8"/>
                              </a:lnTo>
                              <a:lnTo>
                                <a:pt x="21" y="7"/>
                              </a:lnTo>
                              <a:lnTo>
                                <a:pt x="23" y="6"/>
                              </a:lnTo>
                              <a:lnTo>
                                <a:pt x="25" y="5"/>
                              </a:lnTo>
                              <a:lnTo>
                                <a:pt x="28" y="4"/>
                              </a:lnTo>
                              <a:lnTo>
                                <a:pt x="30" y="3"/>
                              </a:lnTo>
                              <a:lnTo>
                                <a:pt x="32" y="2"/>
                              </a:lnTo>
                              <a:lnTo>
                                <a:pt x="34" y="2"/>
                              </a:lnTo>
                              <a:lnTo>
                                <a:pt x="36" y="1"/>
                              </a:lnTo>
                              <a:lnTo>
                                <a:pt x="39" y="1"/>
                              </a:lnTo>
                              <a:lnTo>
                                <a:pt x="41" y="0"/>
                              </a:lnTo>
                              <a:lnTo>
                                <a:pt x="43" y="0"/>
                              </a:lnTo>
                              <a:lnTo>
                                <a:pt x="44" y="0"/>
                              </a:lnTo>
                              <a:lnTo>
                                <a:pt x="45" y="0"/>
                              </a:lnTo>
                              <a:lnTo>
                                <a:pt x="46" y="0"/>
                              </a:lnTo>
                              <a:lnTo>
                                <a:pt x="47" y="0"/>
                              </a:lnTo>
                              <a:lnTo>
                                <a:pt x="49" y="0"/>
                              </a:lnTo>
                              <a:lnTo>
                                <a:pt x="51" y="0"/>
                              </a:lnTo>
                              <a:lnTo>
                                <a:pt x="53" y="0"/>
                              </a:lnTo>
                              <a:lnTo>
                                <a:pt x="54" y="0"/>
                              </a:lnTo>
                              <a:lnTo>
                                <a:pt x="56" y="0"/>
                              </a:lnTo>
                              <a:lnTo>
                                <a:pt x="58" y="1"/>
                              </a:lnTo>
                              <a:lnTo>
                                <a:pt x="60" y="2"/>
                              </a:lnTo>
                              <a:lnTo>
                                <a:pt x="62" y="2"/>
                              </a:lnTo>
                              <a:lnTo>
                                <a:pt x="65" y="3"/>
                              </a:lnTo>
                              <a:lnTo>
                                <a:pt x="67" y="4"/>
                              </a:lnTo>
                              <a:lnTo>
                                <a:pt x="69" y="4"/>
                              </a:lnTo>
                              <a:lnTo>
                                <a:pt x="71" y="5"/>
                              </a:lnTo>
                              <a:lnTo>
                                <a:pt x="73" y="6"/>
                              </a:lnTo>
                              <a:lnTo>
                                <a:pt x="75" y="8"/>
                              </a:lnTo>
                              <a:lnTo>
                                <a:pt x="78" y="9"/>
                              </a:lnTo>
                              <a:lnTo>
                                <a:pt x="81" y="11"/>
                              </a:lnTo>
                              <a:lnTo>
                                <a:pt x="84" y="13"/>
                              </a:lnTo>
                              <a:lnTo>
                                <a:pt x="86" y="14"/>
                              </a:lnTo>
                              <a:lnTo>
                                <a:pt x="88" y="15"/>
                              </a:lnTo>
                              <a:lnTo>
                                <a:pt x="88" y="15"/>
                              </a:lnTo>
                              <a:lnTo>
                                <a:pt x="89" y="16"/>
                              </a:lnTo>
                              <a:lnTo>
                                <a:pt x="89" y="16"/>
                              </a:lnTo>
                              <a:lnTo>
                                <a:pt x="90" y="16"/>
                              </a:lnTo>
                              <a:lnTo>
                                <a:pt x="90" y="17"/>
                              </a:lnTo>
                              <a:lnTo>
                                <a:pt x="90" y="17"/>
                              </a:lnTo>
                              <a:lnTo>
                                <a:pt x="91" y="17"/>
                              </a:lnTo>
                              <a:lnTo>
                                <a:pt x="91" y="17"/>
                              </a:lnTo>
                              <a:lnTo>
                                <a:pt x="91" y="17"/>
                              </a:lnTo>
                              <a:lnTo>
                                <a:pt x="91" y="18"/>
                              </a:lnTo>
                              <a:lnTo>
                                <a:pt x="92" y="18"/>
                              </a:lnTo>
                              <a:lnTo>
                                <a:pt x="94" y="20"/>
                              </a:lnTo>
                              <a:lnTo>
                                <a:pt x="96" y="21"/>
                              </a:lnTo>
                              <a:lnTo>
                                <a:pt x="98" y="23"/>
                              </a:lnTo>
                              <a:lnTo>
                                <a:pt x="101" y="24"/>
                              </a:lnTo>
                              <a:lnTo>
                                <a:pt x="103" y="26"/>
                              </a:lnTo>
                              <a:lnTo>
                                <a:pt x="105" y="28"/>
                              </a:lnTo>
                              <a:lnTo>
                                <a:pt x="109" y="30"/>
                              </a:lnTo>
                              <a:lnTo>
                                <a:pt x="113" y="33"/>
                              </a:lnTo>
                              <a:lnTo>
                                <a:pt x="116" y="36"/>
                              </a:lnTo>
                              <a:lnTo>
                                <a:pt x="120" y="38"/>
                              </a:lnTo>
                              <a:lnTo>
                                <a:pt x="123" y="41"/>
                              </a:lnTo>
                              <a:lnTo>
                                <a:pt x="126" y="43"/>
                              </a:lnTo>
                              <a:lnTo>
                                <a:pt x="129" y="45"/>
                              </a:lnTo>
                              <a:lnTo>
                                <a:pt x="131" y="46"/>
                              </a:lnTo>
                              <a:lnTo>
                                <a:pt x="132" y="47"/>
                              </a:lnTo>
                              <a:lnTo>
                                <a:pt x="133" y="48"/>
                              </a:lnTo>
                              <a:lnTo>
                                <a:pt x="134" y="48"/>
                              </a:lnTo>
                              <a:lnTo>
                                <a:pt x="135" y="49"/>
                              </a:lnTo>
                              <a:lnTo>
                                <a:pt x="135" y="49"/>
                              </a:lnTo>
                              <a:lnTo>
                                <a:pt x="136" y="49"/>
                              </a:lnTo>
                              <a:lnTo>
                                <a:pt x="136" y="50"/>
                              </a:lnTo>
                              <a:lnTo>
                                <a:pt x="137" y="50"/>
                              </a:lnTo>
                              <a:lnTo>
                                <a:pt x="137" y="50"/>
                              </a:lnTo>
                              <a:lnTo>
                                <a:pt x="139" y="51"/>
                              </a:lnTo>
                              <a:lnTo>
                                <a:pt x="141" y="52"/>
                              </a:lnTo>
                              <a:lnTo>
                                <a:pt x="142" y="53"/>
                              </a:lnTo>
                              <a:lnTo>
                                <a:pt x="144" y="54"/>
                              </a:lnTo>
                              <a:lnTo>
                                <a:pt x="146" y="55"/>
                              </a:lnTo>
                              <a:lnTo>
                                <a:pt x="148" y="57"/>
                              </a:lnTo>
                              <a:lnTo>
                                <a:pt x="150" y="58"/>
                              </a:lnTo>
                              <a:lnTo>
                                <a:pt x="152" y="59"/>
                              </a:lnTo>
                              <a:lnTo>
                                <a:pt x="154" y="60"/>
                              </a:lnTo>
                              <a:lnTo>
                                <a:pt x="155" y="61"/>
                              </a:lnTo>
                              <a:lnTo>
                                <a:pt x="157" y="62"/>
                              </a:lnTo>
                              <a:lnTo>
                                <a:pt x="159" y="63"/>
                              </a:lnTo>
                              <a:lnTo>
                                <a:pt x="161" y="63"/>
                              </a:lnTo>
                              <a:lnTo>
                                <a:pt x="163" y="64"/>
                              </a:lnTo>
                              <a:lnTo>
                                <a:pt x="164" y="65"/>
                              </a:lnTo>
                              <a:lnTo>
                                <a:pt x="166" y="66"/>
                              </a:lnTo>
                              <a:lnTo>
                                <a:pt x="168" y="67"/>
                              </a:lnTo>
                              <a:lnTo>
                                <a:pt x="170" y="68"/>
                              </a:lnTo>
                              <a:lnTo>
                                <a:pt x="172" y="68"/>
                              </a:lnTo>
                              <a:lnTo>
                                <a:pt x="173" y="69"/>
                              </a:lnTo>
                              <a:lnTo>
                                <a:pt x="175" y="70"/>
                              </a:lnTo>
                              <a:lnTo>
                                <a:pt x="176" y="70"/>
                              </a:lnTo>
                              <a:lnTo>
                                <a:pt x="177" y="71"/>
                              </a:lnTo>
                              <a:lnTo>
                                <a:pt x="178" y="71"/>
                              </a:lnTo>
                              <a:lnTo>
                                <a:pt x="179" y="71"/>
                              </a:lnTo>
                              <a:lnTo>
                                <a:pt x="179" y="72"/>
                              </a:lnTo>
                              <a:lnTo>
                                <a:pt x="180" y="72"/>
                              </a:lnTo>
                              <a:lnTo>
                                <a:pt x="180" y="72"/>
                              </a:lnTo>
                              <a:lnTo>
                                <a:pt x="181" y="72"/>
                              </a:lnTo>
                              <a:lnTo>
                                <a:pt x="181" y="72"/>
                              </a:lnTo>
                              <a:lnTo>
                                <a:pt x="182" y="73"/>
                              </a:lnTo>
                              <a:lnTo>
                                <a:pt x="184" y="73"/>
                              </a:lnTo>
                              <a:lnTo>
                                <a:pt x="185" y="74"/>
                              </a:lnTo>
                              <a:lnTo>
                                <a:pt x="187" y="74"/>
                              </a:lnTo>
                              <a:lnTo>
                                <a:pt x="188" y="74"/>
                              </a:lnTo>
                              <a:lnTo>
                                <a:pt x="190" y="75"/>
                              </a:lnTo>
                              <a:lnTo>
                                <a:pt x="192" y="75"/>
                              </a:lnTo>
                              <a:lnTo>
                                <a:pt x="194" y="76"/>
                              </a:lnTo>
                              <a:lnTo>
                                <a:pt x="196" y="77"/>
                              </a:lnTo>
                              <a:lnTo>
                                <a:pt x="197" y="77"/>
                              </a:lnTo>
                              <a:lnTo>
                                <a:pt x="199" y="78"/>
                              </a:lnTo>
                              <a:lnTo>
                                <a:pt x="201" y="78"/>
                              </a:lnTo>
                              <a:lnTo>
                                <a:pt x="203" y="79"/>
                              </a:lnTo>
                              <a:lnTo>
                                <a:pt x="205" y="79"/>
                              </a:lnTo>
                              <a:lnTo>
                                <a:pt x="206" y="79"/>
                              </a:lnTo>
                              <a:lnTo>
                                <a:pt x="208" y="80"/>
                              </a:lnTo>
                              <a:lnTo>
                                <a:pt x="210" y="80"/>
                              </a:lnTo>
                              <a:lnTo>
                                <a:pt x="212" y="81"/>
                              </a:lnTo>
                              <a:lnTo>
                                <a:pt x="214" y="81"/>
                              </a:lnTo>
                              <a:lnTo>
                                <a:pt x="216" y="81"/>
                              </a:lnTo>
                              <a:lnTo>
                                <a:pt x="218" y="82"/>
                              </a:lnTo>
                              <a:lnTo>
                                <a:pt x="220" y="82"/>
                              </a:lnTo>
                              <a:lnTo>
                                <a:pt x="221" y="82"/>
                              </a:lnTo>
                              <a:lnTo>
                                <a:pt x="222" y="82"/>
                              </a:lnTo>
                              <a:lnTo>
                                <a:pt x="223" y="83"/>
                              </a:lnTo>
                              <a:lnTo>
                                <a:pt x="224" y="83"/>
                              </a:lnTo>
                              <a:lnTo>
                                <a:pt x="224" y="83"/>
                              </a:lnTo>
                              <a:lnTo>
                                <a:pt x="225" y="83"/>
                              </a:lnTo>
                              <a:lnTo>
                                <a:pt x="226" y="83"/>
                              </a:lnTo>
                              <a:lnTo>
                                <a:pt x="228" y="83"/>
                              </a:lnTo>
                              <a:lnTo>
                                <a:pt x="229" y="84"/>
                              </a:lnTo>
                              <a:lnTo>
                                <a:pt x="231" y="84"/>
                              </a:lnTo>
                              <a:lnTo>
                                <a:pt x="233" y="84"/>
                              </a:lnTo>
                              <a:lnTo>
                                <a:pt x="235" y="84"/>
                              </a:lnTo>
                              <a:lnTo>
                                <a:pt x="237" y="85"/>
                              </a:lnTo>
                              <a:lnTo>
                                <a:pt x="240" y="85"/>
                              </a:lnTo>
                              <a:lnTo>
                                <a:pt x="242" y="85"/>
                              </a:lnTo>
                              <a:lnTo>
                                <a:pt x="244" y="86"/>
                              </a:lnTo>
                              <a:lnTo>
                                <a:pt x="247" y="86"/>
                              </a:lnTo>
                              <a:lnTo>
                                <a:pt x="249" y="86"/>
                              </a:lnTo>
                              <a:lnTo>
                                <a:pt x="252" y="86"/>
                              </a:lnTo>
                              <a:lnTo>
                                <a:pt x="254" y="87"/>
                              </a:lnTo>
                              <a:lnTo>
                                <a:pt x="257" y="87"/>
                              </a:lnTo>
                              <a:lnTo>
                                <a:pt x="260" y="87"/>
                              </a:lnTo>
                              <a:lnTo>
                                <a:pt x="263" y="87"/>
                              </a:lnTo>
                              <a:lnTo>
                                <a:pt x="265" y="87"/>
                              </a:lnTo>
                              <a:lnTo>
                                <a:pt x="266" y="87"/>
                              </a:lnTo>
                              <a:lnTo>
                                <a:pt x="268" y="87"/>
                              </a:lnTo>
                              <a:lnTo>
                                <a:pt x="268" y="88"/>
                              </a:lnTo>
                              <a:lnTo>
                                <a:pt x="269" y="88"/>
                              </a:lnTo>
                              <a:lnTo>
                                <a:pt x="271" y="88"/>
                              </a:lnTo>
                              <a:lnTo>
                                <a:pt x="273" y="88"/>
                              </a:lnTo>
                              <a:lnTo>
                                <a:pt x="277" y="88"/>
                              </a:lnTo>
                              <a:lnTo>
                                <a:pt x="280" y="88"/>
                              </a:lnTo>
                              <a:lnTo>
                                <a:pt x="284" y="89"/>
                              </a:lnTo>
                              <a:lnTo>
                                <a:pt x="287" y="89"/>
                              </a:lnTo>
                              <a:lnTo>
                                <a:pt x="290" y="89"/>
                              </a:lnTo>
                              <a:lnTo>
                                <a:pt x="295" y="89"/>
                              </a:lnTo>
                              <a:lnTo>
                                <a:pt x="300" y="89"/>
                              </a:lnTo>
                              <a:lnTo>
                                <a:pt x="304" y="90"/>
                              </a:lnTo>
                              <a:lnTo>
                                <a:pt x="308" y="90"/>
                              </a:lnTo>
                              <a:lnTo>
                                <a:pt x="310" y="90"/>
                              </a:lnTo>
                              <a:lnTo>
                                <a:pt x="312" y="90"/>
                              </a:lnTo>
                              <a:lnTo>
                                <a:pt x="313" y="90"/>
                              </a:lnTo>
                              <a:lnTo>
                                <a:pt x="315" y="90"/>
                              </a:lnTo>
                              <a:lnTo>
                                <a:pt x="319" y="90"/>
                              </a:lnTo>
                              <a:lnTo>
                                <a:pt x="322" y="90"/>
                              </a:lnTo>
                              <a:lnTo>
                                <a:pt x="327" y="90"/>
                              </a:lnTo>
                              <a:lnTo>
                                <a:pt x="332" y="90"/>
                              </a:lnTo>
                              <a:lnTo>
                                <a:pt x="337" y="91"/>
                              </a:lnTo>
                              <a:lnTo>
                                <a:pt x="343" y="91"/>
                              </a:lnTo>
                              <a:lnTo>
                                <a:pt x="348" y="91"/>
                              </a:lnTo>
                              <a:lnTo>
                                <a:pt x="353" y="91"/>
                              </a:lnTo>
                              <a:lnTo>
                                <a:pt x="355" y="91"/>
                              </a:lnTo>
                              <a:lnTo>
                                <a:pt x="357" y="91"/>
                              </a:lnTo>
                              <a:lnTo>
                                <a:pt x="360" y="91"/>
                              </a:lnTo>
                              <a:lnTo>
                                <a:pt x="363" y="91"/>
                              </a:lnTo>
                              <a:lnTo>
                                <a:pt x="366" y="91"/>
                              </a:lnTo>
                              <a:lnTo>
                                <a:pt x="370" y="91"/>
                              </a:lnTo>
                              <a:lnTo>
                                <a:pt x="376" y="91"/>
                              </a:lnTo>
                              <a:lnTo>
                                <a:pt x="384" y="91"/>
                              </a:lnTo>
                              <a:lnTo>
                                <a:pt x="392" y="91"/>
                              </a:lnTo>
                              <a:lnTo>
                                <a:pt x="396" y="91"/>
                              </a:lnTo>
                              <a:lnTo>
                                <a:pt x="399" y="91"/>
                              </a:lnTo>
                              <a:lnTo>
                                <a:pt x="402" y="91"/>
                              </a:lnTo>
                              <a:lnTo>
                                <a:pt x="406" y="91"/>
                              </a:lnTo>
                              <a:lnTo>
                                <a:pt x="410" y="91"/>
                              </a:lnTo>
                              <a:lnTo>
                                <a:pt x="417" y="92"/>
                              </a:lnTo>
                              <a:lnTo>
                                <a:pt x="424" y="92"/>
                              </a:lnTo>
                              <a:lnTo>
                                <a:pt x="429" y="92"/>
                              </a:lnTo>
                              <a:lnTo>
                                <a:pt x="434" y="92"/>
                              </a:lnTo>
                              <a:lnTo>
                                <a:pt x="440" y="92"/>
                              </a:lnTo>
                              <a:lnTo>
                                <a:pt x="444" y="92"/>
                              </a:lnTo>
                              <a:lnTo>
                                <a:pt x="447" y="92"/>
                              </a:lnTo>
                              <a:lnTo>
                                <a:pt x="451" y="92"/>
                              </a:lnTo>
                              <a:lnTo>
                                <a:pt x="455" y="92"/>
                              </a:lnTo>
                              <a:lnTo>
                                <a:pt x="459" y="92"/>
                              </a:lnTo>
                              <a:lnTo>
                                <a:pt x="465" y="92"/>
                              </a:lnTo>
                              <a:lnTo>
                                <a:pt x="471" y="92"/>
                              </a:lnTo>
                              <a:lnTo>
                                <a:pt x="477" y="92"/>
                              </a:lnTo>
                              <a:lnTo>
                                <a:pt x="482" y="92"/>
                              </a:lnTo>
                              <a:lnTo>
                                <a:pt x="487" y="92"/>
                              </a:lnTo>
                              <a:lnTo>
                                <a:pt x="492" y="92"/>
                              </a:lnTo>
                              <a:lnTo>
                                <a:pt x="496" y="92"/>
                              </a:lnTo>
                              <a:lnTo>
                                <a:pt x="499" y="92"/>
                              </a:lnTo>
                              <a:lnTo>
                                <a:pt x="501" y="92"/>
                              </a:lnTo>
                              <a:lnTo>
                                <a:pt x="503" y="92"/>
                              </a:lnTo>
                              <a:lnTo>
                                <a:pt x="505" y="92"/>
                              </a:lnTo>
                              <a:lnTo>
                                <a:pt x="507" y="92"/>
                              </a:lnTo>
                              <a:lnTo>
                                <a:pt x="509" y="92"/>
                              </a:lnTo>
                              <a:lnTo>
                                <a:pt x="511" y="91"/>
                              </a:lnTo>
                              <a:lnTo>
                                <a:pt x="513" y="91"/>
                              </a:lnTo>
                              <a:lnTo>
                                <a:pt x="516" y="91"/>
                              </a:lnTo>
                              <a:lnTo>
                                <a:pt x="518" y="91"/>
                              </a:lnTo>
                              <a:lnTo>
                                <a:pt x="520" y="91"/>
                              </a:lnTo>
                              <a:lnTo>
                                <a:pt x="522" y="91"/>
                              </a:lnTo>
                              <a:lnTo>
                                <a:pt x="524" y="91"/>
                              </a:lnTo>
                              <a:lnTo>
                                <a:pt x="526" y="91"/>
                              </a:lnTo>
                              <a:lnTo>
                                <a:pt x="528" y="91"/>
                              </a:lnTo>
                              <a:lnTo>
                                <a:pt x="530" y="91"/>
                              </a:lnTo>
                              <a:lnTo>
                                <a:pt x="533" y="91"/>
                              </a:lnTo>
                              <a:lnTo>
                                <a:pt x="533" y="91"/>
                              </a:lnTo>
                            </a:path>
                          </a:pathLst>
                        </a:custGeom>
                        <a:noFill/>
                        <a:ln w="4763">
                          <a:solidFill>
                            <a:srgbClr val="0000FF"/>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72" name="Freeform 160"/>
                        <a:cNvSpPr>
                          <a:spLocks/>
                        </a:cNvSpPr>
                      </a:nvSpPr>
                      <a:spPr bwMode="auto">
                        <a:xfrm>
                          <a:off x="1725416" y="11243790"/>
                          <a:ext cx="850199" cy="170208"/>
                        </a:xfrm>
                        <a:custGeom>
                          <a:avLst/>
                          <a:gdLst/>
                          <a:ahLst/>
                          <a:cxnLst>
                            <a:cxn ang="0">
                              <a:pos x="14" y="120"/>
                            </a:cxn>
                            <a:cxn ang="0">
                              <a:pos x="49" y="120"/>
                            </a:cxn>
                            <a:cxn ang="0">
                              <a:pos x="97" y="120"/>
                            </a:cxn>
                            <a:cxn ang="0">
                              <a:pos x="122" y="119"/>
                            </a:cxn>
                            <a:cxn ang="0">
                              <a:pos x="143" y="120"/>
                            </a:cxn>
                            <a:cxn ang="0">
                              <a:pos x="160" y="119"/>
                            </a:cxn>
                            <a:cxn ang="0">
                              <a:pos x="173" y="119"/>
                            </a:cxn>
                            <a:cxn ang="0">
                              <a:pos x="177" y="119"/>
                            </a:cxn>
                            <a:cxn ang="0">
                              <a:pos x="179" y="119"/>
                            </a:cxn>
                            <a:cxn ang="0">
                              <a:pos x="182" y="118"/>
                            </a:cxn>
                            <a:cxn ang="0">
                              <a:pos x="185" y="117"/>
                            </a:cxn>
                            <a:cxn ang="0">
                              <a:pos x="188" y="116"/>
                            </a:cxn>
                            <a:cxn ang="0">
                              <a:pos x="192" y="113"/>
                            </a:cxn>
                            <a:cxn ang="0">
                              <a:pos x="195" y="110"/>
                            </a:cxn>
                            <a:cxn ang="0">
                              <a:pos x="201" y="102"/>
                            </a:cxn>
                            <a:cxn ang="0">
                              <a:pos x="205" y="96"/>
                            </a:cxn>
                            <a:cxn ang="0">
                              <a:pos x="209" y="93"/>
                            </a:cxn>
                            <a:cxn ang="0">
                              <a:pos x="213" y="91"/>
                            </a:cxn>
                            <a:cxn ang="0">
                              <a:pos x="216" y="90"/>
                            </a:cxn>
                            <a:cxn ang="0">
                              <a:pos x="217" y="88"/>
                            </a:cxn>
                            <a:cxn ang="0">
                              <a:pos x="219" y="85"/>
                            </a:cxn>
                            <a:cxn ang="0">
                              <a:pos x="220" y="82"/>
                            </a:cxn>
                            <a:cxn ang="0">
                              <a:pos x="221" y="79"/>
                            </a:cxn>
                            <a:cxn ang="0">
                              <a:pos x="222" y="74"/>
                            </a:cxn>
                            <a:cxn ang="0">
                              <a:pos x="224" y="64"/>
                            </a:cxn>
                            <a:cxn ang="0">
                              <a:pos x="226" y="49"/>
                            </a:cxn>
                            <a:cxn ang="0">
                              <a:pos x="230" y="21"/>
                            </a:cxn>
                            <a:cxn ang="0">
                              <a:pos x="233" y="8"/>
                            </a:cxn>
                            <a:cxn ang="0">
                              <a:pos x="235" y="1"/>
                            </a:cxn>
                            <a:cxn ang="0">
                              <a:pos x="237" y="0"/>
                            </a:cxn>
                            <a:cxn ang="0">
                              <a:pos x="240" y="4"/>
                            </a:cxn>
                            <a:cxn ang="0">
                              <a:pos x="243" y="14"/>
                            </a:cxn>
                            <a:cxn ang="0">
                              <a:pos x="250" y="39"/>
                            </a:cxn>
                            <a:cxn ang="0">
                              <a:pos x="254" y="55"/>
                            </a:cxn>
                            <a:cxn ang="0">
                              <a:pos x="258" y="66"/>
                            </a:cxn>
                            <a:cxn ang="0">
                              <a:pos x="263" y="76"/>
                            </a:cxn>
                            <a:cxn ang="0">
                              <a:pos x="267" y="83"/>
                            </a:cxn>
                            <a:cxn ang="0">
                              <a:pos x="271" y="88"/>
                            </a:cxn>
                            <a:cxn ang="0">
                              <a:pos x="275" y="92"/>
                            </a:cxn>
                            <a:cxn ang="0">
                              <a:pos x="279" y="95"/>
                            </a:cxn>
                            <a:cxn ang="0">
                              <a:pos x="282" y="96"/>
                            </a:cxn>
                            <a:cxn ang="0">
                              <a:pos x="286" y="96"/>
                            </a:cxn>
                            <a:cxn ang="0">
                              <a:pos x="292" y="94"/>
                            </a:cxn>
                            <a:cxn ang="0">
                              <a:pos x="295" y="94"/>
                            </a:cxn>
                            <a:cxn ang="0">
                              <a:pos x="299" y="97"/>
                            </a:cxn>
                            <a:cxn ang="0">
                              <a:pos x="306" y="102"/>
                            </a:cxn>
                            <a:cxn ang="0">
                              <a:pos x="309" y="105"/>
                            </a:cxn>
                            <a:cxn ang="0">
                              <a:pos x="312" y="107"/>
                            </a:cxn>
                            <a:cxn ang="0">
                              <a:pos x="317" y="109"/>
                            </a:cxn>
                            <a:cxn ang="0">
                              <a:pos x="323" y="111"/>
                            </a:cxn>
                            <a:cxn ang="0">
                              <a:pos x="331" y="112"/>
                            </a:cxn>
                            <a:cxn ang="0">
                              <a:pos x="342" y="113"/>
                            </a:cxn>
                            <a:cxn ang="0">
                              <a:pos x="357" y="114"/>
                            </a:cxn>
                            <a:cxn ang="0">
                              <a:pos x="376" y="114"/>
                            </a:cxn>
                            <a:cxn ang="0">
                              <a:pos x="397" y="114"/>
                            </a:cxn>
                            <a:cxn ang="0">
                              <a:pos x="415" y="115"/>
                            </a:cxn>
                            <a:cxn ang="0">
                              <a:pos x="441" y="116"/>
                            </a:cxn>
                            <a:cxn ang="0">
                              <a:pos x="474" y="116"/>
                            </a:cxn>
                            <a:cxn ang="0">
                              <a:pos x="501" y="117"/>
                            </a:cxn>
                            <a:cxn ang="0">
                              <a:pos x="529" y="117"/>
                            </a:cxn>
                            <a:cxn ang="0">
                              <a:pos x="559" y="118"/>
                            </a:cxn>
                            <a:cxn ang="0">
                              <a:pos x="593" y="118"/>
                            </a:cxn>
                            <a:cxn ang="0">
                              <a:pos x="618" y="118"/>
                            </a:cxn>
                          </a:cxnLst>
                          <a:rect l="0" t="0" r="r" b="b"/>
                          <a:pathLst>
                            <a:path w="637" h="120">
                              <a:moveTo>
                                <a:pt x="0" y="120"/>
                              </a:moveTo>
                              <a:lnTo>
                                <a:pt x="1" y="120"/>
                              </a:lnTo>
                              <a:lnTo>
                                <a:pt x="3" y="120"/>
                              </a:lnTo>
                              <a:lnTo>
                                <a:pt x="5" y="120"/>
                              </a:lnTo>
                              <a:lnTo>
                                <a:pt x="7" y="120"/>
                              </a:lnTo>
                              <a:lnTo>
                                <a:pt x="10" y="120"/>
                              </a:lnTo>
                              <a:lnTo>
                                <a:pt x="12" y="120"/>
                              </a:lnTo>
                              <a:lnTo>
                                <a:pt x="14" y="120"/>
                              </a:lnTo>
                              <a:lnTo>
                                <a:pt x="16" y="120"/>
                              </a:lnTo>
                              <a:lnTo>
                                <a:pt x="18" y="120"/>
                              </a:lnTo>
                              <a:lnTo>
                                <a:pt x="20" y="120"/>
                              </a:lnTo>
                              <a:lnTo>
                                <a:pt x="25" y="120"/>
                              </a:lnTo>
                              <a:lnTo>
                                <a:pt x="32" y="120"/>
                              </a:lnTo>
                              <a:lnTo>
                                <a:pt x="38" y="120"/>
                              </a:lnTo>
                              <a:lnTo>
                                <a:pt x="44" y="120"/>
                              </a:lnTo>
                              <a:lnTo>
                                <a:pt x="49" y="120"/>
                              </a:lnTo>
                              <a:lnTo>
                                <a:pt x="55" y="120"/>
                              </a:lnTo>
                              <a:lnTo>
                                <a:pt x="60" y="120"/>
                              </a:lnTo>
                              <a:lnTo>
                                <a:pt x="64" y="120"/>
                              </a:lnTo>
                              <a:lnTo>
                                <a:pt x="71" y="120"/>
                              </a:lnTo>
                              <a:lnTo>
                                <a:pt x="78" y="120"/>
                              </a:lnTo>
                              <a:lnTo>
                                <a:pt x="86" y="120"/>
                              </a:lnTo>
                              <a:lnTo>
                                <a:pt x="93" y="120"/>
                              </a:lnTo>
                              <a:lnTo>
                                <a:pt x="97" y="120"/>
                              </a:lnTo>
                              <a:lnTo>
                                <a:pt x="100" y="120"/>
                              </a:lnTo>
                              <a:lnTo>
                                <a:pt x="103" y="120"/>
                              </a:lnTo>
                              <a:lnTo>
                                <a:pt x="106" y="120"/>
                              </a:lnTo>
                              <a:lnTo>
                                <a:pt x="110" y="120"/>
                              </a:lnTo>
                              <a:lnTo>
                                <a:pt x="113" y="120"/>
                              </a:lnTo>
                              <a:lnTo>
                                <a:pt x="117" y="120"/>
                              </a:lnTo>
                              <a:lnTo>
                                <a:pt x="120" y="119"/>
                              </a:lnTo>
                              <a:lnTo>
                                <a:pt x="122" y="119"/>
                              </a:lnTo>
                              <a:lnTo>
                                <a:pt x="125" y="120"/>
                              </a:lnTo>
                              <a:lnTo>
                                <a:pt x="129" y="120"/>
                              </a:lnTo>
                              <a:lnTo>
                                <a:pt x="133" y="120"/>
                              </a:lnTo>
                              <a:lnTo>
                                <a:pt x="136" y="120"/>
                              </a:lnTo>
                              <a:lnTo>
                                <a:pt x="138" y="120"/>
                              </a:lnTo>
                              <a:lnTo>
                                <a:pt x="139" y="120"/>
                              </a:lnTo>
                              <a:lnTo>
                                <a:pt x="141" y="120"/>
                              </a:lnTo>
                              <a:lnTo>
                                <a:pt x="143" y="120"/>
                              </a:lnTo>
                              <a:lnTo>
                                <a:pt x="144" y="120"/>
                              </a:lnTo>
                              <a:lnTo>
                                <a:pt x="146" y="120"/>
                              </a:lnTo>
                              <a:lnTo>
                                <a:pt x="147" y="120"/>
                              </a:lnTo>
                              <a:lnTo>
                                <a:pt x="149" y="120"/>
                              </a:lnTo>
                              <a:lnTo>
                                <a:pt x="151" y="120"/>
                              </a:lnTo>
                              <a:lnTo>
                                <a:pt x="154" y="119"/>
                              </a:lnTo>
                              <a:lnTo>
                                <a:pt x="157" y="119"/>
                              </a:lnTo>
                              <a:lnTo>
                                <a:pt x="160" y="119"/>
                              </a:lnTo>
                              <a:lnTo>
                                <a:pt x="163" y="119"/>
                              </a:lnTo>
                              <a:lnTo>
                                <a:pt x="166" y="119"/>
                              </a:lnTo>
                              <a:lnTo>
                                <a:pt x="167" y="119"/>
                              </a:lnTo>
                              <a:lnTo>
                                <a:pt x="169" y="119"/>
                              </a:lnTo>
                              <a:lnTo>
                                <a:pt x="170" y="119"/>
                              </a:lnTo>
                              <a:lnTo>
                                <a:pt x="171" y="119"/>
                              </a:lnTo>
                              <a:lnTo>
                                <a:pt x="172" y="119"/>
                              </a:lnTo>
                              <a:lnTo>
                                <a:pt x="173" y="119"/>
                              </a:lnTo>
                              <a:lnTo>
                                <a:pt x="174" y="119"/>
                              </a:lnTo>
                              <a:lnTo>
                                <a:pt x="175" y="119"/>
                              </a:lnTo>
                              <a:lnTo>
                                <a:pt x="175" y="119"/>
                              </a:lnTo>
                              <a:lnTo>
                                <a:pt x="176" y="119"/>
                              </a:lnTo>
                              <a:lnTo>
                                <a:pt x="176" y="119"/>
                              </a:lnTo>
                              <a:lnTo>
                                <a:pt x="176" y="119"/>
                              </a:lnTo>
                              <a:lnTo>
                                <a:pt x="177" y="119"/>
                              </a:lnTo>
                              <a:lnTo>
                                <a:pt x="177" y="119"/>
                              </a:lnTo>
                              <a:lnTo>
                                <a:pt x="177" y="119"/>
                              </a:lnTo>
                              <a:lnTo>
                                <a:pt x="178" y="119"/>
                              </a:lnTo>
                              <a:lnTo>
                                <a:pt x="178" y="119"/>
                              </a:lnTo>
                              <a:lnTo>
                                <a:pt x="178" y="119"/>
                              </a:lnTo>
                              <a:lnTo>
                                <a:pt x="179" y="119"/>
                              </a:lnTo>
                              <a:lnTo>
                                <a:pt x="179" y="119"/>
                              </a:lnTo>
                              <a:lnTo>
                                <a:pt x="179" y="119"/>
                              </a:lnTo>
                              <a:lnTo>
                                <a:pt x="179" y="119"/>
                              </a:lnTo>
                              <a:lnTo>
                                <a:pt x="179" y="119"/>
                              </a:lnTo>
                              <a:lnTo>
                                <a:pt x="180" y="119"/>
                              </a:lnTo>
                              <a:lnTo>
                                <a:pt x="180" y="119"/>
                              </a:lnTo>
                              <a:lnTo>
                                <a:pt x="180" y="119"/>
                              </a:lnTo>
                              <a:lnTo>
                                <a:pt x="180" y="119"/>
                              </a:lnTo>
                              <a:lnTo>
                                <a:pt x="181" y="119"/>
                              </a:lnTo>
                              <a:lnTo>
                                <a:pt x="181" y="118"/>
                              </a:lnTo>
                              <a:lnTo>
                                <a:pt x="182" y="118"/>
                              </a:lnTo>
                              <a:lnTo>
                                <a:pt x="182" y="118"/>
                              </a:lnTo>
                              <a:lnTo>
                                <a:pt x="183" y="118"/>
                              </a:lnTo>
                              <a:lnTo>
                                <a:pt x="183" y="118"/>
                              </a:lnTo>
                              <a:lnTo>
                                <a:pt x="184" y="118"/>
                              </a:lnTo>
                              <a:lnTo>
                                <a:pt x="184" y="118"/>
                              </a:lnTo>
                              <a:lnTo>
                                <a:pt x="184" y="118"/>
                              </a:lnTo>
                              <a:lnTo>
                                <a:pt x="185" y="118"/>
                              </a:lnTo>
                              <a:lnTo>
                                <a:pt x="185" y="117"/>
                              </a:lnTo>
                              <a:lnTo>
                                <a:pt x="186" y="117"/>
                              </a:lnTo>
                              <a:lnTo>
                                <a:pt x="186" y="117"/>
                              </a:lnTo>
                              <a:lnTo>
                                <a:pt x="187" y="117"/>
                              </a:lnTo>
                              <a:lnTo>
                                <a:pt x="187" y="117"/>
                              </a:lnTo>
                              <a:lnTo>
                                <a:pt x="187" y="117"/>
                              </a:lnTo>
                              <a:lnTo>
                                <a:pt x="188" y="116"/>
                              </a:lnTo>
                              <a:lnTo>
                                <a:pt x="188" y="116"/>
                              </a:lnTo>
                              <a:lnTo>
                                <a:pt x="188" y="116"/>
                              </a:lnTo>
                              <a:lnTo>
                                <a:pt x="189" y="116"/>
                              </a:lnTo>
                              <a:lnTo>
                                <a:pt x="189" y="115"/>
                              </a:lnTo>
                              <a:lnTo>
                                <a:pt x="190" y="115"/>
                              </a:lnTo>
                              <a:lnTo>
                                <a:pt x="190" y="115"/>
                              </a:lnTo>
                              <a:lnTo>
                                <a:pt x="190" y="115"/>
                              </a:lnTo>
                              <a:lnTo>
                                <a:pt x="191" y="114"/>
                              </a:lnTo>
                              <a:lnTo>
                                <a:pt x="191" y="114"/>
                              </a:lnTo>
                              <a:lnTo>
                                <a:pt x="192" y="113"/>
                              </a:lnTo>
                              <a:lnTo>
                                <a:pt x="192" y="113"/>
                              </a:lnTo>
                              <a:lnTo>
                                <a:pt x="192" y="113"/>
                              </a:lnTo>
                              <a:lnTo>
                                <a:pt x="193" y="112"/>
                              </a:lnTo>
                              <a:lnTo>
                                <a:pt x="193" y="112"/>
                              </a:lnTo>
                              <a:lnTo>
                                <a:pt x="194" y="112"/>
                              </a:lnTo>
                              <a:lnTo>
                                <a:pt x="194" y="111"/>
                              </a:lnTo>
                              <a:lnTo>
                                <a:pt x="194" y="111"/>
                              </a:lnTo>
                              <a:lnTo>
                                <a:pt x="195" y="110"/>
                              </a:lnTo>
                              <a:lnTo>
                                <a:pt x="195" y="109"/>
                              </a:lnTo>
                              <a:lnTo>
                                <a:pt x="196" y="109"/>
                              </a:lnTo>
                              <a:lnTo>
                                <a:pt x="196" y="108"/>
                              </a:lnTo>
                              <a:lnTo>
                                <a:pt x="197" y="107"/>
                              </a:lnTo>
                              <a:lnTo>
                                <a:pt x="198" y="106"/>
                              </a:lnTo>
                              <a:lnTo>
                                <a:pt x="199" y="104"/>
                              </a:lnTo>
                              <a:lnTo>
                                <a:pt x="200" y="103"/>
                              </a:lnTo>
                              <a:lnTo>
                                <a:pt x="201" y="102"/>
                              </a:lnTo>
                              <a:lnTo>
                                <a:pt x="202" y="101"/>
                              </a:lnTo>
                              <a:lnTo>
                                <a:pt x="202" y="100"/>
                              </a:lnTo>
                              <a:lnTo>
                                <a:pt x="203" y="99"/>
                              </a:lnTo>
                              <a:lnTo>
                                <a:pt x="203" y="98"/>
                              </a:lnTo>
                              <a:lnTo>
                                <a:pt x="204" y="98"/>
                              </a:lnTo>
                              <a:lnTo>
                                <a:pt x="204" y="97"/>
                              </a:lnTo>
                              <a:lnTo>
                                <a:pt x="205" y="97"/>
                              </a:lnTo>
                              <a:lnTo>
                                <a:pt x="205" y="96"/>
                              </a:lnTo>
                              <a:lnTo>
                                <a:pt x="206" y="96"/>
                              </a:lnTo>
                              <a:lnTo>
                                <a:pt x="206" y="95"/>
                              </a:lnTo>
                              <a:lnTo>
                                <a:pt x="207" y="95"/>
                              </a:lnTo>
                              <a:lnTo>
                                <a:pt x="207" y="94"/>
                              </a:lnTo>
                              <a:lnTo>
                                <a:pt x="207" y="94"/>
                              </a:lnTo>
                              <a:lnTo>
                                <a:pt x="208" y="94"/>
                              </a:lnTo>
                              <a:lnTo>
                                <a:pt x="208" y="93"/>
                              </a:lnTo>
                              <a:lnTo>
                                <a:pt x="209" y="93"/>
                              </a:lnTo>
                              <a:lnTo>
                                <a:pt x="210" y="93"/>
                              </a:lnTo>
                              <a:lnTo>
                                <a:pt x="210" y="92"/>
                              </a:lnTo>
                              <a:lnTo>
                                <a:pt x="211" y="92"/>
                              </a:lnTo>
                              <a:lnTo>
                                <a:pt x="212" y="92"/>
                              </a:lnTo>
                              <a:lnTo>
                                <a:pt x="212" y="91"/>
                              </a:lnTo>
                              <a:lnTo>
                                <a:pt x="213" y="91"/>
                              </a:lnTo>
                              <a:lnTo>
                                <a:pt x="213" y="91"/>
                              </a:lnTo>
                              <a:lnTo>
                                <a:pt x="213" y="91"/>
                              </a:lnTo>
                              <a:lnTo>
                                <a:pt x="214" y="91"/>
                              </a:lnTo>
                              <a:lnTo>
                                <a:pt x="214" y="91"/>
                              </a:lnTo>
                              <a:lnTo>
                                <a:pt x="214" y="91"/>
                              </a:lnTo>
                              <a:lnTo>
                                <a:pt x="215" y="90"/>
                              </a:lnTo>
                              <a:lnTo>
                                <a:pt x="215" y="90"/>
                              </a:lnTo>
                              <a:lnTo>
                                <a:pt x="215" y="90"/>
                              </a:lnTo>
                              <a:lnTo>
                                <a:pt x="215" y="90"/>
                              </a:lnTo>
                              <a:lnTo>
                                <a:pt x="216" y="90"/>
                              </a:lnTo>
                              <a:lnTo>
                                <a:pt x="216" y="90"/>
                              </a:lnTo>
                              <a:lnTo>
                                <a:pt x="216" y="89"/>
                              </a:lnTo>
                              <a:lnTo>
                                <a:pt x="216" y="89"/>
                              </a:lnTo>
                              <a:lnTo>
                                <a:pt x="216" y="89"/>
                              </a:lnTo>
                              <a:lnTo>
                                <a:pt x="217" y="89"/>
                              </a:lnTo>
                              <a:lnTo>
                                <a:pt x="217" y="88"/>
                              </a:lnTo>
                              <a:lnTo>
                                <a:pt x="217" y="88"/>
                              </a:lnTo>
                              <a:lnTo>
                                <a:pt x="217" y="88"/>
                              </a:lnTo>
                              <a:lnTo>
                                <a:pt x="218" y="87"/>
                              </a:lnTo>
                              <a:lnTo>
                                <a:pt x="218" y="87"/>
                              </a:lnTo>
                              <a:lnTo>
                                <a:pt x="218" y="87"/>
                              </a:lnTo>
                              <a:lnTo>
                                <a:pt x="218" y="86"/>
                              </a:lnTo>
                              <a:lnTo>
                                <a:pt x="218" y="86"/>
                              </a:lnTo>
                              <a:lnTo>
                                <a:pt x="218" y="86"/>
                              </a:lnTo>
                              <a:lnTo>
                                <a:pt x="219" y="85"/>
                              </a:lnTo>
                              <a:lnTo>
                                <a:pt x="219" y="85"/>
                              </a:lnTo>
                              <a:lnTo>
                                <a:pt x="219" y="85"/>
                              </a:lnTo>
                              <a:lnTo>
                                <a:pt x="219" y="84"/>
                              </a:lnTo>
                              <a:lnTo>
                                <a:pt x="219" y="84"/>
                              </a:lnTo>
                              <a:lnTo>
                                <a:pt x="219" y="84"/>
                              </a:lnTo>
                              <a:lnTo>
                                <a:pt x="219" y="83"/>
                              </a:lnTo>
                              <a:lnTo>
                                <a:pt x="219" y="83"/>
                              </a:lnTo>
                              <a:lnTo>
                                <a:pt x="220" y="83"/>
                              </a:lnTo>
                              <a:lnTo>
                                <a:pt x="220" y="82"/>
                              </a:lnTo>
                              <a:lnTo>
                                <a:pt x="220" y="82"/>
                              </a:lnTo>
                              <a:lnTo>
                                <a:pt x="220" y="82"/>
                              </a:lnTo>
                              <a:lnTo>
                                <a:pt x="220" y="81"/>
                              </a:lnTo>
                              <a:lnTo>
                                <a:pt x="220" y="81"/>
                              </a:lnTo>
                              <a:lnTo>
                                <a:pt x="220" y="80"/>
                              </a:lnTo>
                              <a:lnTo>
                                <a:pt x="220" y="80"/>
                              </a:lnTo>
                              <a:lnTo>
                                <a:pt x="221" y="80"/>
                              </a:lnTo>
                              <a:lnTo>
                                <a:pt x="221" y="79"/>
                              </a:lnTo>
                              <a:lnTo>
                                <a:pt x="221" y="79"/>
                              </a:lnTo>
                              <a:lnTo>
                                <a:pt x="221" y="79"/>
                              </a:lnTo>
                              <a:lnTo>
                                <a:pt x="221" y="78"/>
                              </a:lnTo>
                              <a:lnTo>
                                <a:pt x="221" y="77"/>
                              </a:lnTo>
                              <a:lnTo>
                                <a:pt x="221" y="77"/>
                              </a:lnTo>
                              <a:lnTo>
                                <a:pt x="222" y="76"/>
                              </a:lnTo>
                              <a:lnTo>
                                <a:pt x="222" y="75"/>
                              </a:lnTo>
                              <a:lnTo>
                                <a:pt x="222" y="74"/>
                              </a:lnTo>
                              <a:lnTo>
                                <a:pt x="222" y="73"/>
                              </a:lnTo>
                              <a:lnTo>
                                <a:pt x="222" y="72"/>
                              </a:lnTo>
                              <a:lnTo>
                                <a:pt x="223" y="71"/>
                              </a:lnTo>
                              <a:lnTo>
                                <a:pt x="223" y="70"/>
                              </a:lnTo>
                              <a:lnTo>
                                <a:pt x="223" y="68"/>
                              </a:lnTo>
                              <a:lnTo>
                                <a:pt x="223" y="67"/>
                              </a:lnTo>
                              <a:lnTo>
                                <a:pt x="224" y="66"/>
                              </a:lnTo>
                              <a:lnTo>
                                <a:pt x="224" y="64"/>
                              </a:lnTo>
                              <a:lnTo>
                                <a:pt x="224" y="63"/>
                              </a:lnTo>
                              <a:lnTo>
                                <a:pt x="224" y="61"/>
                              </a:lnTo>
                              <a:lnTo>
                                <a:pt x="225" y="60"/>
                              </a:lnTo>
                              <a:lnTo>
                                <a:pt x="225" y="58"/>
                              </a:lnTo>
                              <a:lnTo>
                                <a:pt x="225" y="56"/>
                              </a:lnTo>
                              <a:lnTo>
                                <a:pt x="226" y="54"/>
                              </a:lnTo>
                              <a:lnTo>
                                <a:pt x="226" y="52"/>
                              </a:lnTo>
                              <a:lnTo>
                                <a:pt x="226" y="49"/>
                              </a:lnTo>
                              <a:lnTo>
                                <a:pt x="227" y="46"/>
                              </a:lnTo>
                              <a:lnTo>
                                <a:pt x="227" y="42"/>
                              </a:lnTo>
                              <a:lnTo>
                                <a:pt x="228" y="37"/>
                              </a:lnTo>
                              <a:lnTo>
                                <a:pt x="229" y="33"/>
                              </a:lnTo>
                              <a:lnTo>
                                <a:pt x="229" y="29"/>
                              </a:lnTo>
                              <a:lnTo>
                                <a:pt x="230" y="26"/>
                              </a:lnTo>
                              <a:lnTo>
                                <a:pt x="230" y="24"/>
                              </a:lnTo>
                              <a:lnTo>
                                <a:pt x="230" y="21"/>
                              </a:lnTo>
                              <a:lnTo>
                                <a:pt x="231" y="19"/>
                              </a:lnTo>
                              <a:lnTo>
                                <a:pt x="231" y="17"/>
                              </a:lnTo>
                              <a:lnTo>
                                <a:pt x="231" y="15"/>
                              </a:lnTo>
                              <a:lnTo>
                                <a:pt x="232" y="14"/>
                              </a:lnTo>
                              <a:lnTo>
                                <a:pt x="232" y="12"/>
                              </a:lnTo>
                              <a:lnTo>
                                <a:pt x="232" y="11"/>
                              </a:lnTo>
                              <a:lnTo>
                                <a:pt x="232" y="9"/>
                              </a:lnTo>
                              <a:lnTo>
                                <a:pt x="233" y="8"/>
                              </a:lnTo>
                              <a:lnTo>
                                <a:pt x="233" y="7"/>
                              </a:lnTo>
                              <a:lnTo>
                                <a:pt x="233" y="6"/>
                              </a:lnTo>
                              <a:lnTo>
                                <a:pt x="234" y="5"/>
                              </a:lnTo>
                              <a:lnTo>
                                <a:pt x="234" y="4"/>
                              </a:lnTo>
                              <a:lnTo>
                                <a:pt x="234" y="3"/>
                              </a:lnTo>
                              <a:lnTo>
                                <a:pt x="235" y="3"/>
                              </a:lnTo>
                              <a:lnTo>
                                <a:pt x="235" y="2"/>
                              </a:lnTo>
                              <a:lnTo>
                                <a:pt x="235" y="1"/>
                              </a:lnTo>
                              <a:lnTo>
                                <a:pt x="235" y="1"/>
                              </a:lnTo>
                              <a:lnTo>
                                <a:pt x="236" y="1"/>
                              </a:lnTo>
                              <a:lnTo>
                                <a:pt x="236" y="0"/>
                              </a:lnTo>
                              <a:lnTo>
                                <a:pt x="236" y="0"/>
                              </a:lnTo>
                              <a:lnTo>
                                <a:pt x="236" y="0"/>
                              </a:lnTo>
                              <a:lnTo>
                                <a:pt x="237" y="0"/>
                              </a:lnTo>
                              <a:lnTo>
                                <a:pt x="237" y="0"/>
                              </a:lnTo>
                              <a:lnTo>
                                <a:pt x="237" y="0"/>
                              </a:lnTo>
                              <a:lnTo>
                                <a:pt x="238" y="0"/>
                              </a:lnTo>
                              <a:lnTo>
                                <a:pt x="238" y="0"/>
                              </a:lnTo>
                              <a:lnTo>
                                <a:pt x="238" y="1"/>
                              </a:lnTo>
                              <a:lnTo>
                                <a:pt x="239" y="1"/>
                              </a:lnTo>
                              <a:lnTo>
                                <a:pt x="239" y="1"/>
                              </a:lnTo>
                              <a:lnTo>
                                <a:pt x="239" y="2"/>
                              </a:lnTo>
                              <a:lnTo>
                                <a:pt x="240" y="3"/>
                              </a:lnTo>
                              <a:lnTo>
                                <a:pt x="240" y="4"/>
                              </a:lnTo>
                              <a:lnTo>
                                <a:pt x="240" y="4"/>
                              </a:lnTo>
                              <a:lnTo>
                                <a:pt x="241" y="5"/>
                              </a:lnTo>
                              <a:lnTo>
                                <a:pt x="241" y="6"/>
                              </a:lnTo>
                              <a:lnTo>
                                <a:pt x="241" y="8"/>
                              </a:lnTo>
                              <a:lnTo>
                                <a:pt x="242" y="9"/>
                              </a:lnTo>
                              <a:lnTo>
                                <a:pt x="242" y="10"/>
                              </a:lnTo>
                              <a:lnTo>
                                <a:pt x="243" y="12"/>
                              </a:lnTo>
                              <a:lnTo>
                                <a:pt x="243" y="14"/>
                              </a:lnTo>
                              <a:lnTo>
                                <a:pt x="244" y="15"/>
                              </a:lnTo>
                              <a:lnTo>
                                <a:pt x="244" y="18"/>
                              </a:lnTo>
                              <a:lnTo>
                                <a:pt x="245" y="20"/>
                              </a:lnTo>
                              <a:lnTo>
                                <a:pt x="245" y="23"/>
                              </a:lnTo>
                              <a:lnTo>
                                <a:pt x="246" y="26"/>
                              </a:lnTo>
                              <a:lnTo>
                                <a:pt x="247" y="31"/>
                              </a:lnTo>
                              <a:lnTo>
                                <a:pt x="249" y="36"/>
                              </a:lnTo>
                              <a:lnTo>
                                <a:pt x="250" y="39"/>
                              </a:lnTo>
                              <a:lnTo>
                                <a:pt x="250" y="43"/>
                              </a:lnTo>
                              <a:lnTo>
                                <a:pt x="251" y="45"/>
                              </a:lnTo>
                              <a:lnTo>
                                <a:pt x="252" y="47"/>
                              </a:lnTo>
                              <a:lnTo>
                                <a:pt x="252" y="49"/>
                              </a:lnTo>
                              <a:lnTo>
                                <a:pt x="253" y="51"/>
                              </a:lnTo>
                              <a:lnTo>
                                <a:pt x="253" y="52"/>
                              </a:lnTo>
                              <a:lnTo>
                                <a:pt x="254" y="54"/>
                              </a:lnTo>
                              <a:lnTo>
                                <a:pt x="254" y="55"/>
                              </a:lnTo>
                              <a:lnTo>
                                <a:pt x="255" y="57"/>
                              </a:lnTo>
                              <a:lnTo>
                                <a:pt x="255" y="59"/>
                              </a:lnTo>
                              <a:lnTo>
                                <a:pt x="256" y="60"/>
                              </a:lnTo>
                              <a:lnTo>
                                <a:pt x="256" y="61"/>
                              </a:lnTo>
                              <a:lnTo>
                                <a:pt x="257" y="63"/>
                              </a:lnTo>
                              <a:lnTo>
                                <a:pt x="257" y="64"/>
                              </a:lnTo>
                              <a:lnTo>
                                <a:pt x="258" y="65"/>
                              </a:lnTo>
                              <a:lnTo>
                                <a:pt x="258" y="66"/>
                              </a:lnTo>
                              <a:lnTo>
                                <a:pt x="259" y="68"/>
                              </a:lnTo>
                              <a:lnTo>
                                <a:pt x="259" y="69"/>
                              </a:lnTo>
                              <a:lnTo>
                                <a:pt x="260" y="70"/>
                              </a:lnTo>
                              <a:lnTo>
                                <a:pt x="260" y="71"/>
                              </a:lnTo>
                              <a:lnTo>
                                <a:pt x="261" y="72"/>
                              </a:lnTo>
                              <a:lnTo>
                                <a:pt x="261" y="73"/>
                              </a:lnTo>
                              <a:lnTo>
                                <a:pt x="262" y="75"/>
                              </a:lnTo>
                              <a:lnTo>
                                <a:pt x="263" y="76"/>
                              </a:lnTo>
                              <a:lnTo>
                                <a:pt x="263" y="77"/>
                              </a:lnTo>
                              <a:lnTo>
                                <a:pt x="264" y="79"/>
                              </a:lnTo>
                              <a:lnTo>
                                <a:pt x="265" y="80"/>
                              </a:lnTo>
                              <a:lnTo>
                                <a:pt x="266" y="81"/>
                              </a:lnTo>
                              <a:lnTo>
                                <a:pt x="266" y="81"/>
                              </a:lnTo>
                              <a:lnTo>
                                <a:pt x="266" y="82"/>
                              </a:lnTo>
                              <a:lnTo>
                                <a:pt x="266" y="82"/>
                              </a:lnTo>
                              <a:lnTo>
                                <a:pt x="267" y="83"/>
                              </a:lnTo>
                              <a:lnTo>
                                <a:pt x="267" y="83"/>
                              </a:lnTo>
                              <a:lnTo>
                                <a:pt x="268" y="84"/>
                              </a:lnTo>
                              <a:lnTo>
                                <a:pt x="268" y="85"/>
                              </a:lnTo>
                              <a:lnTo>
                                <a:pt x="269" y="86"/>
                              </a:lnTo>
                              <a:lnTo>
                                <a:pt x="269" y="86"/>
                              </a:lnTo>
                              <a:lnTo>
                                <a:pt x="270" y="87"/>
                              </a:lnTo>
                              <a:lnTo>
                                <a:pt x="271" y="88"/>
                              </a:lnTo>
                              <a:lnTo>
                                <a:pt x="271" y="88"/>
                              </a:lnTo>
                              <a:lnTo>
                                <a:pt x="272" y="89"/>
                              </a:lnTo>
                              <a:lnTo>
                                <a:pt x="272" y="90"/>
                              </a:lnTo>
                              <a:lnTo>
                                <a:pt x="273" y="90"/>
                              </a:lnTo>
                              <a:lnTo>
                                <a:pt x="273" y="91"/>
                              </a:lnTo>
                              <a:lnTo>
                                <a:pt x="274" y="91"/>
                              </a:lnTo>
                              <a:lnTo>
                                <a:pt x="274" y="92"/>
                              </a:lnTo>
                              <a:lnTo>
                                <a:pt x="275" y="92"/>
                              </a:lnTo>
                              <a:lnTo>
                                <a:pt x="275" y="92"/>
                              </a:lnTo>
                              <a:lnTo>
                                <a:pt x="276" y="93"/>
                              </a:lnTo>
                              <a:lnTo>
                                <a:pt x="276" y="93"/>
                              </a:lnTo>
                              <a:lnTo>
                                <a:pt x="276" y="94"/>
                              </a:lnTo>
                              <a:lnTo>
                                <a:pt x="277" y="94"/>
                              </a:lnTo>
                              <a:lnTo>
                                <a:pt x="277" y="94"/>
                              </a:lnTo>
                              <a:lnTo>
                                <a:pt x="278" y="95"/>
                              </a:lnTo>
                              <a:lnTo>
                                <a:pt x="278" y="95"/>
                              </a:lnTo>
                              <a:lnTo>
                                <a:pt x="279" y="95"/>
                              </a:lnTo>
                              <a:lnTo>
                                <a:pt x="279" y="95"/>
                              </a:lnTo>
                              <a:lnTo>
                                <a:pt x="279" y="95"/>
                              </a:lnTo>
                              <a:lnTo>
                                <a:pt x="280" y="96"/>
                              </a:lnTo>
                              <a:lnTo>
                                <a:pt x="280" y="96"/>
                              </a:lnTo>
                              <a:lnTo>
                                <a:pt x="281" y="96"/>
                              </a:lnTo>
                              <a:lnTo>
                                <a:pt x="281" y="96"/>
                              </a:lnTo>
                              <a:lnTo>
                                <a:pt x="281" y="96"/>
                              </a:lnTo>
                              <a:lnTo>
                                <a:pt x="282" y="96"/>
                              </a:lnTo>
                              <a:lnTo>
                                <a:pt x="282" y="96"/>
                              </a:lnTo>
                              <a:lnTo>
                                <a:pt x="283" y="96"/>
                              </a:lnTo>
                              <a:lnTo>
                                <a:pt x="283" y="96"/>
                              </a:lnTo>
                              <a:lnTo>
                                <a:pt x="283" y="96"/>
                              </a:lnTo>
                              <a:lnTo>
                                <a:pt x="284" y="96"/>
                              </a:lnTo>
                              <a:lnTo>
                                <a:pt x="285" y="96"/>
                              </a:lnTo>
                              <a:lnTo>
                                <a:pt x="285" y="96"/>
                              </a:lnTo>
                              <a:lnTo>
                                <a:pt x="286" y="96"/>
                              </a:lnTo>
                              <a:lnTo>
                                <a:pt x="287" y="95"/>
                              </a:lnTo>
                              <a:lnTo>
                                <a:pt x="288" y="95"/>
                              </a:lnTo>
                              <a:lnTo>
                                <a:pt x="289" y="94"/>
                              </a:lnTo>
                              <a:lnTo>
                                <a:pt x="289" y="94"/>
                              </a:lnTo>
                              <a:lnTo>
                                <a:pt x="290" y="94"/>
                              </a:lnTo>
                              <a:lnTo>
                                <a:pt x="291" y="94"/>
                              </a:lnTo>
                              <a:lnTo>
                                <a:pt x="291" y="94"/>
                              </a:lnTo>
                              <a:lnTo>
                                <a:pt x="292" y="94"/>
                              </a:lnTo>
                              <a:lnTo>
                                <a:pt x="292" y="94"/>
                              </a:lnTo>
                              <a:lnTo>
                                <a:pt x="293" y="94"/>
                              </a:lnTo>
                              <a:lnTo>
                                <a:pt x="293" y="94"/>
                              </a:lnTo>
                              <a:lnTo>
                                <a:pt x="293" y="94"/>
                              </a:lnTo>
                              <a:lnTo>
                                <a:pt x="294" y="94"/>
                              </a:lnTo>
                              <a:lnTo>
                                <a:pt x="294" y="94"/>
                              </a:lnTo>
                              <a:lnTo>
                                <a:pt x="295" y="94"/>
                              </a:lnTo>
                              <a:lnTo>
                                <a:pt x="295" y="94"/>
                              </a:lnTo>
                              <a:lnTo>
                                <a:pt x="296" y="94"/>
                              </a:lnTo>
                              <a:lnTo>
                                <a:pt x="296" y="94"/>
                              </a:lnTo>
                              <a:lnTo>
                                <a:pt x="296" y="95"/>
                              </a:lnTo>
                              <a:lnTo>
                                <a:pt x="297" y="95"/>
                              </a:lnTo>
                              <a:lnTo>
                                <a:pt x="297" y="95"/>
                              </a:lnTo>
                              <a:lnTo>
                                <a:pt x="298" y="96"/>
                              </a:lnTo>
                              <a:lnTo>
                                <a:pt x="298" y="96"/>
                              </a:lnTo>
                              <a:lnTo>
                                <a:pt x="299" y="97"/>
                              </a:lnTo>
                              <a:lnTo>
                                <a:pt x="300" y="97"/>
                              </a:lnTo>
                              <a:lnTo>
                                <a:pt x="300" y="98"/>
                              </a:lnTo>
                              <a:lnTo>
                                <a:pt x="301" y="98"/>
                              </a:lnTo>
                              <a:lnTo>
                                <a:pt x="302" y="99"/>
                              </a:lnTo>
                              <a:lnTo>
                                <a:pt x="303" y="100"/>
                              </a:lnTo>
                              <a:lnTo>
                                <a:pt x="304" y="101"/>
                              </a:lnTo>
                              <a:lnTo>
                                <a:pt x="305" y="102"/>
                              </a:lnTo>
                              <a:lnTo>
                                <a:pt x="306" y="102"/>
                              </a:lnTo>
                              <a:lnTo>
                                <a:pt x="306" y="103"/>
                              </a:lnTo>
                              <a:lnTo>
                                <a:pt x="307" y="103"/>
                              </a:lnTo>
                              <a:lnTo>
                                <a:pt x="307" y="104"/>
                              </a:lnTo>
                              <a:lnTo>
                                <a:pt x="308" y="104"/>
                              </a:lnTo>
                              <a:lnTo>
                                <a:pt x="308" y="104"/>
                              </a:lnTo>
                              <a:lnTo>
                                <a:pt x="308" y="104"/>
                              </a:lnTo>
                              <a:lnTo>
                                <a:pt x="309" y="105"/>
                              </a:lnTo>
                              <a:lnTo>
                                <a:pt x="309" y="105"/>
                              </a:lnTo>
                              <a:lnTo>
                                <a:pt x="309" y="105"/>
                              </a:lnTo>
                              <a:lnTo>
                                <a:pt x="310" y="105"/>
                              </a:lnTo>
                              <a:lnTo>
                                <a:pt x="310" y="105"/>
                              </a:lnTo>
                              <a:lnTo>
                                <a:pt x="310" y="106"/>
                              </a:lnTo>
                              <a:lnTo>
                                <a:pt x="310" y="106"/>
                              </a:lnTo>
                              <a:lnTo>
                                <a:pt x="311" y="106"/>
                              </a:lnTo>
                              <a:lnTo>
                                <a:pt x="311" y="106"/>
                              </a:lnTo>
                              <a:lnTo>
                                <a:pt x="312" y="107"/>
                              </a:lnTo>
                              <a:lnTo>
                                <a:pt x="312" y="107"/>
                              </a:lnTo>
                              <a:lnTo>
                                <a:pt x="313" y="107"/>
                              </a:lnTo>
                              <a:lnTo>
                                <a:pt x="314" y="108"/>
                              </a:lnTo>
                              <a:lnTo>
                                <a:pt x="314" y="108"/>
                              </a:lnTo>
                              <a:lnTo>
                                <a:pt x="315" y="108"/>
                              </a:lnTo>
                              <a:lnTo>
                                <a:pt x="316" y="108"/>
                              </a:lnTo>
                              <a:lnTo>
                                <a:pt x="316" y="109"/>
                              </a:lnTo>
                              <a:lnTo>
                                <a:pt x="317" y="109"/>
                              </a:lnTo>
                              <a:lnTo>
                                <a:pt x="318" y="109"/>
                              </a:lnTo>
                              <a:lnTo>
                                <a:pt x="318" y="109"/>
                              </a:lnTo>
                              <a:lnTo>
                                <a:pt x="319" y="110"/>
                              </a:lnTo>
                              <a:lnTo>
                                <a:pt x="320" y="110"/>
                              </a:lnTo>
                              <a:lnTo>
                                <a:pt x="321" y="110"/>
                              </a:lnTo>
                              <a:lnTo>
                                <a:pt x="322" y="110"/>
                              </a:lnTo>
                              <a:lnTo>
                                <a:pt x="322" y="111"/>
                              </a:lnTo>
                              <a:lnTo>
                                <a:pt x="323" y="111"/>
                              </a:lnTo>
                              <a:lnTo>
                                <a:pt x="324" y="111"/>
                              </a:lnTo>
                              <a:lnTo>
                                <a:pt x="325" y="111"/>
                              </a:lnTo>
                              <a:lnTo>
                                <a:pt x="326" y="111"/>
                              </a:lnTo>
                              <a:lnTo>
                                <a:pt x="327" y="111"/>
                              </a:lnTo>
                              <a:lnTo>
                                <a:pt x="328" y="112"/>
                              </a:lnTo>
                              <a:lnTo>
                                <a:pt x="329" y="112"/>
                              </a:lnTo>
                              <a:lnTo>
                                <a:pt x="330" y="112"/>
                              </a:lnTo>
                              <a:lnTo>
                                <a:pt x="331" y="112"/>
                              </a:lnTo>
                              <a:lnTo>
                                <a:pt x="332" y="112"/>
                              </a:lnTo>
                              <a:lnTo>
                                <a:pt x="333" y="112"/>
                              </a:lnTo>
                              <a:lnTo>
                                <a:pt x="335" y="112"/>
                              </a:lnTo>
                              <a:lnTo>
                                <a:pt x="336" y="113"/>
                              </a:lnTo>
                              <a:lnTo>
                                <a:pt x="337" y="113"/>
                              </a:lnTo>
                              <a:lnTo>
                                <a:pt x="339" y="113"/>
                              </a:lnTo>
                              <a:lnTo>
                                <a:pt x="341" y="113"/>
                              </a:lnTo>
                              <a:lnTo>
                                <a:pt x="342" y="113"/>
                              </a:lnTo>
                              <a:lnTo>
                                <a:pt x="344" y="113"/>
                              </a:lnTo>
                              <a:lnTo>
                                <a:pt x="345" y="113"/>
                              </a:lnTo>
                              <a:lnTo>
                                <a:pt x="347" y="113"/>
                              </a:lnTo>
                              <a:lnTo>
                                <a:pt x="348" y="113"/>
                              </a:lnTo>
                              <a:lnTo>
                                <a:pt x="350" y="114"/>
                              </a:lnTo>
                              <a:lnTo>
                                <a:pt x="353" y="114"/>
                              </a:lnTo>
                              <a:lnTo>
                                <a:pt x="355" y="114"/>
                              </a:lnTo>
                              <a:lnTo>
                                <a:pt x="357" y="114"/>
                              </a:lnTo>
                              <a:lnTo>
                                <a:pt x="359" y="114"/>
                              </a:lnTo>
                              <a:lnTo>
                                <a:pt x="361" y="114"/>
                              </a:lnTo>
                              <a:lnTo>
                                <a:pt x="363" y="114"/>
                              </a:lnTo>
                              <a:lnTo>
                                <a:pt x="366" y="114"/>
                              </a:lnTo>
                              <a:lnTo>
                                <a:pt x="368" y="114"/>
                              </a:lnTo>
                              <a:lnTo>
                                <a:pt x="370" y="114"/>
                              </a:lnTo>
                              <a:lnTo>
                                <a:pt x="374" y="114"/>
                              </a:lnTo>
                              <a:lnTo>
                                <a:pt x="376" y="114"/>
                              </a:lnTo>
                              <a:lnTo>
                                <a:pt x="379" y="114"/>
                              </a:lnTo>
                              <a:lnTo>
                                <a:pt x="381" y="114"/>
                              </a:lnTo>
                              <a:lnTo>
                                <a:pt x="383" y="114"/>
                              </a:lnTo>
                              <a:lnTo>
                                <a:pt x="385" y="114"/>
                              </a:lnTo>
                              <a:lnTo>
                                <a:pt x="388" y="114"/>
                              </a:lnTo>
                              <a:lnTo>
                                <a:pt x="391" y="114"/>
                              </a:lnTo>
                              <a:lnTo>
                                <a:pt x="395" y="114"/>
                              </a:lnTo>
                              <a:lnTo>
                                <a:pt x="397" y="114"/>
                              </a:lnTo>
                              <a:lnTo>
                                <a:pt x="399" y="114"/>
                              </a:lnTo>
                              <a:lnTo>
                                <a:pt x="400" y="114"/>
                              </a:lnTo>
                              <a:lnTo>
                                <a:pt x="402" y="114"/>
                              </a:lnTo>
                              <a:lnTo>
                                <a:pt x="404" y="114"/>
                              </a:lnTo>
                              <a:lnTo>
                                <a:pt x="406" y="114"/>
                              </a:lnTo>
                              <a:lnTo>
                                <a:pt x="409" y="114"/>
                              </a:lnTo>
                              <a:lnTo>
                                <a:pt x="412" y="114"/>
                              </a:lnTo>
                              <a:lnTo>
                                <a:pt x="415" y="115"/>
                              </a:lnTo>
                              <a:lnTo>
                                <a:pt x="418" y="115"/>
                              </a:lnTo>
                              <a:lnTo>
                                <a:pt x="421" y="115"/>
                              </a:lnTo>
                              <a:lnTo>
                                <a:pt x="425" y="115"/>
                              </a:lnTo>
                              <a:lnTo>
                                <a:pt x="428" y="115"/>
                              </a:lnTo>
                              <a:lnTo>
                                <a:pt x="432" y="115"/>
                              </a:lnTo>
                              <a:lnTo>
                                <a:pt x="435" y="115"/>
                              </a:lnTo>
                              <a:lnTo>
                                <a:pt x="439" y="116"/>
                              </a:lnTo>
                              <a:lnTo>
                                <a:pt x="441" y="116"/>
                              </a:lnTo>
                              <a:lnTo>
                                <a:pt x="443" y="116"/>
                              </a:lnTo>
                              <a:lnTo>
                                <a:pt x="446" y="116"/>
                              </a:lnTo>
                              <a:lnTo>
                                <a:pt x="450" y="116"/>
                              </a:lnTo>
                              <a:lnTo>
                                <a:pt x="454" y="116"/>
                              </a:lnTo>
                              <a:lnTo>
                                <a:pt x="458" y="116"/>
                              </a:lnTo>
                              <a:lnTo>
                                <a:pt x="462" y="116"/>
                              </a:lnTo>
                              <a:lnTo>
                                <a:pt x="467" y="116"/>
                              </a:lnTo>
                              <a:lnTo>
                                <a:pt x="474" y="116"/>
                              </a:lnTo>
                              <a:lnTo>
                                <a:pt x="481" y="117"/>
                              </a:lnTo>
                              <a:lnTo>
                                <a:pt x="484" y="117"/>
                              </a:lnTo>
                              <a:lnTo>
                                <a:pt x="486" y="117"/>
                              </a:lnTo>
                              <a:lnTo>
                                <a:pt x="487" y="117"/>
                              </a:lnTo>
                              <a:lnTo>
                                <a:pt x="490" y="117"/>
                              </a:lnTo>
                              <a:lnTo>
                                <a:pt x="493" y="117"/>
                              </a:lnTo>
                              <a:lnTo>
                                <a:pt x="497" y="117"/>
                              </a:lnTo>
                              <a:lnTo>
                                <a:pt x="501" y="117"/>
                              </a:lnTo>
                              <a:lnTo>
                                <a:pt x="504" y="117"/>
                              </a:lnTo>
                              <a:lnTo>
                                <a:pt x="507" y="117"/>
                              </a:lnTo>
                              <a:lnTo>
                                <a:pt x="511" y="117"/>
                              </a:lnTo>
                              <a:lnTo>
                                <a:pt x="514" y="117"/>
                              </a:lnTo>
                              <a:lnTo>
                                <a:pt x="517" y="117"/>
                              </a:lnTo>
                              <a:lnTo>
                                <a:pt x="520" y="117"/>
                              </a:lnTo>
                              <a:lnTo>
                                <a:pt x="524" y="117"/>
                              </a:lnTo>
                              <a:lnTo>
                                <a:pt x="529" y="117"/>
                              </a:lnTo>
                              <a:lnTo>
                                <a:pt x="532" y="117"/>
                              </a:lnTo>
                              <a:lnTo>
                                <a:pt x="534" y="117"/>
                              </a:lnTo>
                              <a:lnTo>
                                <a:pt x="537" y="117"/>
                              </a:lnTo>
                              <a:lnTo>
                                <a:pt x="540" y="118"/>
                              </a:lnTo>
                              <a:lnTo>
                                <a:pt x="543" y="118"/>
                              </a:lnTo>
                              <a:lnTo>
                                <a:pt x="546" y="118"/>
                              </a:lnTo>
                              <a:lnTo>
                                <a:pt x="552" y="118"/>
                              </a:lnTo>
                              <a:lnTo>
                                <a:pt x="559" y="118"/>
                              </a:lnTo>
                              <a:lnTo>
                                <a:pt x="566" y="118"/>
                              </a:lnTo>
                              <a:lnTo>
                                <a:pt x="573" y="118"/>
                              </a:lnTo>
                              <a:lnTo>
                                <a:pt x="580" y="118"/>
                              </a:lnTo>
                              <a:lnTo>
                                <a:pt x="583" y="118"/>
                              </a:lnTo>
                              <a:lnTo>
                                <a:pt x="585" y="118"/>
                              </a:lnTo>
                              <a:lnTo>
                                <a:pt x="588" y="118"/>
                              </a:lnTo>
                              <a:lnTo>
                                <a:pt x="590" y="118"/>
                              </a:lnTo>
                              <a:lnTo>
                                <a:pt x="593" y="118"/>
                              </a:lnTo>
                              <a:lnTo>
                                <a:pt x="595" y="118"/>
                              </a:lnTo>
                              <a:lnTo>
                                <a:pt x="597" y="118"/>
                              </a:lnTo>
                              <a:lnTo>
                                <a:pt x="600" y="118"/>
                              </a:lnTo>
                              <a:lnTo>
                                <a:pt x="603" y="118"/>
                              </a:lnTo>
                              <a:lnTo>
                                <a:pt x="608" y="118"/>
                              </a:lnTo>
                              <a:lnTo>
                                <a:pt x="612" y="118"/>
                              </a:lnTo>
                              <a:lnTo>
                                <a:pt x="616" y="118"/>
                              </a:lnTo>
                              <a:lnTo>
                                <a:pt x="618" y="118"/>
                              </a:lnTo>
                              <a:lnTo>
                                <a:pt x="621" y="118"/>
                              </a:lnTo>
                              <a:lnTo>
                                <a:pt x="623" y="118"/>
                              </a:lnTo>
                              <a:lnTo>
                                <a:pt x="626" y="118"/>
                              </a:lnTo>
                              <a:lnTo>
                                <a:pt x="628" y="118"/>
                              </a:lnTo>
                              <a:lnTo>
                                <a:pt x="631" y="118"/>
                              </a:lnTo>
                              <a:lnTo>
                                <a:pt x="634" y="118"/>
                              </a:lnTo>
                              <a:lnTo>
                                <a:pt x="637" y="118"/>
                              </a:lnTo>
                            </a:path>
                          </a:pathLst>
                        </a:cu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73" name="Freeform 161"/>
                        <a:cNvSpPr>
                          <a:spLocks/>
                        </a:cNvSpPr>
                      </a:nvSpPr>
                      <a:spPr bwMode="auto">
                        <a:xfrm>
                          <a:off x="2575615" y="10860821"/>
                          <a:ext cx="1449475" cy="551759"/>
                        </a:xfrm>
                        <a:custGeom>
                          <a:avLst/>
                          <a:gdLst/>
                          <a:ahLst/>
                          <a:cxnLst>
                            <a:cxn ang="0">
                              <a:pos x="27" y="388"/>
                            </a:cxn>
                            <a:cxn ang="0">
                              <a:pos x="54" y="388"/>
                            </a:cxn>
                            <a:cxn ang="0">
                              <a:pos x="81" y="388"/>
                            </a:cxn>
                            <a:cxn ang="0">
                              <a:pos x="114" y="389"/>
                            </a:cxn>
                            <a:cxn ang="0">
                              <a:pos x="142" y="389"/>
                            </a:cxn>
                            <a:cxn ang="0">
                              <a:pos x="178" y="389"/>
                            </a:cxn>
                            <a:cxn ang="0">
                              <a:pos x="220" y="389"/>
                            </a:cxn>
                            <a:cxn ang="0">
                              <a:pos x="268" y="389"/>
                            </a:cxn>
                            <a:cxn ang="0">
                              <a:pos x="296" y="389"/>
                            </a:cxn>
                            <a:cxn ang="0">
                              <a:pos x="328" y="389"/>
                            </a:cxn>
                            <a:cxn ang="0">
                              <a:pos x="375" y="389"/>
                            </a:cxn>
                            <a:cxn ang="0">
                              <a:pos x="422" y="388"/>
                            </a:cxn>
                            <a:cxn ang="0">
                              <a:pos x="461" y="388"/>
                            </a:cxn>
                            <a:cxn ang="0">
                              <a:pos x="497" y="388"/>
                            </a:cxn>
                            <a:cxn ang="0">
                              <a:pos x="532" y="387"/>
                            </a:cxn>
                            <a:cxn ang="0">
                              <a:pos x="565" y="387"/>
                            </a:cxn>
                            <a:cxn ang="0">
                              <a:pos x="600" y="387"/>
                            </a:cxn>
                            <a:cxn ang="0">
                              <a:pos x="638" y="386"/>
                            </a:cxn>
                            <a:cxn ang="0">
                              <a:pos x="679" y="386"/>
                            </a:cxn>
                            <a:cxn ang="0">
                              <a:pos x="702" y="386"/>
                            </a:cxn>
                            <a:cxn ang="0">
                              <a:pos x="722" y="385"/>
                            </a:cxn>
                            <a:cxn ang="0">
                              <a:pos x="739" y="385"/>
                            </a:cxn>
                            <a:cxn ang="0">
                              <a:pos x="762" y="385"/>
                            </a:cxn>
                            <a:cxn ang="0">
                              <a:pos x="775" y="385"/>
                            </a:cxn>
                            <a:cxn ang="0">
                              <a:pos x="794" y="383"/>
                            </a:cxn>
                            <a:cxn ang="0">
                              <a:pos x="812" y="383"/>
                            </a:cxn>
                            <a:cxn ang="0">
                              <a:pos x="835" y="382"/>
                            </a:cxn>
                            <a:cxn ang="0">
                              <a:pos x="855" y="381"/>
                            </a:cxn>
                            <a:cxn ang="0">
                              <a:pos x="869" y="380"/>
                            </a:cxn>
                            <a:cxn ang="0">
                              <a:pos x="881" y="379"/>
                            </a:cxn>
                            <a:cxn ang="0">
                              <a:pos x="895" y="377"/>
                            </a:cxn>
                            <a:cxn ang="0">
                              <a:pos x="904" y="376"/>
                            </a:cxn>
                            <a:cxn ang="0">
                              <a:pos x="915" y="376"/>
                            </a:cxn>
                            <a:cxn ang="0">
                              <a:pos x="929" y="375"/>
                            </a:cxn>
                            <a:cxn ang="0">
                              <a:pos x="944" y="375"/>
                            </a:cxn>
                            <a:cxn ang="0">
                              <a:pos x="961" y="375"/>
                            </a:cxn>
                            <a:cxn ang="0">
                              <a:pos x="969" y="374"/>
                            </a:cxn>
                            <a:cxn ang="0">
                              <a:pos x="977" y="372"/>
                            </a:cxn>
                            <a:cxn ang="0">
                              <a:pos x="985" y="369"/>
                            </a:cxn>
                            <a:cxn ang="0">
                              <a:pos x="993" y="367"/>
                            </a:cxn>
                            <a:cxn ang="0">
                              <a:pos x="1010" y="364"/>
                            </a:cxn>
                            <a:cxn ang="0">
                              <a:pos x="1020" y="363"/>
                            </a:cxn>
                            <a:cxn ang="0">
                              <a:pos x="1028" y="364"/>
                            </a:cxn>
                            <a:cxn ang="0">
                              <a:pos x="1034" y="364"/>
                            </a:cxn>
                            <a:cxn ang="0">
                              <a:pos x="1040" y="363"/>
                            </a:cxn>
                            <a:cxn ang="0">
                              <a:pos x="1048" y="361"/>
                            </a:cxn>
                            <a:cxn ang="0">
                              <a:pos x="1054" y="358"/>
                            </a:cxn>
                            <a:cxn ang="0">
                              <a:pos x="1056" y="356"/>
                            </a:cxn>
                            <a:cxn ang="0">
                              <a:pos x="1058" y="354"/>
                            </a:cxn>
                            <a:cxn ang="0">
                              <a:pos x="1060" y="352"/>
                            </a:cxn>
                            <a:cxn ang="0">
                              <a:pos x="1061" y="347"/>
                            </a:cxn>
                            <a:cxn ang="0">
                              <a:pos x="1063" y="341"/>
                            </a:cxn>
                            <a:cxn ang="0">
                              <a:pos x="1064" y="334"/>
                            </a:cxn>
                            <a:cxn ang="0">
                              <a:pos x="1066" y="324"/>
                            </a:cxn>
                            <a:cxn ang="0">
                              <a:pos x="1067" y="312"/>
                            </a:cxn>
                            <a:cxn ang="0">
                              <a:pos x="1069" y="297"/>
                            </a:cxn>
                            <a:cxn ang="0">
                              <a:pos x="1069" y="289"/>
                            </a:cxn>
                            <a:cxn ang="0">
                              <a:pos x="1070" y="281"/>
                            </a:cxn>
                            <a:cxn ang="0">
                              <a:pos x="1071" y="263"/>
                            </a:cxn>
                            <a:cxn ang="0">
                              <a:pos x="1073" y="231"/>
                            </a:cxn>
                            <a:cxn ang="0">
                              <a:pos x="1076" y="170"/>
                            </a:cxn>
                            <a:cxn ang="0">
                              <a:pos x="1081" y="79"/>
                            </a:cxn>
                            <a:cxn ang="0">
                              <a:pos x="1084" y="25"/>
                            </a:cxn>
                          </a:cxnLst>
                          <a:rect l="0" t="0" r="r" b="b"/>
                          <a:pathLst>
                            <a:path w="1086" h="389">
                              <a:moveTo>
                                <a:pt x="0" y="388"/>
                              </a:moveTo>
                              <a:lnTo>
                                <a:pt x="4" y="388"/>
                              </a:lnTo>
                              <a:lnTo>
                                <a:pt x="8" y="388"/>
                              </a:lnTo>
                              <a:lnTo>
                                <a:pt x="14" y="388"/>
                              </a:lnTo>
                              <a:lnTo>
                                <a:pt x="20" y="388"/>
                              </a:lnTo>
                              <a:lnTo>
                                <a:pt x="23" y="388"/>
                              </a:lnTo>
                              <a:lnTo>
                                <a:pt x="25" y="388"/>
                              </a:lnTo>
                              <a:lnTo>
                                <a:pt x="27" y="388"/>
                              </a:lnTo>
                              <a:lnTo>
                                <a:pt x="30" y="388"/>
                              </a:lnTo>
                              <a:lnTo>
                                <a:pt x="32" y="388"/>
                              </a:lnTo>
                              <a:lnTo>
                                <a:pt x="35" y="388"/>
                              </a:lnTo>
                              <a:lnTo>
                                <a:pt x="38" y="388"/>
                              </a:lnTo>
                              <a:lnTo>
                                <a:pt x="41" y="388"/>
                              </a:lnTo>
                              <a:lnTo>
                                <a:pt x="44" y="388"/>
                              </a:lnTo>
                              <a:lnTo>
                                <a:pt x="49" y="388"/>
                              </a:lnTo>
                              <a:lnTo>
                                <a:pt x="54" y="388"/>
                              </a:lnTo>
                              <a:lnTo>
                                <a:pt x="60" y="388"/>
                              </a:lnTo>
                              <a:lnTo>
                                <a:pt x="65" y="388"/>
                              </a:lnTo>
                              <a:lnTo>
                                <a:pt x="68" y="388"/>
                              </a:lnTo>
                              <a:lnTo>
                                <a:pt x="70" y="388"/>
                              </a:lnTo>
                              <a:lnTo>
                                <a:pt x="72" y="388"/>
                              </a:lnTo>
                              <a:lnTo>
                                <a:pt x="75" y="388"/>
                              </a:lnTo>
                              <a:lnTo>
                                <a:pt x="78" y="388"/>
                              </a:lnTo>
                              <a:lnTo>
                                <a:pt x="81" y="388"/>
                              </a:lnTo>
                              <a:lnTo>
                                <a:pt x="84" y="388"/>
                              </a:lnTo>
                              <a:lnTo>
                                <a:pt x="87" y="388"/>
                              </a:lnTo>
                              <a:lnTo>
                                <a:pt x="92" y="389"/>
                              </a:lnTo>
                              <a:lnTo>
                                <a:pt x="98" y="389"/>
                              </a:lnTo>
                              <a:lnTo>
                                <a:pt x="104" y="389"/>
                              </a:lnTo>
                              <a:lnTo>
                                <a:pt x="109" y="389"/>
                              </a:lnTo>
                              <a:lnTo>
                                <a:pt x="112" y="389"/>
                              </a:lnTo>
                              <a:lnTo>
                                <a:pt x="114" y="389"/>
                              </a:lnTo>
                              <a:lnTo>
                                <a:pt x="116" y="389"/>
                              </a:lnTo>
                              <a:lnTo>
                                <a:pt x="119" y="389"/>
                              </a:lnTo>
                              <a:lnTo>
                                <a:pt x="121" y="389"/>
                              </a:lnTo>
                              <a:lnTo>
                                <a:pt x="125" y="389"/>
                              </a:lnTo>
                              <a:lnTo>
                                <a:pt x="128" y="389"/>
                              </a:lnTo>
                              <a:lnTo>
                                <a:pt x="131" y="389"/>
                              </a:lnTo>
                              <a:lnTo>
                                <a:pt x="136" y="389"/>
                              </a:lnTo>
                              <a:lnTo>
                                <a:pt x="142" y="389"/>
                              </a:lnTo>
                              <a:lnTo>
                                <a:pt x="147" y="389"/>
                              </a:lnTo>
                              <a:lnTo>
                                <a:pt x="152" y="389"/>
                              </a:lnTo>
                              <a:lnTo>
                                <a:pt x="156" y="389"/>
                              </a:lnTo>
                              <a:lnTo>
                                <a:pt x="160" y="389"/>
                              </a:lnTo>
                              <a:lnTo>
                                <a:pt x="165" y="389"/>
                              </a:lnTo>
                              <a:lnTo>
                                <a:pt x="169" y="389"/>
                              </a:lnTo>
                              <a:lnTo>
                                <a:pt x="174" y="389"/>
                              </a:lnTo>
                              <a:lnTo>
                                <a:pt x="178" y="389"/>
                              </a:lnTo>
                              <a:lnTo>
                                <a:pt x="183" y="389"/>
                              </a:lnTo>
                              <a:lnTo>
                                <a:pt x="188" y="389"/>
                              </a:lnTo>
                              <a:lnTo>
                                <a:pt x="193" y="389"/>
                              </a:lnTo>
                              <a:lnTo>
                                <a:pt x="197" y="389"/>
                              </a:lnTo>
                              <a:lnTo>
                                <a:pt x="201" y="389"/>
                              </a:lnTo>
                              <a:lnTo>
                                <a:pt x="206" y="389"/>
                              </a:lnTo>
                              <a:lnTo>
                                <a:pt x="214" y="389"/>
                              </a:lnTo>
                              <a:lnTo>
                                <a:pt x="220" y="389"/>
                              </a:lnTo>
                              <a:lnTo>
                                <a:pt x="226" y="389"/>
                              </a:lnTo>
                              <a:lnTo>
                                <a:pt x="233" y="389"/>
                              </a:lnTo>
                              <a:lnTo>
                                <a:pt x="243" y="389"/>
                              </a:lnTo>
                              <a:lnTo>
                                <a:pt x="250" y="389"/>
                              </a:lnTo>
                              <a:lnTo>
                                <a:pt x="254" y="389"/>
                              </a:lnTo>
                              <a:lnTo>
                                <a:pt x="259" y="389"/>
                              </a:lnTo>
                              <a:lnTo>
                                <a:pt x="264" y="389"/>
                              </a:lnTo>
                              <a:lnTo>
                                <a:pt x="268" y="389"/>
                              </a:lnTo>
                              <a:lnTo>
                                <a:pt x="274" y="389"/>
                              </a:lnTo>
                              <a:lnTo>
                                <a:pt x="279" y="389"/>
                              </a:lnTo>
                              <a:lnTo>
                                <a:pt x="284" y="389"/>
                              </a:lnTo>
                              <a:lnTo>
                                <a:pt x="287" y="389"/>
                              </a:lnTo>
                              <a:lnTo>
                                <a:pt x="289" y="389"/>
                              </a:lnTo>
                              <a:lnTo>
                                <a:pt x="291" y="389"/>
                              </a:lnTo>
                              <a:lnTo>
                                <a:pt x="294" y="389"/>
                              </a:lnTo>
                              <a:lnTo>
                                <a:pt x="296" y="389"/>
                              </a:lnTo>
                              <a:lnTo>
                                <a:pt x="298" y="389"/>
                              </a:lnTo>
                              <a:lnTo>
                                <a:pt x="302" y="389"/>
                              </a:lnTo>
                              <a:lnTo>
                                <a:pt x="307" y="389"/>
                              </a:lnTo>
                              <a:lnTo>
                                <a:pt x="310" y="389"/>
                              </a:lnTo>
                              <a:lnTo>
                                <a:pt x="314" y="389"/>
                              </a:lnTo>
                              <a:lnTo>
                                <a:pt x="317" y="389"/>
                              </a:lnTo>
                              <a:lnTo>
                                <a:pt x="322" y="389"/>
                              </a:lnTo>
                              <a:lnTo>
                                <a:pt x="328" y="389"/>
                              </a:lnTo>
                              <a:lnTo>
                                <a:pt x="335" y="389"/>
                              </a:lnTo>
                              <a:lnTo>
                                <a:pt x="341" y="389"/>
                              </a:lnTo>
                              <a:lnTo>
                                <a:pt x="347" y="389"/>
                              </a:lnTo>
                              <a:lnTo>
                                <a:pt x="352" y="389"/>
                              </a:lnTo>
                              <a:lnTo>
                                <a:pt x="358" y="389"/>
                              </a:lnTo>
                              <a:lnTo>
                                <a:pt x="365" y="389"/>
                              </a:lnTo>
                              <a:lnTo>
                                <a:pt x="371" y="389"/>
                              </a:lnTo>
                              <a:lnTo>
                                <a:pt x="375" y="389"/>
                              </a:lnTo>
                              <a:lnTo>
                                <a:pt x="379" y="389"/>
                              </a:lnTo>
                              <a:lnTo>
                                <a:pt x="383" y="389"/>
                              </a:lnTo>
                              <a:lnTo>
                                <a:pt x="389" y="389"/>
                              </a:lnTo>
                              <a:lnTo>
                                <a:pt x="394" y="389"/>
                              </a:lnTo>
                              <a:lnTo>
                                <a:pt x="400" y="389"/>
                              </a:lnTo>
                              <a:lnTo>
                                <a:pt x="407" y="388"/>
                              </a:lnTo>
                              <a:lnTo>
                                <a:pt x="414" y="388"/>
                              </a:lnTo>
                              <a:lnTo>
                                <a:pt x="422" y="388"/>
                              </a:lnTo>
                              <a:lnTo>
                                <a:pt x="430" y="388"/>
                              </a:lnTo>
                              <a:lnTo>
                                <a:pt x="434" y="388"/>
                              </a:lnTo>
                              <a:lnTo>
                                <a:pt x="438" y="388"/>
                              </a:lnTo>
                              <a:lnTo>
                                <a:pt x="443" y="388"/>
                              </a:lnTo>
                              <a:lnTo>
                                <a:pt x="447" y="388"/>
                              </a:lnTo>
                              <a:lnTo>
                                <a:pt x="452" y="388"/>
                              </a:lnTo>
                              <a:lnTo>
                                <a:pt x="457" y="388"/>
                              </a:lnTo>
                              <a:lnTo>
                                <a:pt x="461" y="388"/>
                              </a:lnTo>
                              <a:lnTo>
                                <a:pt x="464" y="388"/>
                              </a:lnTo>
                              <a:lnTo>
                                <a:pt x="468" y="388"/>
                              </a:lnTo>
                              <a:lnTo>
                                <a:pt x="473" y="388"/>
                              </a:lnTo>
                              <a:lnTo>
                                <a:pt x="478" y="388"/>
                              </a:lnTo>
                              <a:lnTo>
                                <a:pt x="483" y="388"/>
                              </a:lnTo>
                              <a:lnTo>
                                <a:pt x="487" y="388"/>
                              </a:lnTo>
                              <a:lnTo>
                                <a:pt x="492" y="388"/>
                              </a:lnTo>
                              <a:lnTo>
                                <a:pt x="497" y="388"/>
                              </a:lnTo>
                              <a:lnTo>
                                <a:pt x="502" y="388"/>
                              </a:lnTo>
                              <a:lnTo>
                                <a:pt x="508" y="387"/>
                              </a:lnTo>
                              <a:lnTo>
                                <a:pt x="512" y="387"/>
                              </a:lnTo>
                              <a:lnTo>
                                <a:pt x="517" y="387"/>
                              </a:lnTo>
                              <a:lnTo>
                                <a:pt x="521" y="387"/>
                              </a:lnTo>
                              <a:lnTo>
                                <a:pt x="524" y="387"/>
                              </a:lnTo>
                              <a:lnTo>
                                <a:pt x="528" y="387"/>
                              </a:lnTo>
                              <a:lnTo>
                                <a:pt x="532" y="387"/>
                              </a:lnTo>
                              <a:lnTo>
                                <a:pt x="537" y="387"/>
                              </a:lnTo>
                              <a:lnTo>
                                <a:pt x="542" y="387"/>
                              </a:lnTo>
                              <a:lnTo>
                                <a:pt x="546" y="387"/>
                              </a:lnTo>
                              <a:lnTo>
                                <a:pt x="549" y="387"/>
                              </a:lnTo>
                              <a:lnTo>
                                <a:pt x="553" y="387"/>
                              </a:lnTo>
                              <a:lnTo>
                                <a:pt x="557" y="387"/>
                              </a:lnTo>
                              <a:lnTo>
                                <a:pt x="561" y="387"/>
                              </a:lnTo>
                              <a:lnTo>
                                <a:pt x="565" y="387"/>
                              </a:lnTo>
                              <a:lnTo>
                                <a:pt x="568" y="387"/>
                              </a:lnTo>
                              <a:lnTo>
                                <a:pt x="572" y="387"/>
                              </a:lnTo>
                              <a:lnTo>
                                <a:pt x="577" y="387"/>
                              </a:lnTo>
                              <a:lnTo>
                                <a:pt x="582" y="387"/>
                              </a:lnTo>
                              <a:lnTo>
                                <a:pt x="586" y="387"/>
                              </a:lnTo>
                              <a:lnTo>
                                <a:pt x="590" y="387"/>
                              </a:lnTo>
                              <a:lnTo>
                                <a:pt x="595" y="387"/>
                              </a:lnTo>
                              <a:lnTo>
                                <a:pt x="600" y="387"/>
                              </a:lnTo>
                              <a:lnTo>
                                <a:pt x="605" y="386"/>
                              </a:lnTo>
                              <a:lnTo>
                                <a:pt x="609" y="386"/>
                              </a:lnTo>
                              <a:lnTo>
                                <a:pt x="613" y="386"/>
                              </a:lnTo>
                              <a:lnTo>
                                <a:pt x="617" y="386"/>
                              </a:lnTo>
                              <a:lnTo>
                                <a:pt x="621" y="386"/>
                              </a:lnTo>
                              <a:lnTo>
                                <a:pt x="626" y="386"/>
                              </a:lnTo>
                              <a:lnTo>
                                <a:pt x="631" y="386"/>
                              </a:lnTo>
                              <a:lnTo>
                                <a:pt x="638" y="386"/>
                              </a:lnTo>
                              <a:lnTo>
                                <a:pt x="647" y="386"/>
                              </a:lnTo>
                              <a:lnTo>
                                <a:pt x="657" y="386"/>
                              </a:lnTo>
                              <a:lnTo>
                                <a:pt x="664" y="386"/>
                              </a:lnTo>
                              <a:lnTo>
                                <a:pt x="668" y="386"/>
                              </a:lnTo>
                              <a:lnTo>
                                <a:pt x="672" y="386"/>
                              </a:lnTo>
                              <a:lnTo>
                                <a:pt x="675" y="386"/>
                              </a:lnTo>
                              <a:lnTo>
                                <a:pt x="677" y="386"/>
                              </a:lnTo>
                              <a:lnTo>
                                <a:pt x="679" y="386"/>
                              </a:lnTo>
                              <a:lnTo>
                                <a:pt x="681" y="386"/>
                              </a:lnTo>
                              <a:lnTo>
                                <a:pt x="682" y="386"/>
                              </a:lnTo>
                              <a:lnTo>
                                <a:pt x="684" y="386"/>
                              </a:lnTo>
                              <a:lnTo>
                                <a:pt x="686" y="386"/>
                              </a:lnTo>
                              <a:lnTo>
                                <a:pt x="689" y="386"/>
                              </a:lnTo>
                              <a:lnTo>
                                <a:pt x="692" y="386"/>
                              </a:lnTo>
                              <a:lnTo>
                                <a:pt x="696" y="386"/>
                              </a:lnTo>
                              <a:lnTo>
                                <a:pt x="702" y="386"/>
                              </a:lnTo>
                              <a:lnTo>
                                <a:pt x="705" y="385"/>
                              </a:lnTo>
                              <a:lnTo>
                                <a:pt x="708" y="385"/>
                              </a:lnTo>
                              <a:lnTo>
                                <a:pt x="710" y="385"/>
                              </a:lnTo>
                              <a:lnTo>
                                <a:pt x="712" y="385"/>
                              </a:lnTo>
                              <a:lnTo>
                                <a:pt x="715" y="385"/>
                              </a:lnTo>
                              <a:lnTo>
                                <a:pt x="717" y="385"/>
                              </a:lnTo>
                              <a:lnTo>
                                <a:pt x="719" y="385"/>
                              </a:lnTo>
                              <a:lnTo>
                                <a:pt x="722" y="385"/>
                              </a:lnTo>
                              <a:lnTo>
                                <a:pt x="725" y="385"/>
                              </a:lnTo>
                              <a:lnTo>
                                <a:pt x="727" y="385"/>
                              </a:lnTo>
                              <a:lnTo>
                                <a:pt x="730" y="385"/>
                              </a:lnTo>
                              <a:lnTo>
                                <a:pt x="732" y="385"/>
                              </a:lnTo>
                              <a:lnTo>
                                <a:pt x="734" y="385"/>
                              </a:lnTo>
                              <a:lnTo>
                                <a:pt x="735" y="385"/>
                              </a:lnTo>
                              <a:lnTo>
                                <a:pt x="737" y="385"/>
                              </a:lnTo>
                              <a:lnTo>
                                <a:pt x="739" y="385"/>
                              </a:lnTo>
                              <a:lnTo>
                                <a:pt x="742" y="385"/>
                              </a:lnTo>
                              <a:lnTo>
                                <a:pt x="744" y="385"/>
                              </a:lnTo>
                              <a:lnTo>
                                <a:pt x="747" y="385"/>
                              </a:lnTo>
                              <a:lnTo>
                                <a:pt x="751" y="385"/>
                              </a:lnTo>
                              <a:lnTo>
                                <a:pt x="753" y="385"/>
                              </a:lnTo>
                              <a:lnTo>
                                <a:pt x="756" y="385"/>
                              </a:lnTo>
                              <a:lnTo>
                                <a:pt x="759" y="385"/>
                              </a:lnTo>
                              <a:lnTo>
                                <a:pt x="762" y="385"/>
                              </a:lnTo>
                              <a:lnTo>
                                <a:pt x="765" y="385"/>
                              </a:lnTo>
                              <a:lnTo>
                                <a:pt x="766" y="385"/>
                              </a:lnTo>
                              <a:lnTo>
                                <a:pt x="768" y="385"/>
                              </a:lnTo>
                              <a:lnTo>
                                <a:pt x="769" y="385"/>
                              </a:lnTo>
                              <a:lnTo>
                                <a:pt x="770" y="385"/>
                              </a:lnTo>
                              <a:lnTo>
                                <a:pt x="771" y="385"/>
                              </a:lnTo>
                              <a:lnTo>
                                <a:pt x="773" y="385"/>
                              </a:lnTo>
                              <a:lnTo>
                                <a:pt x="775" y="385"/>
                              </a:lnTo>
                              <a:lnTo>
                                <a:pt x="777" y="385"/>
                              </a:lnTo>
                              <a:lnTo>
                                <a:pt x="779" y="384"/>
                              </a:lnTo>
                              <a:lnTo>
                                <a:pt x="781" y="384"/>
                              </a:lnTo>
                              <a:lnTo>
                                <a:pt x="783" y="384"/>
                              </a:lnTo>
                              <a:lnTo>
                                <a:pt x="785" y="384"/>
                              </a:lnTo>
                              <a:lnTo>
                                <a:pt x="788" y="384"/>
                              </a:lnTo>
                              <a:lnTo>
                                <a:pt x="792" y="384"/>
                              </a:lnTo>
                              <a:lnTo>
                                <a:pt x="794" y="383"/>
                              </a:lnTo>
                              <a:lnTo>
                                <a:pt x="797" y="383"/>
                              </a:lnTo>
                              <a:lnTo>
                                <a:pt x="799" y="383"/>
                              </a:lnTo>
                              <a:lnTo>
                                <a:pt x="802" y="383"/>
                              </a:lnTo>
                              <a:lnTo>
                                <a:pt x="805" y="383"/>
                              </a:lnTo>
                              <a:lnTo>
                                <a:pt x="807" y="383"/>
                              </a:lnTo>
                              <a:lnTo>
                                <a:pt x="809" y="383"/>
                              </a:lnTo>
                              <a:lnTo>
                                <a:pt x="810" y="383"/>
                              </a:lnTo>
                              <a:lnTo>
                                <a:pt x="812" y="383"/>
                              </a:lnTo>
                              <a:lnTo>
                                <a:pt x="813" y="383"/>
                              </a:lnTo>
                              <a:lnTo>
                                <a:pt x="817" y="383"/>
                              </a:lnTo>
                              <a:lnTo>
                                <a:pt x="820" y="382"/>
                              </a:lnTo>
                              <a:lnTo>
                                <a:pt x="823" y="382"/>
                              </a:lnTo>
                              <a:lnTo>
                                <a:pt x="826" y="382"/>
                              </a:lnTo>
                              <a:lnTo>
                                <a:pt x="828" y="382"/>
                              </a:lnTo>
                              <a:lnTo>
                                <a:pt x="831" y="382"/>
                              </a:lnTo>
                              <a:lnTo>
                                <a:pt x="835" y="382"/>
                              </a:lnTo>
                              <a:lnTo>
                                <a:pt x="838" y="382"/>
                              </a:lnTo>
                              <a:lnTo>
                                <a:pt x="842" y="381"/>
                              </a:lnTo>
                              <a:lnTo>
                                <a:pt x="845" y="381"/>
                              </a:lnTo>
                              <a:lnTo>
                                <a:pt x="848" y="381"/>
                              </a:lnTo>
                              <a:lnTo>
                                <a:pt x="851" y="381"/>
                              </a:lnTo>
                              <a:lnTo>
                                <a:pt x="853" y="381"/>
                              </a:lnTo>
                              <a:lnTo>
                                <a:pt x="854" y="381"/>
                              </a:lnTo>
                              <a:lnTo>
                                <a:pt x="855" y="381"/>
                              </a:lnTo>
                              <a:lnTo>
                                <a:pt x="856" y="381"/>
                              </a:lnTo>
                              <a:lnTo>
                                <a:pt x="857" y="381"/>
                              </a:lnTo>
                              <a:lnTo>
                                <a:pt x="859" y="381"/>
                              </a:lnTo>
                              <a:lnTo>
                                <a:pt x="862" y="380"/>
                              </a:lnTo>
                              <a:lnTo>
                                <a:pt x="864" y="380"/>
                              </a:lnTo>
                              <a:lnTo>
                                <a:pt x="866" y="380"/>
                              </a:lnTo>
                              <a:lnTo>
                                <a:pt x="868" y="380"/>
                              </a:lnTo>
                              <a:lnTo>
                                <a:pt x="869" y="380"/>
                              </a:lnTo>
                              <a:lnTo>
                                <a:pt x="871" y="380"/>
                              </a:lnTo>
                              <a:lnTo>
                                <a:pt x="872" y="380"/>
                              </a:lnTo>
                              <a:lnTo>
                                <a:pt x="874" y="380"/>
                              </a:lnTo>
                              <a:lnTo>
                                <a:pt x="875" y="380"/>
                              </a:lnTo>
                              <a:lnTo>
                                <a:pt x="877" y="380"/>
                              </a:lnTo>
                              <a:lnTo>
                                <a:pt x="878" y="379"/>
                              </a:lnTo>
                              <a:lnTo>
                                <a:pt x="880" y="379"/>
                              </a:lnTo>
                              <a:lnTo>
                                <a:pt x="881" y="379"/>
                              </a:lnTo>
                              <a:lnTo>
                                <a:pt x="883" y="379"/>
                              </a:lnTo>
                              <a:lnTo>
                                <a:pt x="886" y="378"/>
                              </a:lnTo>
                              <a:lnTo>
                                <a:pt x="888" y="378"/>
                              </a:lnTo>
                              <a:lnTo>
                                <a:pt x="889" y="377"/>
                              </a:lnTo>
                              <a:lnTo>
                                <a:pt x="891" y="377"/>
                              </a:lnTo>
                              <a:lnTo>
                                <a:pt x="892" y="377"/>
                              </a:lnTo>
                              <a:lnTo>
                                <a:pt x="894" y="377"/>
                              </a:lnTo>
                              <a:lnTo>
                                <a:pt x="895" y="377"/>
                              </a:lnTo>
                              <a:lnTo>
                                <a:pt x="897" y="376"/>
                              </a:lnTo>
                              <a:lnTo>
                                <a:pt x="898" y="376"/>
                              </a:lnTo>
                              <a:lnTo>
                                <a:pt x="898" y="376"/>
                              </a:lnTo>
                              <a:lnTo>
                                <a:pt x="899" y="376"/>
                              </a:lnTo>
                              <a:lnTo>
                                <a:pt x="900" y="376"/>
                              </a:lnTo>
                              <a:lnTo>
                                <a:pt x="901" y="376"/>
                              </a:lnTo>
                              <a:lnTo>
                                <a:pt x="902" y="376"/>
                              </a:lnTo>
                              <a:lnTo>
                                <a:pt x="904" y="376"/>
                              </a:lnTo>
                              <a:lnTo>
                                <a:pt x="905" y="376"/>
                              </a:lnTo>
                              <a:lnTo>
                                <a:pt x="907" y="376"/>
                              </a:lnTo>
                              <a:lnTo>
                                <a:pt x="909" y="376"/>
                              </a:lnTo>
                              <a:lnTo>
                                <a:pt x="910" y="376"/>
                              </a:lnTo>
                              <a:lnTo>
                                <a:pt x="911" y="376"/>
                              </a:lnTo>
                              <a:lnTo>
                                <a:pt x="913" y="376"/>
                              </a:lnTo>
                              <a:lnTo>
                                <a:pt x="914" y="376"/>
                              </a:lnTo>
                              <a:lnTo>
                                <a:pt x="915" y="376"/>
                              </a:lnTo>
                              <a:lnTo>
                                <a:pt x="916" y="376"/>
                              </a:lnTo>
                              <a:lnTo>
                                <a:pt x="918" y="376"/>
                              </a:lnTo>
                              <a:lnTo>
                                <a:pt x="919" y="376"/>
                              </a:lnTo>
                              <a:lnTo>
                                <a:pt x="921" y="376"/>
                              </a:lnTo>
                              <a:lnTo>
                                <a:pt x="924" y="376"/>
                              </a:lnTo>
                              <a:lnTo>
                                <a:pt x="926" y="375"/>
                              </a:lnTo>
                              <a:lnTo>
                                <a:pt x="928" y="375"/>
                              </a:lnTo>
                              <a:lnTo>
                                <a:pt x="929" y="375"/>
                              </a:lnTo>
                              <a:lnTo>
                                <a:pt x="931" y="375"/>
                              </a:lnTo>
                              <a:lnTo>
                                <a:pt x="932" y="375"/>
                              </a:lnTo>
                              <a:lnTo>
                                <a:pt x="934" y="375"/>
                              </a:lnTo>
                              <a:lnTo>
                                <a:pt x="935" y="375"/>
                              </a:lnTo>
                              <a:lnTo>
                                <a:pt x="937" y="375"/>
                              </a:lnTo>
                              <a:lnTo>
                                <a:pt x="939" y="375"/>
                              </a:lnTo>
                              <a:lnTo>
                                <a:pt x="941" y="375"/>
                              </a:lnTo>
                              <a:lnTo>
                                <a:pt x="944" y="375"/>
                              </a:lnTo>
                              <a:lnTo>
                                <a:pt x="948" y="375"/>
                              </a:lnTo>
                              <a:lnTo>
                                <a:pt x="952" y="375"/>
                              </a:lnTo>
                              <a:lnTo>
                                <a:pt x="954" y="375"/>
                              </a:lnTo>
                              <a:lnTo>
                                <a:pt x="956" y="375"/>
                              </a:lnTo>
                              <a:lnTo>
                                <a:pt x="958" y="375"/>
                              </a:lnTo>
                              <a:lnTo>
                                <a:pt x="959" y="375"/>
                              </a:lnTo>
                              <a:lnTo>
                                <a:pt x="960" y="375"/>
                              </a:lnTo>
                              <a:lnTo>
                                <a:pt x="961" y="375"/>
                              </a:lnTo>
                              <a:lnTo>
                                <a:pt x="962" y="375"/>
                              </a:lnTo>
                              <a:lnTo>
                                <a:pt x="963" y="375"/>
                              </a:lnTo>
                              <a:lnTo>
                                <a:pt x="964" y="375"/>
                              </a:lnTo>
                              <a:lnTo>
                                <a:pt x="965" y="375"/>
                              </a:lnTo>
                              <a:lnTo>
                                <a:pt x="966" y="374"/>
                              </a:lnTo>
                              <a:lnTo>
                                <a:pt x="967" y="374"/>
                              </a:lnTo>
                              <a:lnTo>
                                <a:pt x="968" y="374"/>
                              </a:lnTo>
                              <a:lnTo>
                                <a:pt x="969" y="374"/>
                              </a:lnTo>
                              <a:lnTo>
                                <a:pt x="970" y="374"/>
                              </a:lnTo>
                              <a:lnTo>
                                <a:pt x="971" y="374"/>
                              </a:lnTo>
                              <a:lnTo>
                                <a:pt x="972" y="373"/>
                              </a:lnTo>
                              <a:lnTo>
                                <a:pt x="973" y="373"/>
                              </a:lnTo>
                              <a:lnTo>
                                <a:pt x="974" y="373"/>
                              </a:lnTo>
                              <a:lnTo>
                                <a:pt x="975" y="372"/>
                              </a:lnTo>
                              <a:lnTo>
                                <a:pt x="976" y="372"/>
                              </a:lnTo>
                              <a:lnTo>
                                <a:pt x="977" y="372"/>
                              </a:lnTo>
                              <a:lnTo>
                                <a:pt x="979" y="371"/>
                              </a:lnTo>
                              <a:lnTo>
                                <a:pt x="981" y="371"/>
                              </a:lnTo>
                              <a:lnTo>
                                <a:pt x="982" y="370"/>
                              </a:lnTo>
                              <a:lnTo>
                                <a:pt x="983" y="370"/>
                              </a:lnTo>
                              <a:lnTo>
                                <a:pt x="984" y="370"/>
                              </a:lnTo>
                              <a:lnTo>
                                <a:pt x="984" y="369"/>
                              </a:lnTo>
                              <a:lnTo>
                                <a:pt x="985" y="369"/>
                              </a:lnTo>
                              <a:lnTo>
                                <a:pt x="985" y="369"/>
                              </a:lnTo>
                              <a:lnTo>
                                <a:pt x="986" y="369"/>
                              </a:lnTo>
                              <a:lnTo>
                                <a:pt x="986" y="369"/>
                              </a:lnTo>
                              <a:lnTo>
                                <a:pt x="987" y="369"/>
                              </a:lnTo>
                              <a:lnTo>
                                <a:pt x="988" y="368"/>
                              </a:lnTo>
                              <a:lnTo>
                                <a:pt x="989" y="368"/>
                              </a:lnTo>
                              <a:lnTo>
                                <a:pt x="991" y="368"/>
                              </a:lnTo>
                              <a:lnTo>
                                <a:pt x="992" y="367"/>
                              </a:lnTo>
                              <a:lnTo>
                                <a:pt x="993" y="367"/>
                              </a:lnTo>
                              <a:lnTo>
                                <a:pt x="995" y="367"/>
                              </a:lnTo>
                              <a:lnTo>
                                <a:pt x="997" y="367"/>
                              </a:lnTo>
                              <a:lnTo>
                                <a:pt x="998" y="366"/>
                              </a:lnTo>
                              <a:lnTo>
                                <a:pt x="1001" y="366"/>
                              </a:lnTo>
                              <a:lnTo>
                                <a:pt x="1004" y="365"/>
                              </a:lnTo>
                              <a:lnTo>
                                <a:pt x="1007" y="365"/>
                              </a:lnTo>
                              <a:lnTo>
                                <a:pt x="1009" y="365"/>
                              </a:lnTo>
                              <a:lnTo>
                                <a:pt x="1010" y="364"/>
                              </a:lnTo>
                              <a:lnTo>
                                <a:pt x="1012" y="364"/>
                              </a:lnTo>
                              <a:lnTo>
                                <a:pt x="1013" y="364"/>
                              </a:lnTo>
                              <a:lnTo>
                                <a:pt x="1014" y="364"/>
                              </a:lnTo>
                              <a:lnTo>
                                <a:pt x="1016" y="364"/>
                              </a:lnTo>
                              <a:lnTo>
                                <a:pt x="1017" y="363"/>
                              </a:lnTo>
                              <a:lnTo>
                                <a:pt x="1018" y="363"/>
                              </a:lnTo>
                              <a:lnTo>
                                <a:pt x="1019" y="363"/>
                              </a:lnTo>
                              <a:lnTo>
                                <a:pt x="1020" y="363"/>
                              </a:lnTo>
                              <a:lnTo>
                                <a:pt x="1021" y="363"/>
                              </a:lnTo>
                              <a:lnTo>
                                <a:pt x="1023" y="364"/>
                              </a:lnTo>
                              <a:lnTo>
                                <a:pt x="1024" y="364"/>
                              </a:lnTo>
                              <a:lnTo>
                                <a:pt x="1025" y="364"/>
                              </a:lnTo>
                              <a:lnTo>
                                <a:pt x="1026" y="364"/>
                              </a:lnTo>
                              <a:lnTo>
                                <a:pt x="1027" y="364"/>
                              </a:lnTo>
                              <a:lnTo>
                                <a:pt x="1027" y="364"/>
                              </a:lnTo>
                              <a:lnTo>
                                <a:pt x="1028" y="364"/>
                              </a:lnTo>
                              <a:lnTo>
                                <a:pt x="1028" y="364"/>
                              </a:lnTo>
                              <a:lnTo>
                                <a:pt x="1029" y="364"/>
                              </a:lnTo>
                              <a:lnTo>
                                <a:pt x="1030" y="364"/>
                              </a:lnTo>
                              <a:lnTo>
                                <a:pt x="1031" y="364"/>
                              </a:lnTo>
                              <a:lnTo>
                                <a:pt x="1032" y="364"/>
                              </a:lnTo>
                              <a:lnTo>
                                <a:pt x="1033" y="364"/>
                              </a:lnTo>
                              <a:lnTo>
                                <a:pt x="1033" y="364"/>
                              </a:lnTo>
                              <a:lnTo>
                                <a:pt x="1034" y="364"/>
                              </a:lnTo>
                              <a:lnTo>
                                <a:pt x="1035" y="364"/>
                              </a:lnTo>
                              <a:lnTo>
                                <a:pt x="1036" y="364"/>
                              </a:lnTo>
                              <a:lnTo>
                                <a:pt x="1037" y="364"/>
                              </a:lnTo>
                              <a:lnTo>
                                <a:pt x="1037" y="364"/>
                              </a:lnTo>
                              <a:lnTo>
                                <a:pt x="1038" y="364"/>
                              </a:lnTo>
                              <a:lnTo>
                                <a:pt x="1039" y="363"/>
                              </a:lnTo>
                              <a:lnTo>
                                <a:pt x="1039" y="363"/>
                              </a:lnTo>
                              <a:lnTo>
                                <a:pt x="1040" y="363"/>
                              </a:lnTo>
                              <a:lnTo>
                                <a:pt x="1041" y="363"/>
                              </a:lnTo>
                              <a:lnTo>
                                <a:pt x="1042" y="363"/>
                              </a:lnTo>
                              <a:lnTo>
                                <a:pt x="1043" y="362"/>
                              </a:lnTo>
                              <a:lnTo>
                                <a:pt x="1044" y="362"/>
                              </a:lnTo>
                              <a:lnTo>
                                <a:pt x="1045" y="362"/>
                              </a:lnTo>
                              <a:lnTo>
                                <a:pt x="1046" y="361"/>
                              </a:lnTo>
                              <a:lnTo>
                                <a:pt x="1047" y="361"/>
                              </a:lnTo>
                              <a:lnTo>
                                <a:pt x="1048" y="361"/>
                              </a:lnTo>
                              <a:lnTo>
                                <a:pt x="1049" y="360"/>
                              </a:lnTo>
                              <a:lnTo>
                                <a:pt x="1050" y="360"/>
                              </a:lnTo>
                              <a:lnTo>
                                <a:pt x="1051" y="359"/>
                              </a:lnTo>
                              <a:lnTo>
                                <a:pt x="1051" y="359"/>
                              </a:lnTo>
                              <a:lnTo>
                                <a:pt x="1052" y="359"/>
                              </a:lnTo>
                              <a:lnTo>
                                <a:pt x="1053" y="359"/>
                              </a:lnTo>
                              <a:lnTo>
                                <a:pt x="1053" y="358"/>
                              </a:lnTo>
                              <a:lnTo>
                                <a:pt x="1054" y="358"/>
                              </a:lnTo>
                              <a:lnTo>
                                <a:pt x="1054" y="358"/>
                              </a:lnTo>
                              <a:lnTo>
                                <a:pt x="1054" y="358"/>
                              </a:lnTo>
                              <a:lnTo>
                                <a:pt x="1055" y="357"/>
                              </a:lnTo>
                              <a:lnTo>
                                <a:pt x="1055" y="357"/>
                              </a:lnTo>
                              <a:lnTo>
                                <a:pt x="1055" y="357"/>
                              </a:lnTo>
                              <a:lnTo>
                                <a:pt x="1056" y="357"/>
                              </a:lnTo>
                              <a:lnTo>
                                <a:pt x="1056" y="357"/>
                              </a:lnTo>
                              <a:lnTo>
                                <a:pt x="1056" y="356"/>
                              </a:lnTo>
                              <a:lnTo>
                                <a:pt x="1057" y="356"/>
                              </a:lnTo>
                              <a:lnTo>
                                <a:pt x="1057" y="356"/>
                              </a:lnTo>
                              <a:lnTo>
                                <a:pt x="1057" y="356"/>
                              </a:lnTo>
                              <a:lnTo>
                                <a:pt x="1057" y="355"/>
                              </a:lnTo>
                              <a:lnTo>
                                <a:pt x="1058" y="355"/>
                              </a:lnTo>
                              <a:lnTo>
                                <a:pt x="1058" y="355"/>
                              </a:lnTo>
                              <a:lnTo>
                                <a:pt x="1058" y="355"/>
                              </a:lnTo>
                              <a:lnTo>
                                <a:pt x="1058" y="354"/>
                              </a:lnTo>
                              <a:lnTo>
                                <a:pt x="1058" y="354"/>
                              </a:lnTo>
                              <a:lnTo>
                                <a:pt x="1059" y="354"/>
                              </a:lnTo>
                              <a:lnTo>
                                <a:pt x="1059" y="353"/>
                              </a:lnTo>
                              <a:lnTo>
                                <a:pt x="1059" y="353"/>
                              </a:lnTo>
                              <a:lnTo>
                                <a:pt x="1059" y="353"/>
                              </a:lnTo>
                              <a:lnTo>
                                <a:pt x="1059" y="352"/>
                              </a:lnTo>
                              <a:lnTo>
                                <a:pt x="1060" y="352"/>
                              </a:lnTo>
                              <a:lnTo>
                                <a:pt x="1060" y="352"/>
                              </a:lnTo>
                              <a:lnTo>
                                <a:pt x="1060" y="351"/>
                              </a:lnTo>
                              <a:lnTo>
                                <a:pt x="1060" y="351"/>
                              </a:lnTo>
                              <a:lnTo>
                                <a:pt x="1060" y="350"/>
                              </a:lnTo>
                              <a:lnTo>
                                <a:pt x="1061" y="350"/>
                              </a:lnTo>
                              <a:lnTo>
                                <a:pt x="1061" y="349"/>
                              </a:lnTo>
                              <a:lnTo>
                                <a:pt x="1061" y="348"/>
                              </a:lnTo>
                              <a:lnTo>
                                <a:pt x="1061" y="348"/>
                              </a:lnTo>
                              <a:lnTo>
                                <a:pt x="1061" y="347"/>
                              </a:lnTo>
                              <a:lnTo>
                                <a:pt x="1062" y="346"/>
                              </a:lnTo>
                              <a:lnTo>
                                <a:pt x="1062" y="346"/>
                              </a:lnTo>
                              <a:lnTo>
                                <a:pt x="1062" y="345"/>
                              </a:lnTo>
                              <a:lnTo>
                                <a:pt x="1062" y="344"/>
                              </a:lnTo>
                              <a:lnTo>
                                <a:pt x="1063" y="343"/>
                              </a:lnTo>
                              <a:lnTo>
                                <a:pt x="1063" y="342"/>
                              </a:lnTo>
                              <a:lnTo>
                                <a:pt x="1063" y="342"/>
                              </a:lnTo>
                              <a:lnTo>
                                <a:pt x="1063" y="341"/>
                              </a:lnTo>
                              <a:lnTo>
                                <a:pt x="1063" y="340"/>
                              </a:lnTo>
                              <a:lnTo>
                                <a:pt x="1063" y="339"/>
                              </a:lnTo>
                              <a:lnTo>
                                <a:pt x="1063" y="338"/>
                              </a:lnTo>
                              <a:lnTo>
                                <a:pt x="1064" y="337"/>
                              </a:lnTo>
                              <a:lnTo>
                                <a:pt x="1064" y="337"/>
                              </a:lnTo>
                              <a:lnTo>
                                <a:pt x="1064" y="336"/>
                              </a:lnTo>
                              <a:lnTo>
                                <a:pt x="1064" y="335"/>
                              </a:lnTo>
                              <a:lnTo>
                                <a:pt x="1064" y="334"/>
                              </a:lnTo>
                              <a:lnTo>
                                <a:pt x="1064" y="333"/>
                              </a:lnTo>
                              <a:lnTo>
                                <a:pt x="1065" y="332"/>
                              </a:lnTo>
                              <a:lnTo>
                                <a:pt x="1065" y="330"/>
                              </a:lnTo>
                              <a:lnTo>
                                <a:pt x="1065" y="329"/>
                              </a:lnTo>
                              <a:lnTo>
                                <a:pt x="1065" y="328"/>
                              </a:lnTo>
                              <a:lnTo>
                                <a:pt x="1065" y="327"/>
                              </a:lnTo>
                              <a:lnTo>
                                <a:pt x="1066" y="326"/>
                              </a:lnTo>
                              <a:lnTo>
                                <a:pt x="1066" y="324"/>
                              </a:lnTo>
                              <a:lnTo>
                                <a:pt x="1066" y="323"/>
                              </a:lnTo>
                              <a:lnTo>
                                <a:pt x="1066" y="322"/>
                              </a:lnTo>
                              <a:lnTo>
                                <a:pt x="1066" y="320"/>
                              </a:lnTo>
                              <a:lnTo>
                                <a:pt x="1066" y="319"/>
                              </a:lnTo>
                              <a:lnTo>
                                <a:pt x="1067" y="317"/>
                              </a:lnTo>
                              <a:lnTo>
                                <a:pt x="1067" y="316"/>
                              </a:lnTo>
                              <a:lnTo>
                                <a:pt x="1067" y="314"/>
                              </a:lnTo>
                              <a:lnTo>
                                <a:pt x="1067" y="312"/>
                              </a:lnTo>
                              <a:lnTo>
                                <a:pt x="1067" y="310"/>
                              </a:lnTo>
                              <a:lnTo>
                                <a:pt x="1068" y="308"/>
                              </a:lnTo>
                              <a:lnTo>
                                <a:pt x="1068" y="306"/>
                              </a:lnTo>
                              <a:lnTo>
                                <a:pt x="1068" y="303"/>
                              </a:lnTo>
                              <a:lnTo>
                                <a:pt x="1068" y="301"/>
                              </a:lnTo>
                              <a:lnTo>
                                <a:pt x="1068" y="299"/>
                              </a:lnTo>
                              <a:lnTo>
                                <a:pt x="1068" y="298"/>
                              </a:lnTo>
                              <a:lnTo>
                                <a:pt x="1069" y="297"/>
                              </a:lnTo>
                              <a:lnTo>
                                <a:pt x="1069" y="296"/>
                              </a:lnTo>
                              <a:lnTo>
                                <a:pt x="1069" y="295"/>
                              </a:lnTo>
                              <a:lnTo>
                                <a:pt x="1069" y="294"/>
                              </a:lnTo>
                              <a:lnTo>
                                <a:pt x="1069" y="293"/>
                              </a:lnTo>
                              <a:lnTo>
                                <a:pt x="1069" y="292"/>
                              </a:lnTo>
                              <a:lnTo>
                                <a:pt x="1069" y="291"/>
                              </a:lnTo>
                              <a:lnTo>
                                <a:pt x="1069" y="290"/>
                              </a:lnTo>
                              <a:lnTo>
                                <a:pt x="1069" y="289"/>
                              </a:lnTo>
                              <a:lnTo>
                                <a:pt x="1069" y="288"/>
                              </a:lnTo>
                              <a:lnTo>
                                <a:pt x="1069" y="287"/>
                              </a:lnTo>
                              <a:lnTo>
                                <a:pt x="1069" y="286"/>
                              </a:lnTo>
                              <a:lnTo>
                                <a:pt x="1070" y="285"/>
                              </a:lnTo>
                              <a:lnTo>
                                <a:pt x="1070" y="284"/>
                              </a:lnTo>
                              <a:lnTo>
                                <a:pt x="1070" y="283"/>
                              </a:lnTo>
                              <a:lnTo>
                                <a:pt x="1070" y="282"/>
                              </a:lnTo>
                              <a:lnTo>
                                <a:pt x="1070" y="281"/>
                              </a:lnTo>
                              <a:lnTo>
                                <a:pt x="1070" y="280"/>
                              </a:lnTo>
                              <a:lnTo>
                                <a:pt x="1070" y="279"/>
                              </a:lnTo>
                              <a:lnTo>
                                <a:pt x="1070" y="278"/>
                              </a:lnTo>
                              <a:lnTo>
                                <a:pt x="1070" y="276"/>
                              </a:lnTo>
                              <a:lnTo>
                                <a:pt x="1070" y="273"/>
                              </a:lnTo>
                              <a:lnTo>
                                <a:pt x="1071" y="270"/>
                              </a:lnTo>
                              <a:lnTo>
                                <a:pt x="1071" y="266"/>
                              </a:lnTo>
                              <a:lnTo>
                                <a:pt x="1071" y="263"/>
                              </a:lnTo>
                              <a:lnTo>
                                <a:pt x="1071" y="260"/>
                              </a:lnTo>
                              <a:lnTo>
                                <a:pt x="1072" y="257"/>
                              </a:lnTo>
                              <a:lnTo>
                                <a:pt x="1072" y="253"/>
                              </a:lnTo>
                              <a:lnTo>
                                <a:pt x="1072" y="250"/>
                              </a:lnTo>
                              <a:lnTo>
                                <a:pt x="1072" y="246"/>
                              </a:lnTo>
                              <a:lnTo>
                                <a:pt x="1072" y="242"/>
                              </a:lnTo>
                              <a:lnTo>
                                <a:pt x="1073" y="237"/>
                              </a:lnTo>
                              <a:lnTo>
                                <a:pt x="1073" y="231"/>
                              </a:lnTo>
                              <a:lnTo>
                                <a:pt x="1073" y="225"/>
                              </a:lnTo>
                              <a:lnTo>
                                <a:pt x="1074" y="219"/>
                              </a:lnTo>
                              <a:lnTo>
                                <a:pt x="1074" y="212"/>
                              </a:lnTo>
                              <a:lnTo>
                                <a:pt x="1075" y="204"/>
                              </a:lnTo>
                              <a:lnTo>
                                <a:pt x="1075" y="197"/>
                              </a:lnTo>
                              <a:lnTo>
                                <a:pt x="1075" y="189"/>
                              </a:lnTo>
                              <a:lnTo>
                                <a:pt x="1076" y="180"/>
                              </a:lnTo>
                              <a:lnTo>
                                <a:pt x="1076" y="170"/>
                              </a:lnTo>
                              <a:lnTo>
                                <a:pt x="1077" y="159"/>
                              </a:lnTo>
                              <a:lnTo>
                                <a:pt x="1078" y="143"/>
                              </a:lnTo>
                              <a:lnTo>
                                <a:pt x="1078" y="127"/>
                              </a:lnTo>
                              <a:lnTo>
                                <a:pt x="1079" y="115"/>
                              </a:lnTo>
                              <a:lnTo>
                                <a:pt x="1079" y="105"/>
                              </a:lnTo>
                              <a:lnTo>
                                <a:pt x="1080" y="95"/>
                              </a:lnTo>
                              <a:lnTo>
                                <a:pt x="1080" y="87"/>
                              </a:lnTo>
                              <a:lnTo>
                                <a:pt x="1081" y="79"/>
                              </a:lnTo>
                              <a:lnTo>
                                <a:pt x="1081" y="70"/>
                              </a:lnTo>
                              <a:lnTo>
                                <a:pt x="1082" y="61"/>
                              </a:lnTo>
                              <a:lnTo>
                                <a:pt x="1082" y="54"/>
                              </a:lnTo>
                              <a:lnTo>
                                <a:pt x="1083" y="47"/>
                              </a:lnTo>
                              <a:lnTo>
                                <a:pt x="1083" y="41"/>
                              </a:lnTo>
                              <a:lnTo>
                                <a:pt x="1083" y="35"/>
                              </a:lnTo>
                              <a:lnTo>
                                <a:pt x="1084" y="30"/>
                              </a:lnTo>
                              <a:lnTo>
                                <a:pt x="1084" y="25"/>
                              </a:lnTo>
                              <a:lnTo>
                                <a:pt x="1084" y="20"/>
                              </a:lnTo>
                              <a:lnTo>
                                <a:pt x="1085" y="16"/>
                              </a:lnTo>
                              <a:lnTo>
                                <a:pt x="1085" y="12"/>
                              </a:lnTo>
                              <a:lnTo>
                                <a:pt x="1085" y="9"/>
                              </a:lnTo>
                              <a:lnTo>
                                <a:pt x="1086" y="6"/>
                              </a:lnTo>
                              <a:lnTo>
                                <a:pt x="1086" y="3"/>
                              </a:lnTo>
                              <a:lnTo>
                                <a:pt x="1086" y="0"/>
                              </a:lnTo>
                            </a:path>
                          </a:pathLst>
                        </a:cu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74" name="Freeform 162"/>
                        <a:cNvSpPr>
                          <a:spLocks/>
                        </a:cNvSpPr>
                      </a:nvSpPr>
                      <a:spPr bwMode="auto">
                        <a:xfrm>
                          <a:off x="4025090" y="10849474"/>
                          <a:ext cx="600611" cy="550340"/>
                        </a:xfrm>
                        <a:custGeom>
                          <a:avLst/>
                          <a:gdLst/>
                          <a:ahLst/>
                          <a:cxnLst>
                            <a:cxn ang="0">
                              <a:pos x="3" y="0"/>
                            </a:cxn>
                            <a:cxn ang="0">
                              <a:pos x="6" y="9"/>
                            </a:cxn>
                            <a:cxn ang="0">
                              <a:pos x="9" y="44"/>
                            </a:cxn>
                            <a:cxn ang="0">
                              <a:pos x="16" y="131"/>
                            </a:cxn>
                            <a:cxn ang="0">
                              <a:pos x="21" y="192"/>
                            </a:cxn>
                            <a:cxn ang="0">
                              <a:pos x="26" y="236"/>
                            </a:cxn>
                            <a:cxn ang="0">
                              <a:pos x="28" y="254"/>
                            </a:cxn>
                            <a:cxn ang="0">
                              <a:pos x="28" y="260"/>
                            </a:cxn>
                            <a:cxn ang="0">
                              <a:pos x="30" y="272"/>
                            </a:cxn>
                            <a:cxn ang="0">
                              <a:pos x="34" y="292"/>
                            </a:cxn>
                            <a:cxn ang="0">
                              <a:pos x="38" y="309"/>
                            </a:cxn>
                            <a:cxn ang="0">
                              <a:pos x="42" y="324"/>
                            </a:cxn>
                            <a:cxn ang="0">
                              <a:pos x="46" y="334"/>
                            </a:cxn>
                            <a:cxn ang="0">
                              <a:pos x="51" y="343"/>
                            </a:cxn>
                            <a:cxn ang="0">
                              <a:pos x="56" y="351"/>
                            </a:cxn>
                            <a:cxn ang="0">
                              <a:pos x="63" y="359"/>
                            </a:cxn>
                            <a:cxn ang="0">
                              <a:pos x="69" y="364"/>
                            </a:cxn>
                            <a:cxn ang="0">
                              <a:pos x="75" y="367"/>
                            </a:cxn>
                            <a:cxn ang="0">
                              <a:pos x="82" y="371"/>
                            </a:cxn>
                            <a:cxn ang="0">
                              <a:pos x="97" y="378"/>
                            </a:cxn>
                            <a:cxn ang="0">
                              <a:pos x="108" y="382"/>
                            </a:cxn>
                            <a:cxn ang="0">
                              <a:pos x="119" y="385"/>
                            </a:cxn>
                            <a:cxn ang="0">
                              <a:pos x="129" y="386"/>
                            </a:cxn>
                            <a:cxn ang="0">
                              <a:pos x="141" y="387"/>
                            </a:cxn>
                            <a:cxn ang="0">
                              <a:pos x="154" y="388"/>
                            </a:cxn>
                            <a:cxn ang="0">
                              <a:pos x="161" y="388"/>
                            </a:cxn>
                            <a:cxn ang="0">
                              <a:pos x="166" y="387"/>
                            </a:cxn>
                            <a:cxn ang="0">
                              <a:pos x="173" y="385"/>
                            </a:cxn>
                            <a:cxn ang="0">
                              <a:pos x="181" y="382"/>
                            </a:cxn>
                            <a:cxn ang="0">
                              <a:pos x="187" y="381"/>
                            </a:cxn>
                            <a:cxn ang="0">
                              <a:pos x="192" y="382"/>
                            </a:cxn>
                            <a:cxn ang="0">
                              <a:pos x="202" y="384"/>
                            </a:cxn>
                            <a:cxn ang="0">
                              <a:pos x="207" y="385"/>
                            </a:cxn>
                            <a:cxn ang="0">
                              <a:pos x="221" y="386"/>
                            </a:cxn>
                            <a:cxn ang="0">
                              <a:pos x="237" y="388"/>
                            </a:cxn>
                            <a:cxn ang="0">
                              <a:pos x="264" y="388"/>
                            </a:cxn>
                            <a:cxn ang="0">
                              <a:pos x="292" y="388"/>
                            </a:cxn>
                            <a:cxn ang="0">
                              <a:pos x="311" y="387"/>
                            </a:cxn>
                            <a:cxn ang="0">
                              <a:pos x="334" y="385"/>
                            </a:cxn>
                            <a:cxn ang="0">
                              <a:pos x="341" y="385"/>
                            </a:cxn>
                            <a:cxn ang="0">
                              <a:pos x="359" y="383"/>
                            </a:cxn>
                            <a:cxn ang="0">
                              <a:pos x="371" y="380"/>
                            </a:cxn>
                            <a:cxn ang="0">
                              <a:pos x="376" y="379"/>
                            </a:cxn>
                            <a:cxn ang="0">
                              <a:pos x="378" y="379"/>
                            </a:cxn>
                            <a:cxn ang="0">
                              <a:pos x="379" y="378"/>
                            </a:cxn>
                            <a:cxn ang="0">
                              <a:pos x="383" y="376"/>
                            </a:cxn>
                            <a:cxn ang="0">
                              <a:pos x="385" y="374"/>
                            </a:cxn>
                            <a:cxn ang="0">
                              <a:pos x="387" y="370"/>
                            </a:cxn>
                            <a:cxn ang="0">
                              <a:pos x="389" y="367"/>
                            </a:cxn>
                            <a:cxn ang="0">
                              <a:pos x="391" y="362"/>
                            </a:cxn>
                            <a:cxn ang="0">
                              <a:pos x="394" y="354"/>
                            </a:cxn>
                            <a:cxn ang="0">
                              <a:pos x="397" y="342"/>
                            </a:cxn>
                            <a:cxn ang="0">
                              <a:pos x="400" y="326"/>
                            </a:cxn>
                            <a:cxn ang="0">
                              <a:pos x="406" y="291"/>
                            </a:cxn>
                            <a:cxn ang="0">
                              <a:pos x="409" y="272"/>
                            </a:cxn>
                            <a:cxn ang="0">
                              <a:pos x="413" y="262"/>
                            </a:cxn>
                            <a:cxn ang="0">
                              <a:pos x="416" y="257"/>
                            </a:cxn>
                            <a:cxn ang="0">
                              <a:pos x="419" y="257"/>
                            </a:cxn>
                            <a:cxn ang="0">
                              <a:pos x="421" y="259"/>
                            </a:cxn>
                            <a:cxn ang="0">
                              <a:pos x="423" y="263"/>
                            </a:cxn>
                            <a:cxn ang="0">
                              <a:pos x="429" y="279"/>
                            </a:cxn>
                            <a:cxn ang="0">
                              <a:pos x="440" y="313"/>
                            </a:cxn>
                            <a:cxn ang="0">
                              <a:pos x="446" y="329"/>
                            </a:cxn>
                          </a:cxnLst>
                          <a:rect l="0" t="0" r="r" b="b"/>
                          <a:pathLst>
                            <a:path w="450" h="388">
                              <a:moveTo>
                                <a:pt x="0" y="8"/>
                              </a:moveTo>
                              <a:lnTo>
                                <a:pt x="1" y="6"/>
                              </a:lnTo>
                              <a:lnTo>
                                <a:pt x="1" y="4"/>
                              </a:lnTo>
                              <a:lnTo>
                                <a:pt x="1" y="3"/>
                              </a:lnTo>
                              <a:lnTo>
                                <a:pt x="2" y="2"/>
                              </a:lnTo>
                              <a:lnTo>
                                <a:pt x="2" y="1"/>
                              </a:lnTo>
                              <a:lnTo>
                                <a:pt x="2" y="0"/>
                              </a:lnTo>
                              <a:lnTo>
                                <a:pt x="3" y="0"/>
                              </a:lnTo>
                              <a:lnTo>
                                <a:pt x="3" y="0"/>
                              </a:lnTo>
                              <a:lnTo>
                                <a:pt x="3" y="0"/>
                              </a:lnTo>
                              <a:lnTo>
                                <a:pt x="4" y="1"/>
                              </a:lnTo>
                              <a:lnTo>
                                <a:pt x="4" y="2"/>
                              </a:lnTo>
                              <a:lnTo>
                                <a:pt x="4" y="3"/>
                              </a:lnTo>
                              <a:lnTo>
                                <a:pt x="5" y="5"/>
                              </a:lnTo>
                              <a:lnTo>
                                <a:pt x="5" y="7"/>
                              </a:lnTo>
                              <a:lnTo>
                                <a:pt x="6" y="9"/>
                              </a:lnTo>
                              <a:lnTo>
                                <a:pt x="6" y="12"/>
                              </a:lnTo>
                              <a:lnTo>
                                <a:pt x="6" y="15"/>
                              </a:lnTo>
                              <a:lnTo>
                                <a:pt x="7" y="19"/>
                              </a:lnTo>
                              <a:lnTo>
                                <a:pt x="7" y="23"/>
                              </a:lnTo>
                              <a:lnTo>
                                <a:pt x="8" y="27"/>
                              </a:lnTo>
                              <a:lnTo>
                                <a:pt x="8" y="32"/>
                              </a:lnTo>
                              <a:lnTo>
                                <a:pt x="9" y="38"/>
                              </a:lnTo>
                              <a:lnTo>
                                <a:pt x="9" y="44"/>
                              </a:lnTo>
                              <a:lnTo>
                                <a:pt x="10" y="51"/>
                              </a:lnTo>
                              <a:lnTo>
                                <a:pt x="10" y="58"/>
                              </a:lnTo>
                              <a:lnTo>
                                <a:pt x="11" y="67"/>
                              </a:lnTo>
                              <a:lnTo>
                                <a:pt x="12" y="77"/>
                              </a:lnTo>
                              <a:lnTo>
                                <a:pt x="13" y="90"/>
                              </a:lnTo>
                              <a:lnTo>
                                <a:pt x="14" y="105"/>
                              </a:lnTo>
                              <a:lnTo>
                                <a:pt x="15" y="119"/>
                              </a:lnTo>
                              <a:lnTo>
                                <a:pt x="16" y="131"/>
                              </a:lnTo>
                              <a:lnTo>
                                <a:pt x="17" y="141"/>
                              </a:lnTo>
                              <a:lnTo>
                                <a:pt x="17" y="150"/>
                              </a:lnTo>
                              <a:lnTo>
                                <a:pt x="18" y="158"/>
                              </a:lnTo>
                              <a:lnTo>
                                <a:pt x="19" y="166"/>
                              </a:lnTo>
                              <a:lnTo>
                                <a:pt x="19" y="173"/>
                              </a:lnTo>
                              <a:lnTo>
                                <a:pt x="20" y="180"/>
                              </a:lnTo>
                              <a:lnTo>
                                <a:pt x="21" y="186"/>
                              </a:lnTo>
                              <a:lnTo>
                                <a:pt x="21" y="192"/>
                              </a:lnTo>
                              <a:lnTo>
                                <a:pt x="22" y="198"/>
                              </a:lnTo>
                              <a:lnTo>
                                <a:pt x="22" y="204"/>
                              </a:lnTo>
                              <a:lnTo>
                                <a:pt x="23" y="210"/>
                              </a:lnTo>
                              <a:lnTo>
                                <a:pt x="23" y="215"/>
                              </a:lnTo>
                              <a:lnTo>
                                <a:pt x="24" y="221"/>
                              </a:lnTo>
                              <a:lnTo>
                                <a:pt x="24" y="226"/>
                              </a:lnTo>
                              <a:lnTo>
                                <a:pt x="25" y="231"/>
                              </a:lnTo>
                              <a:lnTo>
                                <a:pt x="26" y="236"/>
                              </a:lnTo>
                              <a:lnTo>
                                <a:pt x="26" y="240"/>
                              </a:lnTo>
                              <a:lnTo>
                                <a:pt x="26" y="244"/>
                              </a:lnTo>
                              <a:lnTo>
                                <a:pt x="27" y="246"/>
                              </a:lnTo>
                              <a:lnTo>
                                <a:pt x="27" y="248"/>
                              </a:lnTo>
                              <a:lnTo>
                                <a:pt x="27" y="249"/>
                              </a:lnTo>
                              <a:lnTo>
                                <a:pt x="27" y="251"/>
                              </a:lnTo>
                              <a:lnTo>
                                <a:pt x="27" y="252"/>
                              </a:lnTo>
                              <a:lnTo>
                                <a:pt x="28" y="254"/>
                              </a:lnTo>
                              <a:lnTo>
                                <a:pt x="28" y="255"/>
                              </a:lnTo>
                              <a:lnTo>
                                <a:pt x="28" y="256"/>
                              </a:lnTo>
                              <a:lnTo>
                                <a:pt x="28" y="257"/>
                              </a:lnTo>
                              <a:lnTo>
                                <a:pt x="28" y="258"/>
                              </a:lnTo>
                              <a:lnTo>
                                <a:pt x="28" y="259"/>
                              </a:lnTo>
                              <a:lnTo>
                                <a:pt x="28" y="259"/>
                              </a:lnTo>
                              <a:lnTo>
                                <a:pt x="28" y="260"/>
                              </a:lnTo>
                              <a:lnTo>
                                <a:pt x="28" y="260"/>
                              </a:lnTo>
                              <a:lnTo>
                                <a:pt x="29" y="261"/>
                              </a:lnTo>
                              <a:lnTo>
                                <a:pt x="29" y="261"/>
                              </a:lnTo>
                              <a:lnTo>
                                <a:pt x="29" y="262"/>
                              </a:lnTo>
                              <a:lnTo>
                                <a:pt x="29" y="263"/>
                              </a:lnTo>
                              <a:lnTo>
                                <a:pt x="29" y="264"/>
                              </a:lnTo>
                              <a:lnTo>
                                <a:pt x="29" y="267"/>
                              </a:lnTo>
                              <a:lnTo>
                                <a:pt x="30" y="270"/>
                              </a:lnTo>
                              <a:lnTo>
                                <a:pt x="30" y="272"/>
                              </a:lnTo>
                              <a:lnTo>
                                <a:pt x="31" y="275"/>
                              </a:lnTo>
                              <a:lnTo>
                                <a:pt x="31" y="278"/>
                              </a:lnTo>
                              <a:lnTo>
                                <a:pt x="32" y="280"/>
                              </a:lnTo>
                              <a:lnTo>
                                <a:pt x="32" y="283"/>
                              </a:lnTo>
                              <a:lnTo>
                                <a:pt x="32" y="285"/>
                              </a:lnTo>
                              <a:lnTo>
                                <a:pt x="33" y="287"/>
                              </a:lnTo>
                              <a:lnTo>
                                <a:pt x="33" y="290"/>
                              </a:lnTo>
                              <a:lnTo>
                                <a:pt x="34" y="292"/>
                              </a:lnTo>
                              <a:lnTo>
                                <a:pt x="34" y="294"/>
                              </a:lnTo>
                              <a:lnTo>
                                <a:pt x="35" y="297"/>
                              </a:lnTo>
                              <a:lnTo>
                                <a:pt x="35" y="299"/>
                              </a:lnTo>
                              <a:lnTo>
                                <a:pt x="36" y="301"/>
                              </a:lnTo>
                              <a:lnTo>
                                <a:pt x="36" y="303"/>
                              </a:lnTo>
                              <a:lnTo>
                                <a:pt x="37" y="305"/>
                              </a:lnTo>
                              <a:lnTo>
                                <a:pt x="37" y="307"/>
                              </a:lnTo>
                              <a:lnTo>
                                <a:pt x="38" y="309"/>
                              </a:lnTo>
                              <a:lnTo>
                                <a:pt x="38" y="312"/>
                              </a:lnTo>
                              <a:lnTo>
                                <a:pt x="39" y="313"/>
                              </a:lnTo>
                              <a:lnTo>
                                <a:pt x="39" y="315"/>
                              </a:lnTo>
                              <a:lnTo>
                                <a:pt x="40" y="317"/>
                              </a:lnTo>
                              <a:lnTo>
                                <a:pt x="41" y="319"/>
                              </a:lnTo>
                              <a:lnTo>
                                <a:pt x="41" y="321"/>
                              </a:lnTo>
                              <a:lnTo>
                                <a:pt x="42" y="323"/>
                              </a:lnTo>
                              <a:lnTo>
                                <a:pt x="42" y="324"/>
                              </a:lnTo>
                              <a:lnTo>
                                <a:pt x="43" y="325"/>
                              </a:lnTo>
                              <a:lnTo>
                                <a:pt x="43" y="327"/>
                              </a:lnTo>
                              <a:lnTo>
                                <a:pt x="44" y="328"/>
                              </a:lnTo>
                              <a:lnTo>
                                <a:pt x="44" y="329"/>
                              </a:lnTo>
                              <a:lnTo>
                                <a:pt x="45" y="330"/>
                              </a:lnTo>
                              <a:lnTo>
                                <a:pt x="45" y="332"/>
                              </a:lnTo>
                              <a:lnTo>
                                <a:pt x="46" y="333"/>
                              </a:lnTo>
                              <a:lnTo>
                                <a:pt x="46" y="334"/>
                              </a:lnTo>
                              <a:lnTo>
                                <a:pt x="47" y="335"/>
                              </a:lnTo>
                              <a:lnTo>
                                <a:pt x="47" y="336"/>
                              </a:lnTo>
                              <a:lnTo>
                                <a:pt x="48" y="337"/>
                              </a:lnTo>
                              <a:lnTo>
                                <a:pt x="49" y="339"/>
                              </a:lnTo>
                              <a:lnTo>
                                <a:pt x="49" y="340"/>
                              </a:lnTo>
                              <a:lnTo>
                                <a:pt x="50" y="341"/>
                              </a:lnTo>
                              <a:lnTo>
                                <a:pt x="50" y="342"/>
                              </a:lnTo>
                              <a:lnTo>
                                <a:pt x="51" y="343"/>
                              </a:lnTo>
                              <a:lnTo>
                                <a:pt x="52" y="344"/>
                              </a:lnTo>
                              <a:lnTo>
                                <a:pt x="52" y="345"/>
                              </a:lnTo>
                              <a:lnTo>
                                <a:pt x="53" y="346"/>
                              </a:lnTo>
                              <a:lnTo>
                                <a:pt x="54" y="347"/>
                              </a:lnTo>
                              <a:lnTo>
                                <a:pt x="54" y="348"/>
                              </a:lnTo>
                              <a:lnTo>
                                <a:pt x="55" y="349"/>
                              </a:lnTo>
                              <a:lnTo>
                                <a:pt x="56" y="350"/>
                              </a:lnTo>
                              <a:lnTo>
                                <a:pt x="56" y="351"/>
                              </a:lnTo>
                              <a:lnTo>
                                <a:pt x="57" y="352"/>
                              </a:lnTo>
                              <a:lnTo>
                                <a:pt x="58" y="353"/>
                              </a:lnTo>
                              <a:lnTo>
                                <a:pt x="59" y="354"/>
                              </a:lnTo>
                              <a:lnTo>
                                <a:pt x="60" y="355"/>
                              </a:lnTo>
                              <a:lnTo>
                                <a:pt x="61" y="356"/>
                              </a:lnTo>
                              <a:lnTo>
                                <a:pt x="61" y="357"/>
                              </a:lnTo>
                              <a:lnTo>
                                <a:pt x="62" y="358"/>
                              </a:lnTo>
                              <a:lnTo>
                                <a:pt x="63" y="359"/>
                              </a:lnTo>
                              <a:lnTo>
                                <a:pt x="64" y="360"/>
                              </a:lnTo>
                              <a:lnTo>
                                <a:pt x="65" y="361"/>
                              </a:lnTo>
                              <a:lnTo>
                                <a:pt x="66" y="361"/>
                              </a:lnTo>
                              <a:lnTo>
                                <a:pt x="66" y="362"/>
                              </a:lnTo>
                              <a:lnTo>
                                <a:pt x="67" y="362"/>
                              </a:lnTo>
                              <a:lnTo>
                                <a:pt x="68" y="363"/>
                              </a:lnTo>
                              <a:lnTo>
                                <a:pt x="69" y="363"/>
                              </a:lnTo>
                              <a:lnTo>
                                <a:pt x="69" y="364"/>
                              </a:lnTo>
                              <a:lnTo>
                                <a:pt x="70" y="365"/>
                              </a:lnTo>
                              <a:lnTo>
                                <a:pt x="71" y="365"/>
                              </a:lnTo>
                              <a:lnTo>
                                <a:pt x="72" y="366"/>
                              </a:lnTo>
                              <a:lnTo>
                                <a:pt x="73" y="366"/>
                              </a:lnTo>
                              <a:lnTo>
                                <a:pt x="73" y="367"/>
                              </a:lnTo>
                              <a:lnTo>
                                <a:pt x="74" y="367"/>
                              </a:lnTo>
                              <a:lnTo>
                                <a:pt x="74" y="367"/>
                              </a:lnTo>
                              <a:lnTo>
                                <a:pt x="75" y="367"/>
                              </a:lnTo>
                              <a:lnTo>
                                <a:pt x="75" y="368"/>
                              </a:lnTo>
                              <a:lnTo>
                                <a:pt x="75" y="368"/>
                              </a:lnTo>
                              <a:lnTo>
                                <a:pt x="76" y="368"/>
                              </a:lnTo>
                              <a:lnTo>
                                <a:pt x="77" y="369"/>
                              </a:lnTo>
                              <a:lnTo>
                                <a:pt x="78" y="369"/>
                              </a:lnTo>
                              <a:lnTo>
                                <a:pt x="79" y="370"/>
                              </a:lnTo>
                              <a:lnTo>
                                <a:pt x="80" y="370"/>
                              </a:lnTo>
                              <a:lnTo>
                                <a:pt x="82" y="371"/>
                              </a:lnTo>
                              <a:lnTo>
                                <a:pt x="83" y="372"/>
                              </a:lnTo>
                              <a:lnTo>
                                <a:pt x="85" y="372"/>
                              </a:lnTo>
                              <a:lnTo>
                                <a:pt x="87" y="373"/>
                              </a:lnTo>
                              <a:lnTo>
                                <a:pt x="89" y="374"/>
                              </a:lnTo>
                              <a:lnTo>
                                <a:pt x="91" y="375"/>
                              </a:lnTo>
                              <a:lnTo>
                                <a:pt x="93" y="376"/>
                              </a:lnTo>
                              <a:lnTo>
                                <a:pt x="95" y="377"/>
                              </a:lnTo>
                              <a:lnTo>
                                <a:pt x="97" y="378"/>
                              </a:lnTo>
                              <a:lnTo>
                                <a:pt x="99" y="379"/>
                              </a:lnTo>
                              <a:lnTo>
                                <a:pt x="100" y="379"/>
                              </a:lnTo>
                              <a:lnTo>
                                <a:pt x="102" y="380"/>
                              </a:lnTo>
                              <a:lnTo>
                                <a:pt x="103" y="380"/>
                              </a:lnTo>
                              <a:lnTo>
                                <a:pt x="104" y="381"/>
                              </a:lnTo>
                              <a:lnTo>
                                <a:pt x="106" y="381"/>
                              </a:lnTo>
                              <a:lnTo>
                                <a:pt x="107" y="382"/>
                              </a:lnTo>
                              <a:lnTo>
                                <a:pt x="108" y="382"/>
                              </a:lnTo>
                              <a:lnTo>
                                <a:pt x="109" y="382"/>
                              </a:lnTo>
                              <a:lnTo>
                                <a:pt x="111" y="383"/>
                              </a:lnTo>
                              <a:lnTo>
                                <a:pt x="112" y="383"/>
                              </a:lnTo>
                              <a:lnTo>
                                <a:pt x="113" y="383"/>
                              </a:lnTo>
                              <a:lnTo>
                                <a:pt x="115" y="384"/>
                              </a:lnTo>
                              <a:lnTo>
                                <a:pt x="116" y="384"/>
                              </a:lnTo>
                              <a:lnTo>
                                <a:pt x="118" y="385"/>
                              </a:lnTo>
                              <a:lnTo>
                                <a:pt x="119" y="385"/>
                              </a:lnTo>
                              <a:lnTo>
                                <a:pt x="119" y="385"/>
                              </a:lnTo>
                              <a:lnTo>
                                <a:pt x="120" y="385"/>
                              </a:lnTo>
                              <a:lnTo>
                                <a:pt x="122" y="385"/>
                              </a:lnTo>
                              <a:lnTo>
                                <a:pt x="123" y="386"/>
                              </a:lnTo>
                              <a:lnTo>
                                <a:pt x="124" y="386"/>
                              </a:lnTo>
                              <a:lnTo>
                                <a:pt x="126" y="386"/>
                              </a:lnTo>
                              <a:lnTo>
                                <a:pt x="127" y="386"/>
                              </a:lnTo>
                              <a:lnTo>
                                <a:pt x="129" y="386"/>
                              </a:lnTo>
                              <a:lnTo>
                                <a:pt x="130" y="387"/>
                              </a:lnTo>
                              <a:lnTo>
                                <a:pt x="132" y="387"/>
                              </a:lnTo>
                              <a:lnTo>
                                <a:pt x="133" y="387"/>
                              </a:lnTo>
                              <a:lnTo>
                                <a:pt x="135" y="387"/>
                              </a:lnTo>
                              <a:lnTo>
                                <a:pt x="136" y="387"/>
                              </a:lnTo>
                              <a:lnTo>
                                <a:pt x="138" y="387"/>
                              </a:lnTo>
                              <a:lnTo>
                                <a:pt x="140" y="387"/>
                              </a:lnTo>
                              <a:lnTo>
                                <a:pt x="141" y="387"/>
                              </a:lnTo>
                              <a:lnTo>
                                <a:pt x="143" y="388"/>
                              </a:lnTo>
                              <a:lnTo>
                                <a:pt x="145" y="388"/>
                              </a:lnTo>
                              <a:lnTo>
                                <a:pt x="147" y="388"/>
                              </a:lnTo>
                              <a:lnTo>
                                <a:pt x="149" y="388"/>
                              </a:lnTo>
                              <a:lnTo>
                                <a:pt x="150" y="388"/>
                              </a:lnTo>
                              <a:lnTo>
                                <a:pt x="152" y="388"/>
                              </a:lnTo>
                              <a:lnTo>
                                <a:pt x="153" y="388"/>
                              </a:lnTo>
                              <a:lnTo>
                                <a:pt x="154" y="388"/>
                              </a:lnTo>
                              <a:lnTo>
                                <a:pt x="156" y="388"/>
                              </a:lnTo>
                              <a:lnTo>
                                <a:pt x="157" y="388"/>
                              </a:lnTo>
                              <a:lnTo>
                                <a:pt x="158" y="388"/>
                              </a:lnTo>
                              <a:lnTo>
                                <a:pt x="158" y="388"/>
                              </a:lnTo>
                              <a:lnTo>
                                <a:pt x="159" y="388"/>
                              </a:lnTo>
                              <a:lnTo>
                                <a:pt x="160" y="388"/>
                              </a:lnTo>
                              <a:lnTo>
                                <a:pt x="160" y="388"/>
                              </a:lnTo>
                              <a:lnTo>
                                <a:pt x="161" y="388"/>
                              </a:lnTo>
                              <a:lnTo>
                                <a:pt x="161" y="388"/>
                              </a:lnTo>
                              <a:lnTo>
                                <a:pt x="162" y="388"/>
                              </a:lnTo>
                              <a:lnTo>
                                <a:pt x="162" y="387"/>
                              </a:lnTo>
                              <a:lnTo>
                                <a:pt x="163" y="387"/>
                              </a:lnTo>
                              <a:lnTo>
                                <a:pt x="163" y="387"/>
                              </a:lnTo>
                              <a:lnTo>
                                <a:pt x="164" y="387"/>
                              </a:lnTo>
                              <a:lnTo>
                                <a:pt x="165" y="387"/>
                              </a:lnTo>
                              <a:lnTo>
                                <a:pt x="166" y="387"/>
                              </a:lnTo>
                              <a:lnTo>
                                <a:pt x="166" y="387"/>
                              </a:lnTo>
                              <a:lnTo>
                                <a:pt x="167" y="387"/>
                              </a:lnTo>
                              <a:lnTo>
                                <a:pt x="168" y="387"/>
                              </a:lnTo>
                              <a:lnTo>
                                <a:pt x="169" y="386"/>
                              </a:lnTo>
                              <a:lnTo>
                                <a:pt x="170" y="386"/>
                              </a:lnTo>
                              <a:lnTo>
                                <a:pt x="171" y="386"/>
                              </a:lnTo>
                              <a:lnTo>
                                <a:pt x="172" y="386"/>
                              </a:lnTo>
                              <a:lnTo>
                                <a:pt x="173" y="385"/>
                              </a:lnTo>
                              <a:lnTo>
                                <a:pt x="174" y="385"/>
                              </a:lnTo>
                              <a:lnTo>
                                <a:pt x="175" y="384"/>
                              </a:lnTo>
                              <a:lnTo>
                                <a:pt x="177" y="384"/>
                              </a:lnTo>
                              <a:lnTo>
                                <a:pt x="178" y="383"/>
                              </a:lnTo>
                              <a:lnTo>
                                <a:pt x="179" y="383"/>
                              </a:lnTo>
                              <a:lnTo>
                                <a:pt x="180" y="383"/>
                              </a:lnTo>
                              <a:lnTo>
                                <a:pt x="181" y="382"/>
                              </a:lnTo>
                              <a:lnTo>
                                <a:pt x="181" y="382"/>
                              </a:lnTo>
                              <a:lnTo>
                                <a:pt x="182" y="382"/>
                              </a:lnTo>
                              <a:lnTo>
                                <a:pt x="183" y="382"/>
                              </a:lnTo>
                              <a:lnTo>
                                <a:pt x="184" y="382"/>
                              </a:lnTo>
                              <a:lnTo>
                                <a:pt x="184" y="382"/>
                              </a:lnTo>
                              <a:lnTo>
                                <a:pt x="185" y="381"/>
                              </a:lnTo>
                              <a:lnTo>
                                <a:pt x="186" y="381"/>
                              </a:lnTo>
                              <a:lnTo>
                                <a:pt x="186" y="381"/>
                              </a:lnTo>
                              <a:lnTo>
                                <a:pt x="187" y="381"/>
                              </a:lnTo>
                              <a:lnTo>
                                <a:pt x="188" y="381"/>
                              </a:lnTo>
                              <a:lnTo>
                                <a:pt x="188" y="381"/>
                              </a:lnTo>
                              <a:lnTo>
                                <a:pt x="189" y="381"/>
                              </a:lnTo>
                              <a:lnTo>
                                <a:pt x="190" y="381"/>
                              </a:lnTo>
                              <a:lnTo>
                                <a:pt x="190" y="381"/>
                              </a:lnTo>
                              <a:lnTo>
                                <a:pt x="191" y="381"/>
                              </a:lnTo>
                              <a:lnTo>
                                <a:pt x="192" y="382"/>
                              </a:lnTo>
                              <a:lnTo>
                                <a:pt x="192" y="382"/>
                              </a:lnTo>
                              <a:lnTo>
                                <a:pt x="193" y="382"/>
                              </a:lnTo>
                              <a:lnTo>
                                <a:pt x="194" y="382"/>
                              </a:lnTo>
                              <a:lnTo>
                                <a:pt x="195" y="382"/>
                              </a:lnTo>
                              <a:lnTo>
                                <a:pt x="196" y="382"/>
                              </a:lnTo>
                              <a:lnTo>
                                <a:pt x="197" y="383"/>
                              </a:lnTo>
                              <a:lnTo>
                                <a:pt x="198" y="383"/>
                              </a:lnTo>
                              <a:lnTo>
                                <a:pt x="200" y="383"/>
                              </a:lnTo>
                              <a:lnTo>
                                <a:pt x="202" y="384"/>
                              </a:lnTo>
                              <a:lnTo>
                                <a:pt x="203" y="384"/>
                              </a:lnTo>
                              <a:lnTo>
                                <a:pt x="203" y="384"/>
                              </a:lnTo>
                              <a:lnTo>
                                <a:pt x="204" y="384"/>
                              </a:lnTo>
                              <a:lnTo>
                                <a:pt x="205" y="384"/>
                              </a:lnTo>
                              <a:lnTo>
                                <a:pt x="205" y="384"/>
                              </a:lnTo>
                              <a:lnTo>
                                <a:pt x="206" y="385"/>
                              </a:lnTo>
                              <a:lnTo>
                                <a:pt x="206" y="385"/>
                              </a:lnTo>
                              <a:lnTo>
                                <a:pt x="207" y="385"/>
                              </a:lnTo>
                              <a:lnTo>
                                <a:pt x="208" y="385"/>
                              </a:lnTo>
                              <a:lnTo>
                                <a:pt x="210" y="385"/>
                              </a:lnTo>
                              <a:lnTo>
                                <a:pt x="211" y="385"/>
                              </a:lnTo>
                              <a:lnTo>
                                <a:pt x="213" y="386"/>
                              </a:lnTo>
                              <a:lnTo>
                                <a:pt x="215" y="386"/>
                              </a:lnTo>
                              <a:lnTo>
                                <a:pt x="217" y="386"/>
                              </a:lnTo>
                              <a:lnTo>
                                <a:pt x="219" y="386"/>
                              </a:lnTo>
                              <a:lnTo>
                                <a:pt x="221" y="386"/>
                              </a:lnTo>
                              <a:lnTo>
                                <a:pt x="224" y="387"/>
                              </a:lnTo>
                              <a:lnTo>
                                <a:pt x="226" y="387"/>
                              </a:lnTo>
                              <a:lnTo>
                                <a:pt x="227" y="387"/>
                              </a:lnTo>
                              <a:lnTo>
                                <a:pt x="229" y="387"/>
                              </a:lnTo>
                              <a:lnTo>
                                <a:pt x="231" y="387"/>
                              </a:lnTo>
                              <a:lnTo>
                                <a:pt x="233" y="387"/>
                              </a:lnTo>
                              <a:lnTo>
                                <a:pt x="235" y="387"/>
                              </a:lnTo>
                              <a:lnTo>
                                <a:pt x="237" y="388"/>
                              </a:lnTo>
                              <a:lnTo>
                                <a:pt x="239" y="388"/>
                              </a:lnTo>
                              <a:lnTo>
                                <a:pt x="242" y="388"/>
                              </a:lnTo>
                              <a:lnTo>
                                <a:pt x="245" y="388"/>
                              </a:lnTo>
                              <a:lnTo>
                                <a:pt x="248" y="388"/>
                              </a:lnTo>
                              <a:lnTo>
                                <a:pt x="252" y="388"/>
                              </a:lnTo>
                              <a:lnTo>
                                <a:pt x="255" y="388"/>
                              </a:lnTo>
                              <a:lnTo>
                                <a:pt x="258" y="388"/>
                              </a:lnTo>
                              <a:lnTo>
                                <a:pt x="264" y="388"/>
                              </a:lnTo>
                              <a:lnTo>
                                <a:pt x="269" y="388"/>
                              </a:lnTo>
                              <a:lnTo>
                                <a:pt x="274" y="388"/>
                              </a:lnTo>
                              <a:lnTo>
                                <a:pt x="278" y="388"/>
                              </a:lnTo>
                              <a:lnTo>
                                <a:pt x="282" y="388"/>
                              </a:lnTo>
                              <a:lnTo>
                                <a:pt x="285" y="388"/>
                              </a:lnTo>
                              <a:lnTo>
                                <a:pt x="288" y="388"/>
                              </a:lnTo>
                              <a:lnTo>
                                <a:pt x="290" y="388"/>
                              </a:lnTo>
                              <a:lnTo>
                                <a:pt x="292" y="388"/>
                              </a:lnTo>
                              <a:lnTo>
                                <a:pt x="294" y="388"/>
                              </a:lnTo>
                              <a:lnTo>
                                <a:pt x="295" y="388"/>
                              </a:lnTo>
                              <a:lnTo>
                                <a:pt x="297" y="388"/>
                              </a:lnTo>
                              <a:lnTo>
                                <a:pt x="299" y="387"/>
                              </a:lnTo>
                              <a:lnTo>
                                <a:pt x="302" y="387"/>
                              </a:lnTo>
                              <a:lnTo>
                                <a:pt x="305" y="387"/>
                              </a:lnTo>
                              <a:lnTo>
                                <a:pt x="308" y="387"/>
                              </a:lnTo>
                              <a:lnTo>
                                <a:pt x="311" y="387"/>
                              </a:lnTo>
                              <a:lnTo>
                                <a:pt x="315" y="387"/>
                              </a:lnTo>
                              <a:lnTo>
                                <a:pt x="319" y="386"/>
                              </a:lnTo>
                              <a:lnTo>
                                <a:pt x="323" y="386"/>
                              </a:lnTo>
                              <a:lnTo>
                                <a:pt x="326" y="386"/>
                              </a:lnTo>
                              <a:lnTo>
                                <a:pt x="329" y="386"/>
                              </a:lnTo>
                              <a:lnTo>
                                <a:pt x="331" y="386"/>
                              </a:lnTo>
                              <a:lnTo>
                                <a:pt x="333" y="386"/>
                              </a:lnTo>
                              <a:lnTo>
                                <a:pt x="334" y="385"/>
                              </a:lnTo>
                              <a:lnTo>
                                <a:pt x="335" y="385"/>
                              </a:lnTo>
                              <a:lnTo>
                                <a:pt x="336" y="385"/>
                              </a:lnTo>
                              <a:lnTo>
                                <a:pt x="337" y="385"/>
                              </a:lnTo>
                              <a:lnTo>
                                <a:pt x="338" y="385"/>
                              </a:lnTo>
                              <a:lnTo>
                                <a:pt x="338" y="385"/>
                              </a:lnTo>
                              <a:lnTo>
                                <a:pt x="339" y="385"/>
                              </a:lnTo>
                              <a:lnTo>
                                <a:pt x="340" y="385"/>
                              </a:lnTo>
                              <a:lnTo>
                                <a:pt x="341" y="385"/>
                              </a:lnTo>
                              <a:lnTo>
                                <a:pt x="344" y="385"/>
                              </a:lnTo>
                              <a:lnTo>
                                <a:pt x="346" y="384"/>
                              </a:lnTo>
                              <a:lnTo>
                                <a:pt x="349" y="384"/>
                              </a:lnTo>
                              <a:lnTo>
                                <a:pt x="351" y="384"/>
                              </a:lnTo>
                              <a:lnTo>
                                <a:pt x="353" y="384"/>
                              </a:lnTo>
                              <a:lnTo>
                                <a:pt x="355" y="383"/>
                              </a:lnTo>
                              <a:lnTo>
                                <a:pt x="357" y="383"/>
                              </a:lnTo>
                              <a:lnTo>
                                <a:pt x="359" y="383"/>
                              </a:lnTo>
                              <a:lnTo>
                                <a:pt x="360" y="382"/>
                              </a:lnTo>
                              <a:lnTo>
                                <a:pt x="362" y="382"/>
                              </a:lnTo>
                              <a:lnTo>
                                <a:pt x="364" y="382"/>
                              </a:lnTo>
                              <a:lnTo>
                                <a:pt x="365" y="382"/>
                              </a:lnTo>
                              <a:lnTo>
                                <a:pt x="367" y="381"/>
                              </a:lnTo>
                              <a:lnTo>
                                <a:pt x="368" y="381"/>
                              </a:lnTo>
                              <a:lnTo>
                                <a:pt x="370" y="381"/>
                              </a:lnTo>
                              <a:lnTo>
                                <a:pt x="371" y="380"/>
                              </a:lnTo>
                              <a:lnTo>
                                <a:pt x="372" y="380"/>
                              </a:lnTo>
                              <a:lnTo>
                                <a:pt x="373" y="380"/>
                              </a:lnTo>
                              <a:lnTo>
                                <a:pt x="374" y="380"/>
                              </a:lnTo>
                              <a:lnTo>
                                <a:pt x="374" y="380"/>
                              </a:lnTo>
                              <a:lnTo>
                                <a:pt x="375" y="380"/>
                              </a:lnTo>
                              <a:lnTo>
                                <a:pt x="376" y="379"/>
                              </a:lnTo>
                              <a:lnTo>
                                <a:pt x="376" y="379"/>
                              </a:lnTo>
                              <a:lnTo>
                                <a:pt x="376" y="379"/>
                              </a:lnTo>
                              <a:lnTo>
                                <a:pt x="376" y="379"/>
                              </a:lnTo>
                              <a:lnTo>
                                <a:pt x="377" y="379"/>
                              </a:lnTo>
                              <a:lnTo>
                                <a:pt x="377" y="379"/>
                              </a:lnTo>
                              <a:lnTo>
                                <a:pt x="377" y="379"/>
                              </a:lnTo>
                              <a:lnTo>
                                <a:pt x="377" y="379"/>
                              </a:lnTo>
                              <a:lnTo>
                                <a:pt x="377" y="379"/>
                              </a:lnTo>
                              <a:lnTo>
                                <a:pt x="377" y="379"/>
                              </a:lnTo>
                              <a:lnTo>
                                <a:pt x="378" y="379"/>
                              </a:lnTo>
                              <a:lnTo>
                                <a:pt x="378" y="379"/>
                              </a:lnTo>
                              <a:lnTo>
                                <a:pt x="378" y="379"/>
                              </a:lnTo>
                              <a:lnTo>
                                <a:pt x="378" y="379"/>
                              </a:lnTo>
                              <a:lnTo>
                                <a:pt x="378" y="379"/>
                              </a:lnTo>
                              <a:lnTo>
                                <a:pt x="378" y="378"/>
                              </a:lnTo>
                              <a:lnTo>
                                <a:pt x="379" y="378"/>
                              </a:lnTo>
                              <a:lnTo>
                                <a:pt x="379" y="378"/>
                              </a:lnTo>
                              <a:lnTo>
                                <a:pt x="379" y="378"/>
                              </a:lnTo>
                              <a:lnTo>
                                <a:pt x="380" y="378"/>
                              </a:lnTo>
                              <a:lnTo>
                                <a:pt x="380" y="378"/>
                              </a:lnTo>
                              <a:lnTo>
                                <a:pt x="381" y="377"/>
                              </a:lnTo>
                              <a:lnTo>
                                <a:pt x="381" y="377"/>
                              </a:lnTo>
                              <a:lnTo>
                                <a:pt x="382" y="377"/>
                              </a:lnTo>
                              <a:lnTo>
                                <a:pt x="382" y="377"/>
                              </a:lnTo>
                              <a:lnTo>
                                <a:pt x="382" y="376"/>
                              </a:lnTo>
                              <a:lnTo>
                                <a:pt x="383" y="376"/>
                              </a:lnTo>
                              <a:lnTo>
                                <a:pt x="383" y="376"/>
                              </a:lnTo>
                              <a:lnTo>
                                <a:pt x="383" y="376"/>
                              </a:lnTo>
                              <a:lnTo>
                                <a:pt x="384" y="375"/>
                              </a:lnTo>
                              <a:lnTo>
                                <a:pt x="384" y="375"/>
                              </a:lnTo>
                              <a:lnTo>
                                <a:pt x="384" y="375"/>
                              </a:lnTo>
                              <a:lnTo>
                                <a:pt x="385" y="374"/>
                              </a:lnTo>
                              <a:lnTo>
                                <a:pt x="385" y="374"/>
                              </a:lnTo>
                              <a:lnTo>
                                <a:pt x="385" y="374"/>
                              </a:lnTo>
                              <a:lnTo>
                                <a:pt x="386" y="373"/>
                              </a:lnTo>
                              <a:lnTo>
                                <a:pt x="386" y="373"/>
                              </a:lnTo>
                              <a:lnTo>
                                <a:pt x="386" y="372"/>
                              </a:lnTo>
                              <a:lnTo>
                                <a:pt x="386" y="372"/>
                              </a:lnTo>
                              <a:lnTo>
                                <a:pt x="387" y="372"/>
                              </a:lnTo>
                              <a:lnTo>
                                <a:pt x="387" y="371"/>
                              </a:lnTo>
                              <a:lnTo>
                                <a:pt x="387" y="371"/>
                              </a:lnTo>
                              <a:lnTo>
                                <a:pt x="387" y="370"/>
                              </a:lnTo>
                              <a:lnTo>
                                <a:pt x="388" y="370"/>
                              </a:lnTo>
                              <a:lnTo>
                                <a:pt x="388" y="370"/>
                              </a:lnTo>
                              <a:lnTo>
                                <a:pt x="388" y="369"/>
                              </a:lnTo>
                              <a:lnTo>
                                <a:pt x="388" y="369"/>
                              </a:lnTo>
                              <a:lnTo>
                                <a:pt x="389" y="368"/>
                              </a:lnTo>
                              <a:lnTo>
                                <a:pt x="389" y="368"/>
                              </a:lnTo>
                              <a:lnTo>
                                <a:pt x="389" y="367"/>
                              </a:lnTo>
                              <a:lnTo>
                                <a:pt x="389" y="367"/>
                              </a:lnTo>
                              <a:lnTo>
                                <a:pt x="390" y="366"/>
                              </a:lnTo>
                              <a:lnTo>
                                <a:pt x="390" y="365"/>
                              </a:lnTo>
                              <a:lnTo>
                                <a:pt x="390" y="365"/>
                              </a:lnTo>
                              <a:lnTo>
                                <a:pt x="390" y="364"/>
                              </a:lnTo>
                              <a:lnTo>
                                <a:pt x="391" y="364"/>
                              </a:lnTo>
                              <a:lnTo>
                                <a:pt x="391" y="363"/>
                              </a:lnTo>
                              <a:lnTo>
                                <a:pt x="391" y="362"/>
                              </a:lnTo>
                              <a:lnTo>
                                <a:pt x="391" y="362"/>
                              </a:lnTo>
                              <a:lnTo>
                                <a:pt x="392" y="361"/>
                              </a:lnTo>
                              <a:lnTo>
                                <a:pt x="392" y="360"/>
                              </a:lnTo>
                              <a:lnTo>
                                <a:pt x="392" y="360"/>
                              </a:lnTo>
                              <a:lnTo>
                                <a:pt x="392" y="358"/>
                              </a:lnTo>
                              <a:lnTo>
                                <a:pt x="393" y="357"/>
                              </a:lnTo>
                              <a:lnTo>
                                <a:pt x="393" y="356"/>
                              </a:lnTo>
                              <a:lnTo>
                                <a:pt x="393" y="355"/>
                              </a:lnTo>
                              <a:lnTo>
                                <a:pt x="394" y="354"/>
                              </a:lnTo>
                              <a:lnTo>
                                <a:pt x="394" y="352"/>
                              </a:lnTo>
                              <a:lnTo>
                                <a:pt x="394" y="351"/>
                              </a:lnTo>
                              <a:lnTo>
                                <a:pt x="395" y="350"/>
                              </a:lnTo>
                              <a:lnTo>
                                <a:pt x="395" y="348"/>
                              </a:lnTo>
                              <a:lnTo>
                                <a:pt x="395" y="347"/>
                              </a:lnTo>
                              <a:lnTo>
                                <a:pt x="396" y="345"/>
                              </a:lnTo>
                              <a:lnTo>
                                <a:pt x="396" y="344"/>
                              </a:lnTo>
                              <a:lnTo>
                                <a:pt x="397" y="342"/>
                              </a:lnTo>
                              <a:lnTo>
                                <a:pt x="397" y="340"/>
                              </a:lnTo>
                              <a:lnTo>
                                <a:pt x="397" y="339"/>
                              </a:lnTo>
                              <a:lnTo>
                                <a:pt x="398" y="337"/>
                              </a:lnTo>
                              <a:lnTo>
                                <a:pt x="398" y="335"/>
                              </a:lnTo>
                              <a:lnTo>
                                <a:pt x="398" y="333"/>
                              </a:lnTo>
                              <a:lnTo>
                                <a:pt x="399" y="331"/>
                              </a:lnTo>
                              <a:lnTo>
                                <a:pt x="399" y="328"/>
                              </a:lnTo>
                              <a:lnTo>
                                <a:pt x="400" y="326"/>
                              </a:lnTo>
                              <a:lnTo>
                                <a:pt x="400" y="323"/>
                              </a:lnTo>
                              <a:lnTo>
                                <a:pt x="401" y="319"/>
                              </a:lnTo>
                              <a:lnTo>
                                <a:pt x="402" y="314"/>
                              </a:lnTo>
                              <a:lnTo>
                                <a:pt x="403" y="308"/>
                              </a:lnTo>
                              <a:lnTo>
                                <a:pt x="404" y="302"/>
                              </a:lnTo>
                              <a:lnTo>
                                <a:pt x="405" y="298"/>
                              </a:lnTo>
                              <a:lnTo>
                                <a:pt x="405" y="294"/>
                              </a:lnTo>
                              <a:lnTo>
                                <a:pt x="406" y="291"/>
                              </a:lnTo>
                              <a:lnTo>
                                <a:pt x="406" y="288"/>
                              </a:lnTo>
                              <a:lnTo>
                                <a:pt x="407" y="285"/>
                              </a:lnTo>
                              <a:lnTo>
                                <a:pt x="407" y="282"/>
                              </a:lnTo>
                              <a:lnTo>
                                <a:pt x="408" y="280"/>
                              </a:lnTo>
                              <a:lnTo>
                                <a:pt x="408" y="278"/>
                              </a:lnTo>
                              <a:lnTo>
                                <a:pt x="409" y="276"/>
                              </a:lnTo>
                              <a:lnTo>
                                <a:pt x="409" y="274"/>
                              </a:lnTo>
                              <a:lnTo>
                                <a:pt x="409" y="272"/>
                              </a:lnTo>
                              <a:lnTo>
                                <a:pt x="410" y="271"/>
                              </a:lnTo>
                              <a:lnTo>
                                <a:pt x="410" y="269"/>
                              </a:lnTo>
                              <a:lnTo>
                                <a:pt x="411" y="268"/>
                              </a:lnTo>
                              <a:lnTo>
                                <a:pt x="411" y="266"/>
                              </a:lnTo>
                              <a:lnTo>
                                <a:pt x="411" y="265"/>
                              </a:lnTo>
                              <a:lnTo>
                                <a:pt x="412" y="264"/>
                              </a:lnTo>
                              <a:lnTo>
                                <a:pt x="412" y="263"/>
                              </a:lnTo>
                              <a:lnTo>
                                <a:pt x="413" y="262"/>
                              </a:lnTo>
                              <a:lnTo>
                                <a:pt x="413" y="261"/>
                              </a:lnTo>
                              <a:lnTo>
                                <a:pt x="413" y="260"/>
                              </a:lnTo>
                              <a:lnTo>
                                <a:pt x="414" y="259"/>
                              </a:lnTo>
                              <a:lnTo>
                                <a:pt x="414" y="259"/>
                              </a:lnTo>
                              <a:lnTo>
                                <a:pt x="414" y="258"/>
                              </a:lnTo>
                              <a:lnTo>
                                <a:pt x="415" y="258"/>
                              </a:lnTo>
                              <a:lnTo>
                                <a:pt x="415" y="257"/>
                              </a:lnTo>
                              <a:lnTo>
                                <a:pt x="416" y="257"/>
                              </a:lnTo>
                              <a:lnTo>
                                <a:pt x="416" y="257"/>
                              </a:lnTo>
                              <a:lnTo>
                                <a:pt x="416" y="256"/>
                              </a:lnTo>
                              <a:lnTo>
                                <a:pt x="417" y="256"/>
                              </a:lnTo>
                              <a:lnTo>
                                <a:pt x="417" y="256"/>
                              </a:lnTo>
                              <a:lnTo>
                                <a:pt x="418" y="256"/>
                              </a:lnTo>
                              <a:lnTo>
                                <a:pt x="418" y="256"/>
                              </a:lnTo>
                              <a:lnTo>
                                <a:pt x="418" y="257"/>
                              </a:lnTo>
                              <a:lnTo>
                                <a:pt x="419" y="257"/>
                              </a:lnTo>
                              <a:lnTo>
                                <a:pt x="419" y="257"/>
                              </a:lnTo>
                              <a:lnTo>
                                <a:pt x="420" y="258"/>
                              </a:lnTo>
                              <a:lnTo>
                                <a:pt x="420" y="258"/>
                              </a:lnTo>
                              <a:lnTo>
                                <a:pt x="420" y="258"/>
                              </a:lnTo>
                              <a:lnTo>
                                <a:pt x="420" y="259"/>
                              </a:lnTo>
                              <a:lnTo>
                                <a:pt x="421" y="259"/>
                              </a:lnTo>
                              <a:lnTo>
                                <a:pt x="421" y="259"/>
                              </a:lnTo>
                              <a:lnTo>
                                <a:pt x="421" y="259"/>
                              </a:lnTo>
                              <a:lnTo>
                                <a:pt x="421" y="260"/>
                              </a:lnTo>
                              <a:lnTo>
                                <a:pt x="422" y="260"/>
                              </a:lnTo>
                              <a:lnTo>
                                <a:pt x="422" y="260"/>
                              </a:lnTo>
                              <a:lnTo>
                                <a:pt x="422" y="261"/>
                              </a:lnTo>
                              <a:lnTo>
                                <a:pt x="422" y="261"/>
                              </a:lnTo>
                              <a:lnTo>
                                <a:pt x="422" y="261"/>
                              </a:lnTo>
                              <a:lnTo>
                                <a:pt x="423" y="262"/>
                              </a:lnTo>
                              <a:lnTo>
                                <a:pt x="423" y="263"/>
                              </a:lnTo>
                              <a:lnTo>
                                <a:pt x="424" y="264"/>
                              </a:lnTo>
                              <a:lnTo>
                                <a:pt x="424" y="266"/>
                              </a:lnTo>
                              <a:lnTo>
                                <a:pt x="425" y="268"/>
                              </a:lnTo>
                              <a:lnTo>
                                <a:pt x="426" y="269"/>
                              </a:lnTo>
                              <a:lnTo>
                                <a:pt x="426" y="271"/>
                              </a:lnTo>
                              <a:lnTo>
                                <a:pt x="427" y="273"/>
                              </a:lnTo>
                              <a:lnTo>
                                <a:pt x="428" y="276"/>
                              </a:lnTo>
                              <a:lnTo>
                                <a:pt x="429" y="279"/>
                              </a:lnTo>
                              <a:lnTo>
                                <a:pt x="430" y="282"/>
                              </a:lnTo>
                              <a:lnTo>
                                <a:pt x="431" y="286"/>
                              </a:lnTo>
                              <a:lnTo>
                                <a:pt x="433" y="292"/>
                              </a:lnTo>
                              <a:lnTo>
                                <a:pt x="435" y="298"/>
                              </a:lnTo>
                              <a:lnTo>
                                <a:pt x="436" y="303"/>
                              </a:lnTo>
                              <a:lnTo>
                                <a:pt x="437" y="307"/>
                              </a:lnTo>
                              <a:lnTo>
                                <a:pt x="439" y="310"/>
                              </a:lnTo>
                              <a:lnTo>
                                <a:pt x="440" y="313"/>
                              </a:lnTo>
                              <a:lnTo>
                                <a:pt x="441" y="316"/>
                              </a:lnTo>
                              <a:lnTo>
                                <a:pt x="442" y="318"/>
                              </a:lnTo>
                              <a:lnTo>
                                <a:pt x="443" y="321"/>
                              </a:lnTo>
                              <a:lnTo>
                                <a:pt x="443" y="323"/>
                              </a:lnTo>
                              <a:lnTo>
                                <a:pt x="444" y="324"/>
                              </a:lnTo>
                              <a:lnTo>
                                <a:pt x="445" y="326"/>
                              </a:lnTo>
                              <a:lnTo>
                                <a:pt x="445" y="327"/>
                              </a:lnTo>
                              <a:lnTo>
                                <a:pt x="446" y="329"/>
                              </a:lnTo>
                              <a:lnTo>
                                <a:pt x="447" y="330"/>
                              </a:lnTo>
                              <a:lnTo>
                                <a:pt x="447" y="332"/>
                              </a:lnTo>
                              <a:lnTo>
                                <a:pt x="448" y="333"/>
                              </a:lnTo>
                              <a:lnTo>
                                <a:pt x="448" y="335"/>
                              </a:lnTo>
                              <a:lnTo>
                                <a:pt x="449" y="336"/>
                              </a:lnTo>
                              <a:lnTo>
                                <a:pt x="450" y="337"/>
                              </a:lnTo>
                              <a:lnTo>
                                <a:pt x="450" y="338"/>
                              </a:lnTo>
                            </a:path>
                          </a:pathLst>
                        </a:cu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75" name="Freeform 163"/>
                        <a:cNvSpPr>
                          <a:spLocks/>
                        </a:cNvSpPr>
                      </a:nvSpPr>
                      <a:spPr bwMode="auto">
                        <a:xfrm>
                          <a:off x="4625701" y="11328894"/>
                          <a:ext cx="2533245" cy="69502"/>
                        </a:xfrm>
                        <a:custGeom>
                          <a:avLst/>
                          <a:gdLst/>
                          <a:ahLst/>
                          <a:cxnLst>
                            <a:cxn ang="0">
                              <a:pos x="5" y="7"/>
                            </a:cxn>
                            <a:cxn ang="0">
                              <a:pos x="10" y="14"/>
                            </a:cxn>
                            <a:cxn ang="0">
                              <a:pos x="18" y="20"/>
                            </a:cxn>
                            <a:cxn ang="0">
                              <a:pos x="26" y="23"/>
                            </a:cxn>
                            <a:cxn ang="0">
                              <a:pos x="35" y="25"/>
                            </a:cxn>
                            <a:cxn ang="0">
                              <a:pos x="50" y="27"/>
                            </a:cxn>
                            <a:cxn ang="0">
                              <a:pos x="71" y="29"/>
                            </a:cxn>
                            <a:cxn ang="0">
                              <a:pos x="99" y="32"/>
                            </a:cxn>
                            <a:cxn ang="0">
                              <a:pos x="117" y="32"/>
                            </a:cxn>
                            <a:cxn ang="0">
                              <a:pos x="138" y="31"/>
                            </a:cxn>
                            <a:cxn ang="0">
                              <a:pos x="151" y="30"/>
                            </a:cxn>
                            <a:cxn ang="0">
                              <a:pos x="170" y="27"/>
                            </a:cxn>
                            <a:cxn ang="0">
                              <a:pos x="188" y="26"/>
                            </a:cxn>
                            <a:cxn ang="0">
                              <a:pos x="204" y="25"/>
                            </a:cxn>
                            <a:cxn ang="0">
                              <a:pos x="220" y="26"/>
                            </a:cxn>
                            <a:cxn ang="0">
                              <a:pos x="236" y="29"/>
                            </a:cxn>
                            <a:cxn ang="0">
                              <a:pos x="254" y="31"/>
                            </a:cxn>
                            <a:cxn ang="0">
                              <a:pos x="278" y="34"/>
                            </a:cxn>
                            <a:cxn ang="0">
                              <a:pos x="293" y="35"/>
                            </a:cxn>
                            <a:cxn ang="0">
                              <a:pos x="323" y="37"/>
                            </a:cxn>
                            <a:cxn ang="0">
                              <a:pos x="347" y="38"/>
                            </a:cxn>
                            <a:cxn ang="0">
                              <a:pos x="381" y="39"/>
                            </a:cxn>
                            <a:cxn ang="0">
                              <a:pos x="413" y="40"/>
                            </a:cxn>
                            <a:cxn ang="0">
                              <a:pos x="455" y="41"/>
                            </a:cxn>
                            <a:cxn ang="0">
                              <a:pos x="485" y="41"/>
                            </a:cxn>
                            <a:cxn ang="0">
                              <a:pos x="509" y="42"/>
                            </a:cxn>
                            <a:cxn ang="0">
                              <a:pos x="541" y="43"/>
                            </a:cxn>
                            <a:cxn ang="0">
                              <a:pos x="573" y="43"/>
                            </a:cxn>
                            <a:cxn ang="0">
                              <a:pos x="600" y="44"/>
                            </a:cxn>
                            <a:cxn ang="0">
                              <a:pos x="632" y="44"/>
                            </a:cxn>
                            <a:cxn ang="0">
                              <a:pos x="666" y="45"/>
                            </a:cxn>
                            <a:cxn ang="0">
                              <a:pos x="715" y="45"/>
                            </a:cxn>
                            <a:cxn ang="0">
                              <a:pos x="742" y="45"/>
                            </a:cxn>
                            <a:cxn ang="0">
                              <a:pos x="775" y="46"/>
                            </a:cxn>
                            <a:cxn ang="0">
                              <a:pos x="810" y="45"/>
                            </a:cxn>
                            <a:cxn ang="0">
                              <a:pos x="844" y="46"/>
                            </a:cxn>
                            <a:cxn ang="0">
                              <a:pos x="876" y="46"/>
                            </a:cxn>
                            <a:cxn ang="0">
                              <a:pos x="917" y="46"/>
                            </a:cxn>
                            <a:cxn ang="0">
                              <a:pos x="963" y="46"/>
                            </a:cxn>
                            <a:cxn ang="0">
                              <a:pos x="1018" y="46"/>
                            </a:cxn>
                            <a:cxn ang="0">
                              <a:pos x="1071" y="47"/>
                            </a:cxn>
                            <a:cxn ang="0">
                              <a:pos x="1116" y="47"/>
                            </a:cxn>
                            <a:cxn ang="0">
                              <a:pos x="1176" y="47"/>
                            </a:cxn>
                            <a:cxn ang="0">
                              <a:pos x="1242" y="47"/>
                            </a:cxn>
                            <a:cxn ang="0">
                              <a:pos x="1289" y="48"/>
                            </a:cxn>
                            <a:cxn ang="0">
                              <a:pos x="1354" y="48"/>
                            </a:cxn>
                            <a:cxn ang="0">
                              <a:pos x="1392" y="48"/>
                            </a:cxn>
                            <a:cxn ang="0">
                              <a:pos x="1441" y="48"/>
                            </a:cxn>
                            <a:cxn ang="0">
                              <a:pos x="1498" y="48"/>
                            </a:cxn>
                            <a:cxn ang="0">
                              <a:pos x="1532" y="48"/>
                            </a:cxn>
                            <a:cxn ang="0">
                              <a:pos x="1582" y="48"/>
                            </a:cxn>
                            <a:cxn ang="0">
                              <a:pos x="1617" y="49"/>
                            </a:cxn>
                            <a:cxn ang="0">
                              <a:pos x="1638" y="49"/>
                            </a:cxn>
                            <a:cxn ang="0">
                              <a:pos x="1665" y="48"/>
                            </a:cxn>
                            <a:cxn ang="0">
                              <a:pos x="1681" y="46"/>
                            </a:cxn>
                            <a:cxn ang="0">
                              <a:pos x="1707" y="44"/>
                            </a:cxn>
                            <a:cxn ang="0">
                              <a:pos x="1725" y="42"/>
                            </a:cxn>
                            <a:cxn ang="0">
                              <a:pos x="1758" y="39"/>
                            </a:cxn>
                            <a:cxn ang="0">
                              <a:pos x="1771" y="37"/>
                            </a:cxn>
                            <a:cxn ang="0">
                              <a:pos x="1799" y="34"/>
                            </a:cxn>
                            <a:cxn ang="0">
                              <a:pos x="1815" y="32"/>
                            </a:cxn>
                            <a:cxn ang="0">
                              <a:pos x="1848" y="31"/>
                            </a:cxn>
                            <a:cxn ang="0">
                              <a:pos x="1868" y="30"/>
                            </a:cxn>
                          </a:cxnLst>
                          <a:rect l="0" t="0" r="r" b="b"/>
                          <a:pathLst>
                            <a:path w="1898" h="49">
                              <a:moveTo>
                                <a:pt x="0" y="0"/>
                              </a:moveTo>
                              <a:lnTo>
                                <a:pt x="1" y="2"/>
                              </a:lnTo>
                              <a:lnTo>
                                <a:pt x="2" y="3"/>
                              </a:lnTo>
                              <a:lnTo>
                                <a:pt x="2" y="3"/>
                              </a:lnTo>
                              <a:lnTo>
                                <a:pt x="3" y="5"/>
                              </a:lnTo>
                              <a:lnTo>
                                <a:pt x="4" y="6"/>
                              </a:lnTo>
                              <a:lnTo>
                                <a:pt x="4" y="6"/>
                              </a:lnTo>
                              <a:lnTo>
                                <a:pt x="5" y="7"/>
                              </a:lnTo>
                              <a:lnTo>
                                <a:pt x="6" y="8"/>
                              </a:lnTo>
                              <a:lnTo>
                                <a:pt x="6" y="9"/>
                              </a:lnTo>
                              <a:lnTo>
                                <a:pt x="7" y="10"/>
                              </a:lnTo>
                              <a:lnTo>
                                <a:pt x="8" y="11"/>
                              </a:lnTo>
                              <a:lnTo>
                                <a:pt x="8" y="12"/>
                              </a:lnTo>
                              <a:lnTo>
                                <a:pt x="9" y="13"/>
                              </a:lnTo>
                              <a:lnTo>
                                <a:pt x="10" y="13"/>
                              </a:lnTo>
                              <a:lnTo>
                                <a:pt x="10" y="14"/>
                              </a:lnTo>
                              <a:lnTo>
                                <a:pt x="11" y="15"/>
                              </a:lnTo>
                              <a:lnTo>
                                <a:pt x="12" y="15"/>
                              </a:lnTo>
                              <a:lnTo>
                                <a:pt x="13" y="16"/>
                              </a:lnTo>
                              <a:lnTo>
                                <a:pt x="14" y="17"/>
                              </a:lnTo>
                              <a:lnTo>
                                <a:pt x="15" y="18"/>
                              </a:lnTo>
                              <a:lnTo>
                                <a:pt x="17" y="19"/>
                              </a:lnTo>
                              <a:lnTo>
                                <a:pt x="17" y="19"/>
                              </a:lnTo>
                              <a:lnTo>
                                <a:pt x="18" y="20"/>
                              </a:lnTo>
                              <a:lnTo>
                                <a:pt x="19" y="20"/>
                              </a:lnTo>
                              <a:lnTo>
                                <a:pt x="20" y="20"/>
                              </a:lnTo>
                              <a:lnTo>
                                <a:pt x="21" y="21"/>
                              </a:lnTo>
                              <a:lnTo>
                                <a:pt x="22" y="21"/>
                              </a:lnTo>
                              <a:lnTo>
                                <a:pt x="23" y="22"/>
                              </a:lnTo>
                              <a:lnTo>
                                <a:pt x="24" y="22"/>
                              </a:lnTo>
                              <a:lnTo>
                                <a:pt x="25" y="22"/>
                              </a:lnTo>
                              <a:lnTo>
                                <a:pt x="26" y="23"/>
                              </a:lnTo>
                              <a:lnTo>
                                <a:pt x="27" y="23"/>
                              </a:lnTo>
                              <a:lnTo>
                                <a:pt x="28" y="23"/>
                              </a:lnTo>
                              <a:lnTo>
                                <a:pt x="29" y="24"/>
                              </a:lnTo>
                              <a:lnTo>
                                <a:pt x="30" y="24"/>
                              </a:lnTo>
                              <a:lnTo>
                                <a:pt x="31" y="24"/>
                              </a:lnTo>
                              <a:lnTo>
                                <a:pt x="32" y="24"/>
                              </a:lnTo>
                              <a:lnTo>
                                <a:pt x="33" y="25"/>
                              </a:lnTo>
                              <a:lnTo>
                                <a:pt x="35" y="25"/>
                              </a:lnTo>
                              <a:lnTo>
                                <a:pt x="36" y="25"/>
                              </a:lnTo>
                              <a:lnTo>
                                <a:pt x="38" y="25"/>
                              </a:lnTo>
                              <a:lnTo>
                                <a:pt x="39" y="26"/>
                              </a:lnTo>
                              <a:lnTo>
                                <a:pt x="41" y="26"/>
                              </a:lnTo>
                              <a:lnTo>
                                <a:pt x="43" y="26"/>
                              </a:lnTo>
                              <a:lnTo>
                                <a:pt x="45" y="26"/>
                              </a:lnTo>
                              <a:lnTo>
                                <a:pt x="47" y="27"/>
                              </a:lnTo>
                              <a:lnTo>
                                <a:pt x="50" y="27"/>
                              </a:lnTo>
                              <a:lnTo>
                                <a:pt x="54" y="27"/>
                              </a:lnTo>
                              <a:lnTo>
                                <a:pt x="57" y="28"/>
                              </a:lnTo>
                              <a:lnTo>
                                <a:pt x="59" y="28"/>
                              </a:lnTo>
                              <a:lnTo>
                                <a:pt x="60" y="28"/>
                              </a:lnTo>
                              <a:lnTo>
                                <a:pt x="62" y="28"/>
                              </a:lnTo>
                              <a:lnTo>
                                <a:pt x="63" y="28"/>
                              </a:lnTo>
                              <a:lnTo>
                                <a:pt x="65" y="28"/>
                              </a:lnTo>
                              <a:lnTo>
                                <a:pt x="71" y="29"/>
                              </a:lnTo>
                              <a:lnTo>
                                <a:pt x="77" y="30"/>
                              </a:lnTo>
                              <a:lnTo>
                                <a:pt x="82" y="30"/>
                              </a:lnTo>
                              <a:lnTo>
                                <a:pt x="85" y="31"/>
                              </a:lnTo>
                              <a:lnTo>
                                <a:pt x="88" y="31"/>
                              </a:lnTo>
                              <a:lnTo>
                                <a:pt x="91" y="31"/>
                              </a:lnTo>
                              <a:lnTo>
                                <a:pt x="94" y="31"/>
                              </a:lnTo>
                              <a:lnTo>
                                <a:pt x="96" y="31"/>
                              </a:lnTo>
                              <a:lnTo>
                                <a:pt x="99" y="32"/>
                              </a:lnTo>
                              <a:lnTo>
                                <a:pt x="101" y="32"/>
                              </a:lnTo>
                              <a:lnTo>
                                <a:pt x="104" y="32"/>
                              </a:lnTo>
                              <a:lnTo>
                                <a:pt x="106" y="32"/>
                              </a:lnTo>
                              <a:lnTo>
                                <a:pt x="108" y="32"/>
                              </a:lnTo>
                              <a:lnTo>
                                <a:pt x="110" y="32"/>
                              </a:lnTo>
                              <a:lnTo>
                                <a:pt x="112" y="32"/>
                              </a:lnTo>
                              <a:lnTo>
                                <a:pt x="115" y="32"/>
                              </a:lnTo>
                              <a:lnTo>
                                <a:pt x="117" y="32"/>
                              </a:lnTo>
                              <a:lnTo>
                                <a:pt x="120" y="32"/>
                              </a:lnTo>
                              <a:lnTo>
                                <a:pt x="123" y="32"/>
                              </a:lnTo>
                              <a:lnTo>
                                <a:pt x="126" y="32"/>
                              </a:lnTo>
                              <a:lnTo>
                                <a:pt x="128" y="32"/>
                              </a:lnTo>
                              <a:lnTo>
                                <a:pt x="131" y="32"/>
                              </a:lnTo>
                              <a:lnTo>
                                <a:pt x="133" y="31"/>
                              </a:lnTo>
                              <a:lnTo>
                                <a:pt x="136" y="31"/>
                              </a:lnTo>
                              <a:lnTo>
                                <a:pt x="138" y="31"/>
                              </a:lnTo>
                              <a:lnTo>
                                <a:pt x="141" y="31"/>
                              </a:lnTo>
                              <a:lnTo>
                                <a:pt x="143" y="31"/>
                              </a:lnTo>
                              <a:lnTo>
                                <a:pt x="145" y="31"/>
                              </a:lnTo>
                              <a:lnTo>
                                <a:pt x="146" y="31"/>
                              </a:lnTo>
                              <a:lnTo>
                                <a:pt x="148" y="30"/>
                              </a:lnTo>
                              <a:lnTo>
                                <a:pt x="149" y="30"/>
                              </a:lnTo>
                              <a:lnTo>
                                <a:pt x="150" y="30"/>
                              </a:lnTo>
                              <a:lnTo>
                                <a:pt x="151" y="30"/>
                              </a:lnTo>
                              <a:lnTo>
                                <a:pt x="152" y="30"/>
                              </a:lnTo>
                              <a:lnTo>
                                <a:pt x="153" y="30"/>
                              </a:lnTo>
                              <a:lnTo>
                                <a:pt x="156" y="29"/>
                              </a:lnTo>
                              <a:lnTo>
                                <a:pt x="159" y="29"/>
                              </a:lnTo>
                              <a:lnTo>
                                <a:pt x="162" y="28"/>
                              </a:lnTo>
                              <a:lnTo>
                                <a:pt x="165" y="28"/>
                              </a:lnTo>
                              <a:lnTo>
                                <a:pt x="167" y="28"/>
                              </a:lnTo>
                              <a:lnTo>
                                <a:pt x="170" y="27"/>
                              </a:lnTo>
                              <a:lnTo>
                                <a:pt x="172" y="27"/>
                              </a:lnTo>
                              <a:lnTo>
                                <a:pt x="174" y="27"/>
                              </a:lnTo>
                              <a:lnTo>
                                <a:pt x="177" y="27"/>
                              </a:lnTo>
                              <a:lnTo>
                                <a:pt x="179" y="26"/>
                              </a:lnTo>
                              <a:lnTo>
                                <a:pt x="181" y="26"/>
                              </a:lnTo>
                              <a:lnTo>
                                <a:pt x="184" y="26"/>
                              </a:lnTo>
                              <a:lnTo>
                                <a:pt x="186" y="26"/>
                              </a:lnTo>
                              <a:lnTo>
                                <a:pt x="188" y="26"/>
                              </a:lnTo>
                              <a:lnTo>
                                <a:pt x="190" y="26"/>
                              </a:lnTo>
                              <a:lnTo>
                                <a:pt x="192" y="26"/>
                              </a:lnTo>
                              <a:lnTo>
                                <a:pt x="194" y="26"/>
                              </a:lnTo>
                              <a:lnTo>
                                <a:pt x="196" y="25"/>
                              </a:lnTo>
                              <a:lnTo>
                                <a:pt x="198" y="25"/>
                              </a:lnTo>
                              <a:lnTo>
                                <a:pt x="200" y="25"/>
                              </a:lnTo>
                              <a:lnTo>
                                <a:pt x="202" y="25"/>
                              </a:lnTo>
                              <a:lnTo>
                                <a:pt x="204" y="25"/>
                              </a:lnTo>
                              <a:lnTo>
                                <a:pt x="206" y="25"/>
                              </a:lnTo>
                              <a:lnTo>
                                <a:pt x="208" y="26"/>
                              </a:lnTo>
                              <a:lnTo>
                                <a:pt x="210" y="26"/>
                              </a:lnTo>
                              <a:lnTo>
                                <a:pt x="212" y="26"/>
                              </a:lnTo>
                              <a:lnTo>
                                <a:pt x="214" y="26"/>
                              </a:lnTo>
                              <a:lnTo>
                                <a:pt x="216" y="26"/>
                              </a:lnTo>
                              <a:lnTo>
                                <a:pt x="218" y="26"/>
                              </a:lnTo>
                              <a:lnTo>
                                <a:pt x="220" y="26"/>
                              </a:lnTo>
                              <a:lnTo>
                                <a:pt x="222" y="27"/>
                              </a:lnTo>
                              <a:lnTo>
                                <a:pt x="224" y="27"/>
                              </a:lnTo>
                              <a:lnTo>
                                <a:pt x="226" y="27"/>
                              </a:lnTo>
                              <a:lnTo>
                                <a:pt x="229" y="28"/>
                              </a:lnTo>
                              <a:lnTo>
                                <a:pt x="231" y="28"/>
                              </a:lnTo>
                              <a:lnTo>
                                <a:pt x="233" y="28"/>
                              </a:lnTo>
                              <a:lnTo>
                                <a:pt x="235" y="28"/>
                              </a:lnTo>
                              <a:lnTo>
                                <a:pt x="236" y="29"/>
                              </a:lnTo>
                              <a:lnTo>
                                <a:pt x="237" y="29"/>
                              </a:lnTo>
                              <a:lnTo>
                                <a:pt x="238" y="29"/>
                              </a:lnTo>
                              <a:lnTo>
                                <a:pt x="238" y="29"/>
                              </a:lnTo>
                              <a:lnTo>
                                <a:pt x="241" y="29"/>
                              </a:lnTo>
                              <a:lnTo>
                                <a:pt x="245" y="30"/>
                              </a:lnTo>
                              <a:lnTo>
                                <a:pt x="248" y="30"/>
                              </a:lnTo>
                              <a:lnTo>
                                <a:pt x="251" y="31"/>
                              </a:lnTo>
                              <a:lnTo>
                                <a:pt x="254" y="31"/>
                              </a:lnTo>
                              <a:lnTo>
                                <a:pt x="256" y="31"/>
                              </a:lnTo>
                              <a:lnTo>
                                <a:pt x="259" y="32"/>
                              </a:lnTo>
                              <a:lnTo>
                                <a:pt x="262" y="32"/>
                              </a:lnTo>
                              <a:lnTo>
                                <a:pt x="267" y="32"/>
                              </a:lnTo>
                              <a:lnTo>
                                <a:pt x="272" y="33"/>
                              </a:lnTo>
                              <a:lnTo>
                                <a:pt x="275" y="33"/>
                              </a:lnTo>
                              <a:lnTo>
                                <a:pt x="277" y="33"/>
                              </a:lnTo>
                              <a:lnTo>
                                <a:pt x="278" y="34"/>
                              </a:lnTo>
                              <a:lnTo>
                                <a:pt x="278" y="34"/>
                              </a:lnTo>
                              <a:lnTo>
                                <a:pt x="279" y="34"/>
                              </a:lnTo>
                              <a:lnTo>
                                <a:pt x="279" y="34"/>
                              </a:lnTo>
                              <a:lnTo>
                                <a:pt x="281" y="34"/>
                              </a:lnTo>
                              <a:lnTo>
                                <a:pt x="285" y="34"/>
                              </a:lnTo>
                              <a:lnTo>
                                <a:pt x="287" y="34"/>
                              </a:lnTo>
                              <a:lnTo>
                                <a:pt x="290" y="35"/>
                              </a:lnTo>
                              <a:lnTo>
                                <a:pt x="293" y="35"/>
                              </a:lnTo>
                              <a:lnTo>
                                <a:pt x="297" y="35"/>
                              </a:lnTo>
                              <a:lnTo>
                                <a:pt x="302" y="35"/>
                              </a:lnTo>
                              <a:lnTo>
                                <a:pt x="305" y="36"/>
                              </a:lnTo>
                              <a:lnTo>
                                <a:pt x="309" y="36"/>
                              </a:lnTo>
                              <a:lnTo>
                                <a:pt x="315" y="36"/>
                              </a:lnTo>
                              <a:lnTo>
                                <a:pt x="319" y="36"/>
                              </a:lnTo>
                              <a:lnTo>
                                <a:pt x="321" y="37"/>
                              </a:lnTo>
                              <a:lnTo>
                                <a:pt x="323" y="37"/>
                              </a:lnTo>
                              <a:lnTo>
                                <a:pt x="324" y="37"/>
                              </a:lnTo>
                              <a:lnTo>
                                <a:pt x="325" y="37"/>
                              </a:lnTo>
                              <a:lnTo>
                                <a:pt x="328" y="37"/>
                              </a:lnTo>
                              <a:lnTo>
                                <a:pt x="332" y="37"/>
                              </a:lnTo>
                              <a:lnTo>
                                <a:pt x="335" y="37"/>
                              </a:lnTo>
                              <a:lnTo>
                                <a:pt x="338" y="37"/>
                              </a:lnTo>
                              <a:lnTo>
                                <a:pt x="342" y="38"/>
                              </a:lnTo>
                              <a:lnTo>
                                <a:pt x="347" y="38"/>
                              </a:lnTo>
                              <a:lnTo>
                                <a:pt x="353" y="38"/>
                              </a:lnTo>
                              <a:lnTo>
                                <a:pt x="359" y="38"/>
                              </a:lnTo>
                              <a:lnTo>
                                <a:pt x="364" y="39"/>
                              </a:lnTo>
                              <a:lnTo>
                                <a:pt x="367" y="39"/>
                              </a:lnTo>
                              <a:lnTo>
                                <a:pt x="368" y="39"/>
                              </a:lnTo>
                              <a:lnTo>
                                <a:pt x="371" y="39"/>
                              </a:lnTo>
                              <a:lnTo>
                                <a:pt x="375" y="39"/>
                              </a:lnTo>
                              <a:lnTo>
                                <a:pt x="381" y="39"/>
                              </a:lnTo>
                              <a:lnTo>
                                <a:pt x="386" y="39"/>
                              </a:lnTo>
                              <a:lnTo>
                                <a:pt x="390" y="40"/>
                              </a:lnTo>
                              <a:lnTo>
                                <a:pt x="394" y="40"/>
                              </a:lnTo>
                              <a:lnTo>
                                <a:pt x="398" y="40"/>
                              </a:lnTo>
                              <a:lnTo>
                                <a:pt x="404" y="40"/>
                              </a:lnTo>
                              <a:lnTo>
                                <a:pt x="409" y="40"/>
                              </a:lnTo>
                              <a:lnTo>
                                <a:pt x="411" y="40"/>
                              </a:lnTo>
                              <a:lnTo>
                                <a:pt x="413" y="40"/>
                              </a:lnTo>
                              <a:lnTo>
                                <a:pt x="417" y="40"/>
                              </a:lnTo>
                              <a:lnTo>
                                <a:pt x="420" y="40"/>
                              </a:lnTo>
                              <a:lnTo>
                                <a:pt x="423" y="40"/>
                              </a:lnTo>
                              <a:lnTo>
                                <a:pt x="428" y="40"/>
                              </a:lnTo>
                              <a:lnTo>
                                <a:pt x="435" y="40"/>
                              </a:lnTo>
                              <a:lnTo>
                                <a:pt x="445" y="40"/>
                              </a:lnTo>
                              <a:lnTo>
                                <a:pt x="452" y="41"/>
                              </a:lnTo>
                              <a:lnTo>
                                <a:pt x="455" y="41"/>
                              </a:lnTo>
                              <a:lnTo>
                                <a:pt x="457" y="41"/>
                              </a:lnTo>
                              <a:lnTo>
                                <a:pt x="459" y="41"/>
                              </a:lnTo>
                              <a:lnTo>
                                <a:pt x="463" y="41"/>
                              </a:lnTo>
                              <a:lnTo>
                                <a:pt x="467" y="41"/>
                              </a:lnTo>
                              <a:lnTo>
                                <a:pt x="471" y="41"/>
                              </a:lnTo>
                              <a:lnTo>
                                <a:pt x="476" y="41"/>
                              </a:lnTo>
                              <a:lnTo>
                                <a:pt x="480" y="41"/>
                              </a:lnTo>
                              <a:lnTo>
                                <a:pt x="485" y="41"/>
                              </a:lnTo>
                              <a:lnTo>
                                <a:pt x="489" y="42"/>
                              </a:lnTo>
                              <a:lnTo>
                                <a:pt x="493" y="42"/>
                              </a:lnTo>
                              <a:lnTo>
                                <a:pt x="496" y="42"/>
                              </a:lnTo>
                              <a:lnTo>
                                <a:pt x="498" y="42"/>
                              </a:lnTo>
                              <a:lnTo>
                                <a:pt x="501" y="42"/>
                              </a:lnTo>
                              <a:lnTo>
                                <a:pt x="504" y="42"/>
                              </a:lnTo>
                              <a:lnTo>
                                <a:pt x="506" y="42"/>
                              </a:lnTo>
                              <a:lnTo>
                                <a:pt x="509" y="42"/>
                              </a:lnTo>
                              <a:lnTo>
                                <a:pt x="513" y="42"/>
                              </a:lnTo>
                              <a:lnTo>
                                <a:pt x="517" y="42"/>
                              </a:lnTo>
                              <a:lnTo>
                                <a:pt x="521" y="42"/>
                              </a:lnTo>
                              <a:lnTo>
                                <a:pt x="525" y="42"/>
                              </a:lnTo>
                              <a:lnTo>
                                <a:pt x="529" y="42"/>
                              </a:lnTo>
                              <a:lnTo>
                                <a:pt x="533" y="42"/>
                              </a:lnTo>
                              <a:lnTo>
                                <a:pt x="537" y="43"/>
                              </a:lnTo>
                              <a:lnTo>
                                <a:pt x="541" y="43"/>
                              </a:lnTo>
                              <a:lnTo>
                                <a:pt x="544" y="43"/>
                              </a:lnTo>
                              <a:lnTo>
                                <a:pt x="547" y="43"/>
                              </a:lnTo>
                              <a:lnTo>
                                <a:pt x="550" y="43"/>
                              </a:lnTo>
                              <a:lnTo>
                                <a:pt x="554" y="43"/>
                              </a:lnTo>
                              <a:lnTo>
                                <a:pt x="559" y="43"/>
                              </a:lnTo>
                              <a:lnTo>
                                <a:pt x="564" y="43"/>
                              </a:lnTo>
                              <a:lnTo>
                                <a:pt x="569" y="43"/>
                              </a:lnTo>
                              <a:lnTo>
                                <a:pt x="573" y="43"/>
                              </a:lnTo>
                              <a:lnTo>
                                <a:pt x="576" y="43"/>
                              </a:lnTo>
                              <a:lnTo>
                                <a:pt x="580" y="43"/>
                              </a:lnTo>
                              <a:lnTo>
                                <a:pt x="584" y="43"/>
                              </a:lnTo>
                              <a:lnTo>
                                <a:pt x="587" y="43"/>
                              </a:lnTo>
                              <a:lnTo>
                                <a:pt x="589" y="43"/>
                              </a:lnTo>
                              <a:lnTo>
                                <a:pt x="592" y="43"/>
                              </a:lnTo>
                              <a:lnTo>
                                <a:pt x="596" y="44"/>
                              </a:lnTo>
                              <a:lnTo>
                                <a:pt x="600" y="44"/>
                              </a:lnTo>
                              <a:lnTo>
                                <a:pt x="603" y="44"/>
                              </a:lnTo>
                              <a:lnTo>
                                <a:pt x="607" y="44"/>
                              </a:lnTo>
                              <a:lnTo>
                                <a:pt x="611" y="44"/>
                              </a:lnTo>
                              <a:lnTo>
                                <a:pt x="615" y="44"/>
                              </a:lnTo>
                              <a:lnTo>
                                <a:pt x="620" y="44"/>
                              </a:lnTo>
                              <a:lnTo>
                                <a:pt x="626" y="44"/>
                              </a:lnTo>
                              <a:lnTo>
                                <a:pt x="630" y="44"/>
                              </a:lnTo>
                              <a:lnTo>
                                <a:pt x="632" y="44"/>
                              </a:lnTo>
                              <a:lnTo>
                                <a:pt x="634" y="44"/>
                              </a:lnTo>
                              <a:lnTo>
                                <a:pt x="636" y="44"/>
                              </a:lnTo>
                              <a:lnTo>
                                <a:pt x="639" y="44"/>
                              </a:lnTo>
                              <a:lnTo>
                                <a:pt x="643" y="44"/>
                              </a:lnTo>
                              <a:lnTo>
                                <a:pt x="649" y="44"/>
                              </a:lnTo>
                              <a:lnTo>
                                <a:pt x="655" y="45"/>
                              </a:lnTo>
                              <a:lnTo>
                                <a:pt x="660" y="45"/>
                              </a:lnTo>
                              <a:lnTo>
                                <a:pt x="666" y="45"/>
                              </a:lnTo>
                              <a:lnTo>
                                <a:pt x="672" y="45"/>
                              </a:lnTo>
                              <a:lnTo>
                                <a:pt x="675" y="45"/>
                              </a:lnTo>
                              <a:lnTo>
                                <a:pt x="680" y="45"/>
                              </a:lnTo>
                              <a:lnTo>
                                <a:pt x="688" y="45"/>
                              </a:lnTo>
                              <a:lnTo>
                                <a:pt x="696" y="45"/>
                              </a:lnTo>
                              <a:lnTo>
                                <a:pt x="702" y="45"/>
                              </a:lnTo>
                              <a:lnTo>
                                <a:pt x="709" y="45"/>
                              </a:lnTo>
                              <a:lnTo>
                                <a:pt x="715" y="45"/>
                              </a:lnTo>
                              <a:lnTo>
                                <a:pt x="719" y="45"/>
                              </a:lnTo>
                              <a:lnTo>
                                <a:pt x="721" y="45"/>
                              </a:lnTo>
                              <a:lnTo>
                                <a:pt x="723" y="45"/>
                              </a:lnTo>
                              <a:lnTo>
                                <a:pt x="726" y="45"/>
                              </a:lnTo>
                              <a:lnTo>
                                <a:pt x="730" y="45"/>
                              </a:lnTo>
                              <a:lnTo>
                                <a:pt x="734" y="45"/>
                              </a:lnTo>
                              <a:lnTo>
                                <a:pt x="738" y="45"/>
                              </a:lnTo>
                              <a:lnTo>
                                <a:pt x="742" y="45"/>
                              </a:lnTo>
                              <a:lnTo>
                                <a:pt x="747" y="45"/>
                              </a:lnTo>
                              <a:lnTo>
                                <a:pt x="753" y="45"/>
                              </a:lnTo>
                              <a:lnTo>
                                <a:pt x="759" y="45"/>
                              </a:lnTo>
                              <a:lnTo>
                                <a:pt x="763" y="45"/>
                              </a:lnTo>
                              <a:lnTo>
                                <a:pt x="767" y="45"/>
                              </a:lnTo>
                              <a:lnTo>
                                <a:pt x="770" y="46"/>
                              </a:lnTo>
                              <a:lnTo>
                                <a:pt x="773" y="46"/>
                              </a:lnTo>
                              <a:lnTo>
                                <a:pt x="775" y="46"/>
                              </a:lnTo>
                              <a:lnTo>
                                <a:pt x="779" y="45"/>
                              </a:lnTo>
                              <a:lnTo>
                                <a:pt x="784" y="45"/>
                              </a:lnTo>
                              <a:lnTo>
                                <a:pt x="789" y="45"/>
                              </a:lnTo>
                              <a:lnTo>
                                <a:pt x="795" y="45"/>
                              </a:lnTo>
                              <a:lnTo>
                                <a:pt x="800" y="45"/>
                              </a:lnTo>
                              <a:lnTo>
                                <a:pt x="805" y="45"/>
                              </a:lnTo>
                              <a:lnTo>
                                <a:pt x="808" y="45"/>
                              </a:lnTo>
                              <a:lnTo>
                                <a:pt x="810" y="45"/>
                              </a:lnTo>
                              <a:lnTo>
                                <a:pt x="814" y="45"/>
                              </a:lnTo>
                              <a:lnTo>
                                <a:pt x="817" y="45"/>
                              </a:lnTo>
                              <a:lnTo>
                                <a:pt x="821" y="45"/>
                              </a:lnTo>
                              <a:lnTo>
                                <a:pt x="825" y="45"/>
                              </a:lnTo>
                              <a:lnTo>
                                <a:pt x="829" y="45"/>
                              </a:lnTo>
                              <a:lnTo>
                                <a:pt x="834" y="46"/>
                              </a:lnTo>
                              <a:lnTo>
                                <a:pt x="839" y="46"/>
                              </a:lnTo>
                              <a:lnTo>
                                <a:pt x="844" y="46"/>
                              </a:lnTo>
                              <a:lnTo>
                                <a:pt x="848" y="46"/>
                              </a:lnTo>
                              <a:lnTo>
                                <a:pt x="853" y="46"/>
                              </a:lnTo>
                              <a:lnTo>
                                <a:pt x="858" y="46"/>
                              </a:lnTo>
                              <a:lnTo>
                                <a:pt x="862" y="46"/>
                              </a:lnTo>
                              <a:lnTo>
                                <a:pt x="865" y="46"/>
                              </a:lnTo>
                              <a:lnTo>
                                <a:pt x="868" y="46"/>
                              </a:lnTo>
                              <a:lnTo>
                                <a:pt x="871" y="46"/>
                              </a:lnTo>
                              <a:lnTo>
                                <a:pt x="876" y="46"/>
                              </a:lnTo>
                              <a:lnTo>
                                <a:pt x="880" y="46"/>
                              </a:lnTo>
                              <a:lnTo>
                                <a:pt x="885" y="46"/>
                              </a:lnTo>
                              <a:lnTo>
                                <a:pt x="891" y="46"/>
                              </a:lnTo>
                              <a:lnTo>
                                <a:pt x="895" y="46"/>
                              </a:lnTo>
                              <a:lnTo>
                                <a:pt x="900" y="46"/>
                              </a:lnTo>
                              <a:lnTo>
                                <a:pt x="905" y="46"/>
                              </a:lnTo>
                              <a:lnTo>
                                <a:pt x="910" y="46"/>
                              </a:lnTo>
                              <a:lnTo>
                                <a:pt x="917" y="46"/>
                              </a:lnTo>
                              <a:lnTo>
                                <a:pt x="925" y="46"/>
                              </a:lnTo>
                              <a:lnTo>
                                <a:pt x="933" y="46"/>
                              </a:lnTo>
                              <a:lnTo>
                                <a:pt x="939" y="46"/>
                              </a:lnTo>
                              <a:lnTo>
                                <a:pt x="943" y="46"/>
                              </a:lnTo>
                              <a:lnTo>
                                <a:pt x="948" y="46"/>
                              </a:lnTo>
                              <a:lnTo>
                                <a:pt x="953" y="46"/>
                              </a:lnTo>
                              <a:lnTo>
                                <a:pt x="958" y="46"/>
                              </a:lnTo>
                              <a:lnTo>
                                <a:pt x="963" y="46"/>
                              </a:lnTo>
                              <a:lnTo>
                                <a:pt x="968" y="46"/>
                              </a:lnTo>
                              <a:lnTo>
                                <a:pt x="974" y="46"/>
                              </a:lnTo>
                              <a:lnTo>
                                <a:pt x="981" y="46"/>
                              </a:lnTo>
                              <a:lnTo>
                                <a:pt x="989" y="46"/>
                              </a:lnTo>
                              <a:lnTo>
                                <a:pt x="996" y="46"/>
                              </a:lnTo>
                              <a:lnTo>
                                <a:pt x="1003" y="46"/>
                              </a:lnTo>
                              <a:lnTo>
                                <a:pt x="1011" y="46"/>
                              </a:lnTo>
                              <a:lnTo>
                                <a:pt x="1018" y="46"/>
                              </a:lnTo>
                              <a:lnTo>
                                <a:pt x="1023" y="46"/>
                              </a:lnTo>
                              <a:lnTo>
                                <a:pt x="1031" y="46"/>
                              </a:lnTo>
                              <a:lnTo>
                                <a:pt x="1039" y="46"/>
                              </a:lnTo>
                              <a:lnTo>
                                <a:pt x="1046" y="46"/>
                              </a:lnTo>
                              <a:lnTo>
                                <a:pt x="1052" y="46"/>
                              </a:lnTo>
                              <a:lnTo>
                                <a:pt x="1058" y="46"/>
                              </a:lnTo>
                              <a:lnTo>
                                <a:pt x="1065" y="46"/>
                              </a:lnTo>
                              <a:lnTo>
                                <a:pt x="1071" y="47"/>
                              </a:lnTo>
                              <a:lnTo>
                                <a:pt x="1076" y="47"/>
                              </a:lnTo>
                              <a:lnTo>
                                <a:pt x="1080" y="47"/>
                              </a:lnTo>
                              <a:lnTo>
                                <a:pt x="1084" y="47"/>
                              </a:lnTo>
                              <a:lnTo>
                                <a:pt x="1089" y="47"/>
                              </a:lnTo>
                              <a:lnTo>
                                <a:pt x="1095" y="47"/>
                              </a:lnTo>
                              <a:lnTo>
                                <a:pt x="1102" y="47"/>
                              </a:lnTo>
                              <a:lnTo>
                                <a:pt x="1109" y="47"/>
                              </a:lnTo>
                              <a:lnTo>
                                <a:pt x="1116" y="47"/>
                              </a:lnTo>
                              <a:lnTo>
                                <a:pt x="1123" y="47"/>
                              </a:lnTo>
                              <a:lnTo>
                                <a:pt x="1130" y="47"/>
                              </a:lnTo>
                              <a:lnTo>
                                <a:pt x="1135" y="47"/>
                              </a:lnTo>
                              <a:lnTo>
                                <a:pt x="1141" y="47"/>
                              </a:lnTo>
                              <a:lnTo>
                                <a:pt x="1149" y="47"/>
                              </a:lnTo>
                              <a:lnTo>
                                <a:pt x="1159" y="47"/>
                              </a:lnTo>
                              <a:lnTo>
                                <a:pt x="1169" y="47"/>
                              </a:lnTo>
                              <a:lnTo>
                                <a:pt x="1176" y="47"/>
                              </a:lnTo>
                              <a:lnTo>
                                <a:pt x="1184" y="47"/>
                              </a:lnTo>
                              <a:lnTo>
                                <a:pt x="1194" y="47"/>
                              </a:lnTo>
                              <a:lnTo>
                                <a:pt x="1201" y="47"/>
                              </a:lnTo>
                              <a:lnTo>
                                <a:pt x="1208" y="47"/>
                              </a:lnTo>
                              <a:lnTo>
                                <a:pt x="1214" y="47"/>
                              </a:lnTo>
                              <a:lnTo>
                                <a:pt x="1224" y="47"/>
                              </a:lnTo>
                              <a:lnTo>
                                <a:pt x="1234" y="47"/>
                              </a:lnTo>
                              <a:lnTo>
                                <a:pt x="1242" y="47"/>
                              </a:lnTo>
                              <a:lnTo>
                                <a:pt x="1247" y="47"/>
                              </a:lnTo>
                              <a:lnTo>
                                <a:pt x="1251" y="47"/>
                              </a:lnTo>
                              <a:lnTo>
                                <a:pt x="1255" y="47"/>
                              </a:lnTo>
                              <a:lnTo>
                                <a:pt x="1262" y="47"/>
                              </a:lnTo>
                              <a:lnTo>
                                <a:pt x="1269" y="48"/>
                              </a:lnTo>
                              <a:lnTo>
                                <a:pt x="1276" y="48"/>
                              </a:lnTo>
                              <a:lnTo>
                                <a:pt x="1282" y="48"/>
                              </a:lnTo>
                              <a:lnTo>
                                <a:pt x="1289" y="48"/>
                              </a:lnTo>
                              <a:lnTo>
                                <a:pt x="1297" y="48"/>
                              </a:lnTo>
                              <a:lnTo>
                                <a:pt x="1306" y="48"/>
                              </a:lnTo>
                              <a:lnTo>
                                <a:pt x="1315" y="48"/>
                              </a:lnTo>
                              <a:lnTo>
                                <a:pt x="1323" y="48"/>
                              </a:lnTo>
                              <a:lnTo>
                                <a:pt x="1331" y="48"/>
                              </a:lnTo>
                              <a:lnTo>
                                <a:pt x="1339" y="48"/>
                              </a:lnTo>
                              <a:lnTo>
                                <a:pt x="1347" y="48"/>
                              </a:lnTo>
                              <a:lnTo>
                                <a:pt x="1354" y="48"/>
                              </a:lnTo>
                              <a:lnTo>
                                <a:pt x="1364" y="48"/>
                              </a:lnTo>
                              <a:lnTo>
                                <a:pt x="1372" y="48"/>
                              </a:lnTo>
                              <a:lnTo>
                                <a:pt x="1375" y="48"/>
                              </a:lnTo>
                              <a:lnTo>
                                <a:pt x="1378" y="48"/>
                              </a:lnTo>
                              <a:lnTo>
                                <a:pt x="1381" y="48"/>
                              </a:lnTo>
                              <a:lnTo>
                                <a:pt x="1384" y="48"/>
                              </a:lnTo>
                              <a:lnTo>
                                <a:pt x="1388" y="48"/>
                              </a:lnTo>
                              <a:lnTo>
                                <a:pt x="1392" y="48"/>
                              </a:lnTo>
                              <a:lnTo>
                                <a:pt x="1397" y="48"/>
                              </a:lnTo>
                              <a:lnTo>
                                <a:pt x="1402" y="48"/>
                              </a:lnTo>
                              <a:lnTo>
                                <a:pt x="1407" y="48"/>
                              </a:lnTo>
                              <a:lnTo>
                                <a:pt x="1413" y="48"/>
                              </a:lnTo>
                              <a:lnTo>
                                <a:pt x="1422" y="48"/>
                              </a:lnTo>
                              <a:lnTo>
                                <a:pt x="1430" y="48"/>
                              </a:lnTo>
                              <a:lnTo>
                                <a:pt x="1435" y="48"/>
                              </a:lnTo>
                              <a:lnTo>
                                <a:pt x="1441" y="48"/>
                              </a:lnTo>
                              <a:lnTo>
                                <a:pt x="1448" y="48"/>
                              </a:lnTo>
                              <a:lnTo>
                                <a:pt x="1454" y="48"/>
                              </a:lnTo>
                              <a:lnTo>
                                <a:pt x="1460" y="48"/>
                              </a:lnTo>
                              <a:lnTo>
                                <a:pt x="1464" y="48"/>
                              </a:lnTo>
                              <a:lnTo>
                                <a:pt x="1470" y="48"/>
                              </a:lnTo>
                              <a:lnTo>
                                <a:pt x="1479" y="48"/>
                              </a:lnTo>
                              <a:lnTo>
                                <a:pt x="1489" y="48"/>
                              </a:lnTo>
                              <a:lnTo>
                                <a:pt x="1498" y="48"/>
                              </a:lnTo>
                              <a:lnTo>
                                <a:pt x="1504" y="48"/>
                              </a:lnTo>
                              <a:lnTo>
                                <a:pt x="1509" y="48"/>
                              </a:lnTo>
                              <a:lnTo>
                                <a:pt x="1513" y="48"/>
                              </a:lnTo>
                              <a:lnTo>
                                <a:pt x="1517" y="48"/>
                              </a:lnTo>
                              <a:lnTo>
                                <a:pt x="1521" y="48"/>
                              </a:lnTo>
                              <a:lnTo>
                                <a:pt x="1524" y="48"/>
                              </a:lnTo>
                              <a:lnTo>
                                <a:pt x="1528" y="48"/>
                              </a:lnTo>
                              <a:lnTo>
                                <a:pt x="1532" y="48"/>
                              </a:lnTo>
                              <a:lnTo>
                                <a:pt x="1537" y="48"/>
                              </a:lnTo>
                              <a:lnTo>
                                <a:pt x="1544" y="48"/>
                              </a:lnTo>
                              <a:lnTo>
                                <a:pt x="1550" y="48"/>
                              </a:lnTo>
                              <a:lnTo>
                                <a:pt x="1558" y="48"/>
                              </a:lnTo>
                              <a:lnTo>
                                <a:pt x="1565" y="48"/>
                              </a:lnTo>
                              <a:lnTo>
                                <a:pt x="1571" y="48"/>
                              </a:lnTo>
                              <a:lnTo>
                                <a:pt x="1576" y="48"/>
                              </a:lnTo>
                              <a:lnTo>
                                <a:pt x="1582" y="48"/>
                              </a:lnTo>
                              <a:lnTo>
                                <a:pt x="1588" y="49"/>
                              </a:lnTo>
                              <a:lnTo>
                                <a:pt x="1592" y="49"/>
                              </a:lnTo>
                              <a:lnTo>
                                <a:pt x="1595" y="49"/>
                              </a:lnTo>
                              <a:lnTo>
                                <a:pt x="1599" y="49"/>
                              </a:lnTo>
                              <a:lnTo>
                                <a:pt x="1605" y="49"/>
                              </a:lnTo>
                              <a:lnTo>
                                <a:pt x="1610" y="49"/>
                              </a:lnTo>
                              <a:lnTo>
                                <a:pt x="1614" y="49"/>
                              </a:lnTo>
                              <a:lnTo>
                                <a:pt x="1617" y="49"/>
                              </a:lnTo>
                              <a:lnTo>
                                <a:pt x="1620" y="49"/>
                              </a:lnTo>
                              <a:lnTo>
                                <a:pt x="1622" y="49"/>
                              </a:lnTo>
                              <a:lnTo>
                                <a:pt x="1625" y="49"/>
                              </a:lnTo>
                              <a:lnTo>
                                <a:pt x="1628" y="49"/>
                              </a:lnTo>
                              <a:lnTo>
                                <a:pt x="1631" y="49"/>
                              </a:lnTo>
                              <a:lnTo>
                                <a:pt x="1633" y="49"/>
                              </a:lnTo>
                              <a:lnTo>
                                <a:pt x="1635" y="49"/>
                              </a:lnTo>
                              <a:lnTo>
                                <a:pt x="1638" y="49"/>
                              </a:lnTo>
                              <a:lnTo>
                                <a:pt x="1642" y="49"/>
                              </a:lnTo>
                              <a:lnTo>
                                <a:pt x="1646" y="49"/>
                              </a:lnTo>
                              <a:lnTo>
                                <a:pt x="1650" y="48"/>
                              </a:lnTo>
                              <a:lnTo>
                                <a:pt x="1653" y="48"/>
                              </a:lnTo>
                              <a:lnTo>
                                <a:pt x="1656" y="48"/>
                              </a:lnTo>
                              <a:lnTo>
                                <a:pt x="1660" y="48"/>
                              </a:lnTo>
                              <a:lnTo>
                                <a:pt x="1662" y="48"/>
                              </a:lnTo>
                              <a:lnTo>
                                <a:pt x="1665" y="48"/>
                              </a:lnTo>
                              <a:lnTo>
                                <a:pt x="1668" y="47"/>
                              </a:lnTo>
                              <a:lnTo>
                                <a:pt x="1672" y="47"/>
                              </a:lnTo>
                              <a:lnTo>
                                <a:pt x="1674" y="47"/>
                              </a:lnTo>
                              <a:lnTo>
                                <a:pt x="1676" y="47"/>
                              </a:lnTo>
                              <a:lnTo>
                                <a:pt x="1677" y="47"/>
                              </a:lnTo>
                              <a:lnTo>
                                <a:pt x="1679" y="47"/>
                              </a:lnTo>
                              <a:lnTo>
                                <a:pt x="1680" y="46"/>
                              </a:lnTo>
                              <a:lnTo>
                                <a:pt x="1681" y="46"/>
                              </a:lnTo>
                              <a:lnTo>
                                <a:pt x="1682" y="46"/>
                              </a:lnTo>
                              <a:lnTo>
                                <a:pt x="1684" y="46"/>
                              </a:lnTo>
                              <a:lnTo>
                                <a:pt x="1687" y="46"/>
                              </a:lnTo>
                              <a:lnTo>
                                <a:pt x="1690" y="46"/>
                              </a:lnTo>
                              <a:lnTo>
                                <a:pt x="1693" y="45"/>
                              </a:lnTo>
                              <a:lnTo>
                                <a:pt x="1697" y="45"/>
                              </a:lnTo>
                              <a:lnTo>
                                <a:pt x="1702" y="44"/>
                              </a:lnTo>
                              <a:lnTo>
                                <a:pt x="1707" y="44"/>
                              </a:lnTo>
                              <a:lnTo>
                                <a:pt x="1712" y="43"/>
                              </a:lnTo>
                              <a:lnTo>
                                <a:pt x="1717" y="43"/>
                              </a:lnTo>
                              <a:lnTo>
                                <a:pt x="1720" y="43"/>
                              </a:lnTo>
                              <a:lnTo>
                                <a:pt x="1721" y="42"/>
                              </a:lnTo>
                              <a:lnTo>
                                <a:pt x="1723" y="42"/>
                              </a:lnTo>
                              <a:lnTo>
                                <a:pt x="1724" y="42"/>
                              </a:lnTo>
                              <a:lnTo>
                                <a:pt x="1725" y="42"/>
                              </a:lnTo>
                              <a:lnTo>
                                <a:pt x="1725" y="42"/>
                              </a:lnTo>
                              <a:lnTo>
                                <a:pt x="1727" y="42"/>
                              </a:lnTo>
                              <a:lnTo>
                                <a:pt x="1731" y="42"/>
                              </a:lnTo>
                              <a:lnTo>
                                <a:pt x="1734" y="41"/>
                              </a:lnTo>
                              <a:lnTo>
                                <a:pt x="1739" y="41"/>
                              </a:lnTo>
                              <a:lnTo>
                                <a:pt x="1745" y="40"/>
                              </a:lnTo>
                              <a:lnTo>
                                <a:pt x="1750" y="40"/>
                              </a:lnTo>
                              <a:lnTo>
                                <a:pt x="1753" y="39"/>
                              </a:lnTo>
                              <a:lnTo>
                                <a:pt x="1758" y="39"/>
                              </a:lnTo>
                              <a:lnTo>
                                <a:pt x="1761" y="38"/>
                              </a:lnTo>
                              <a:lnTo>
                                <a:pt x="1764" y="38"/>
                              </a:lnTo>
                              <a:lnTo>
                                <a:pt x="1765" y="38"/>
                              </a:lnTo>
                              <a:lnTo>
                                <a:pt x="1767" y="38"/>
                              </a:lnTo>
                              <a:lnTo>
                                <a:pt x="1767" y="38"/>
                              </a:lnTo>
                              <a:lnTo>
                                <a:pt x="1768" y="38"/>
                              </a:lnTo>
                              <a:lnTo>
                                <a:pt x="1769" y="38"/>
                              </a:lnTo>
                              <a:lnTo>
                                <a:pt x="1771" y="37"/>
                              </a:lnTo>
                              <a:lnTo>
                                <a:pt x="1775" y="37"/>
                              </a:lnTo>
                              <a:lnTo>
                                <a:pt x="1779" y="36"/>
                              </a:lnTo>
                              <a:lnTo>
                                <a:pt x="1782" y="36"/>
                              </a:lnTo>
                              <a:lnTo>
                                <a:pt x="1785" y="36"/>
                              </a:lnTo>
                              <a:lnTo>
                                <a:pt x="1788" y="35"/>
                              </a:lnTo>
                              <a:lnTo>
                                <a:pt x="1792" y="35"/>
                              </a:lnTo>
                              <a:lnTo>
                                <a:pt x="1796" y="34"/>
                              </a:lnTo>
                              <a:lnTo>
                                <a:pt x="1799" y="34"/>
                              </a:lnTo>
                              <a:lnTo>
                                <a:pt x="1801" y="34"/>
                              </a:lnTo>
                              <a:lnTo>
                                <a:pt x="1803" y="33"/>
                              </a:lnTo>
                              <a:lnTo>
                                <a:pt x="1806" y="33"/>
                              </a:lnTo>
                              <a:lnTo>
                                <a:pt x="1808" y="33"/>
                              </a:lnTo>
                              <a:lnTo>
                                <a:pt x="1810" y="33"/>
                              </a:lnTo>
                              <a:lnTo>
                                <a:pt x="1811" y="33"/>
                              </a:lnTo>
                              <a:lnTo>
                                <a:pt x="1812" y="33"/>
                              </a:lnTo>
                              <a:lnTo>
                                <a:pt x="1815" y="32"/>
                              </a:lnTo>
                              <a:lnTo>
                                <a:pt x="1819" y="32"/>
                              </a:lnTo>
                              <a:lnTo>
                                <a:pt x="1823" y="32"/>
                              </a:lnTo>
                              <a:lnTo>
                                <a:pt x="1826" y="32"/>
                              </a:lnTo>
                              <a:lnTo>
                                <a:pt x="1831" y="32"/>
                              </a:lnTo>
                              <a:lnTo>
                                <a:pt x="1836" y="31"/>
                              </a:lnTo>
                              <a:lnTo>
                                <a:pt x="1840" y="31"/>
                              </a:lnTo>
                              <a:lnTo>
                                <a:pt x="1844" y="31"/>
                              </a:lnTo>
                              <a:lnTo>
                                <a:pt x="1848" y="31"/>
                              </a:lnTo>
                              <a:lnTo>
                                <a:pt x="1851" y="31"/>
                              </a:lnTo>
                              <a:lnTo>
                                <a:pt x="1853" y="30"/>
                              </a:lnTo>
                              <a:lnTo>
                                <a:pt x="1855" y="30"/>
                              </a:lnTo>
                              <a:lnTo>
                                <a:pt x="1856" y="30"/>
                              </a:lnTo>
                              <a:lnTo>
                                <a:pt x="1858" y="30"/>
                              </a:lnTo>
                              <a:lnTo>
                                <a:pt x="1862" y="30"/>
                              </a:lnTo>
                              <a:lnTo>
                                <a:pt x="1865" y="30"/>
                              </a:lnTo>
                              <a:lnTo>
                                <a:pt x="1868" y="30"/>
                              </a:lnTo>
                              <a:lnTo>
                                <a:pt x="1872" y="29"/>
                              </a:lnTo>
                              <a:lnTo>
                                <a:pt x="1875" y="29"/>
                              </a:lnTo>
                              <a:lnTo>
                                <a:pt x="1878" y="29"/>
                              </a:lnTo>
                              <a:lnTo>
                                <a:pt x="1882" y="29"/>
                              </a:lnTo>
                              <a:lnTo>
                                <a:pt x="1888" y="29"/>
                              </a:lnTo>
                              <a:lnTo>
                                <a:pt x="1894" y="29"/>
                              </a:lnTo>
                              <a:lnTo>
                                <a:pt x="1898" y="29"/>
                              </a:lnTo>
                            </a:path>
                          </a:pathLst>
                        </a:cu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76" name="Freeform 165"/>
                        <a:cNvSpPr>
                          <a:spLocks/>
                        </a:cNvSpPr>
                      </a:nvSpPr>
                      <a:spPr bwMode="auto">
                        <a:xfrm>
                          <a:off x="7158945" y="11260810"/>
                          <a:ext cx="1405431" cy="153187"/>
                        </a:xfrm>
                        <a:custGeom>
                          <a:avLst/>
                          <a:gdLst/>
                          <a:ahLst/>
                          <a:cxnLst>
                            <a:cxn ang="0">
                              <a:pos x="26" y="76"/>
                            </a:cxn>
                            <a:cxn ang="0">
                              <a:pos x="48" y="76"/>
                            </a:cxn>
                            <a:cxn ang="0">
                              <a:pos x="80" y="77"/>
                            </a:cxn>
                            <a:cxn ang="0">
                              <a:pos x="105" y="77"/>
                            </a:cxn>
                            <a:cxn ang="0">
                              <a:pos x="134" y="78"/>
                            </a:cxn>
                            <a:cxn ang="0">
                              <a:pos x="163" y="79"/>
                            </a:cxn>
                            <a:cxn ang="0">
                              <a:pos x="189" y="79"/>
                            </a:cxn>
                            <a:cxn ang="0">
                              <a:pos x="222" y="80"/>
                            </a:cxn>
                            <a:cxn ang="0">
                              <a:pos x="256" y="81"/>
                            </a:cxn>
                            <a:cxn ang="0">
                              <a:pos x="293" y="81"/>
                            </a:cxn>
                            <a:cxn ang="0">
                              <a:pos x="316" y="82"/>
                            </a:cxn>
                            <a:cxn ang="0">
                              <a:pos x="341" y="82"/>
                            </a:cxn>
                            <a:cxn ang="0">
                              <a:pos x="376" y="82"/>
                            </a:cxn>
                            <a:cxn ang="0">
                              <a:pos x="415" y="83"/>
                            </a:cxn>
                            <a:cxn ang="0">
                              <a:pos x="430" y="82"/>
                            </a:cxn>
                            <a:cxn ang="0">
                              <a:pos x="437" y="81"/>
                            </a:cxn>
                            <a:cxn ang="0">
                              <a:pos x="442" y="80"/>
                            </a:cxn>
                            <a:cxn ang="0">
                              <a:pos x="451" y="78"/>
                            </a:cxn>
                            <a:cxn ang="0">
                              <a:pos x="458" y="76"/>
                            </a:cxn>
                            <a:cxn ang="0">
                              <a:pos x="465" y="72"/>
                            </a:cxn>
                            <a:cxn ang="0">
                              <a:pos x="472" y="67"/>
                            </a:cxn>
                            <a:cxn ang="0">
                              <a:pos x="478" y="61"/>
                            </a:cxn>
                            <a:cxn ang="0">
                              <a:pos x="481" y="59"/>
                            </a:cxn>
                            <a:cxn ang="0">
                              <a:pos x="488" y="51"/>
                            </a:cxn>
                            <a:cxn ang="0">
                              <a:pos x="509" y="25"/>
                            </a:cxn>
                            <a:cxn ang="0">
                              <a:pos x="522" y="11"/>
                            </a:cxn>
                            <a:cxn ang="0">
                              <a:pos x="528" y="5"/>
                            </a:cxn>
                            <a:cxn ang="0">
                              <a:pos x="538" y="1"/>
                            </a:cxn>
                            <a:cxn ang="0">
                              <a:pos x="547" y="0"/>
                            </a:cxn>
                            <a:cxn ang="0">
                              <a:pos x="558" y="3"/>
                            </a:cxn>
                            <a:cxn ang="0">
                              <a:pos x="567" y="10"/>
                            </a:cxn>
                            <a:cxn ang="0">
                              <a:pos x="576" y="17"/>
                            </a:cxn>
                            <a:cxn ang="0">
                              <a:pos x="602" y="42"/>
                            </a:cxn>
                            <a:cxn ang="0">
                              <a:pos x="612" y="52"/>
                            </a:cxn>
                            <a:cxn ang="0">
                              <a:pos x="617" y="57"/>
                            </a:cxn>
                            <a:cxn ang="0">
                              <a:pos x="630" y="67"/>
                            </a:cxn>
                            <a:cxn ang="0">
                              <a:pos x="641" y="74"/>
                            </a:cxn>
                            <a:cxn ang="0">
                              <a:pos x="652" y="80"/>
                            </a:cxn>
                            <a:cxn ang="0">
                              <a:pos x="657" y="82"/>
                            </a:cxn>
                            <a:cxn ang="0">
                              <a:pos x="665" y="86"/>
                            </a:cxn>
                            <a:cxn ang="0">
                              <a:pos x="678" y="90"/>
                            </a:cxn>
                            <a:cxn ang="0">
                              <a:pos x="690" y="94"/>
                            </a:cxn>
                            <a:cxn ang="0">
                              <a:pos x="700" y="96"/>
                            </a:cxn>
                            <a:cxn ang="0">
                              <a:pos x="708" y="97"/>
                            </a:cxn>
                            <a:cxn ang="0">
                              <a:pos x="722" y="100"/>
                            </a:cxn>
                            <a:cxn ang="0">
                              <a:pos x="741" y="102"/>
                            </a:cxn>
                            <a:cxn ang="0">
                              <a:pos x="750" y="103"/>
                            </a:cxn>
                            <a:cxn ang="0">
                              <a:pos x="772" y="104"/>
                            </a:cxn>
                            <a:cxn ang="0">
                              <a:pos x="788" y="105"/>
                            </a:cxn>
                            <a:cxn ang="0">
                              <a:pos x="806" y="106"/>
                            </a:cxn>
                            <a:cxn ang="0">
                              <a:pos x="833" y="106"/>
                            </a:cxn>
                            <a:cxn ang="0">
                              <a:pos x="866" y="107"/>
                            </a:cxn>
                            <a:cxn ang="0">
                              <a:pos x="892" y="107"/>
                            </a:cxn>
                            <a:cxn ang="0">
                              <a:pos x="944" y="108"/>
                            </a:cxn>
                            <a:cxn ang="0">
                              <a:pos x="990" y="108"/>
                            </a:cxn>
                            <a:cxn ang="0">
                              <a:pos x="1025" y="108"/>
                            </a:cxn>
                            <a:cxn ang="0">
                              <a:pos x="1040" y="108"/>
                            </a:cxn>
                            <a:cxn ang="0">
                              <a:pos x="1053" y="108"/>
                            </a:cxn>
                          </a:cxnLst>
                          <a:rect l="0" t="0" r="r" b="b"/>
                          <a:pathLst>
                            <a:path w="1053" h="108">
                              <a:moveTo>
                                <a:pt x="0" y="77"/>
                              </a:moveTo>
                              <a:lnTo>
                                <a:pt x="2" y="77"/>
                              </a:lnTo>
                              <a:lnTo>
                                <a:pt x="7" y="77"/>
                              </a:lnTo>
                              <a:lnTo>
                                <a:pt x="13" y="76"/>
                              </a:lnTo>
                              <a:lnTo>
                                <a:pt x="19" y="76"/>
                              </a:lnTo>
                              <a:lnTo>
                                <a:pt x="22" y="76"/>
                              </a:lnTo>
                              <a:lnTo>
                                <a:pt x="26" y="76"/>
                              </a:lnTo>
                              <a:lnTo>
                                <a:pt x="30" y="76"/>
                              </a:lnTo>
                              <a:lnTo>
                                <a:pt x="34" y="76"/>
                              </a:lnTo>
                              <a:lnTo>
                                <a:pt x="38" y="76"/>
                              </a:lnTo>
                              <a:lnTo>
                                <a:pt x="41" y="76"/>
                              </a:lnTo>
                              <a:lnTo>
                                <a:pt x="44" y="76"/>
                              </a:lnTo>
                              <a:lnTo>
                                <a:pt x="46" y="76"/>
                              </a:lnTo>
                              <a:lnTo>
                                <a:pt x="48" y="76"/>
                              </a:lnTo>
                              <a:lnTo>
                                <a:pt x="51" y="77"/>
                              </a:lnTo>
                              <a:lnTo>
                                <a:pt x="55" y="77"/>
                              </a:lnTo>
                              <a:lnTo>
                                <a:pt x="58" y="77"/>
                              </a:lnTo>
                              <a:lnTo>
                                <a:pt x="61" y="77"/>
                              </a:lnTo>
                              <a:lnTo>
                                <a:pt x="67" y="77"/>
                              </a:lnTo>
                              <a:lnTo>
                                <a:pt x="75" y="77"/>
                              </a:lnTo>
                              <a:lnTo>
                                <a:pt x="80" y="77"/>
                              </a:lnTo>
                              <a:lnTo>
                                <a:pt x="84" y="77"/>
                              </a:lnTo>
                              <a:lnTo>
                                <a:pt x="87" y="77"/>
                              </a:lnTo>
                              <a:lnTo>
                                <a:pt x="88" y="77"/>
                              </a:lnTo>
                              <a:lnTo>
                                <a:pt x="91" y="77"/>
                              </a:lnTo>
                              <a:lnTo>
                                <a:pt x="95" y="77"/>
                              </a:lnTo>
                              <a:lnTo>
                                <a:pt x="100" y="77"/>
                              </a:lnTo>
                              <a:lnTo>
                                <a:pt x="105" y="77"/>
                              </a:lnTo>
                              <a:lnTo>
                                <a:pt x="109" y="77"/>
                              </a:lnTo>
                              <a:lnTo>
                                <a:pt x="113" y="78"/>
                              </a:lnTo>
                              <a:lnTo>
                                <a:pt x="117" y="78"/>
                              </a:lnTo>
                              <a:lnTo>
                                <a:pt x="123" y="78"/>
                              </a:lnTo>
                              <a:lnTo>
                                <a:pt x="128" y="78"/>
                              </a:lnTo>
                              <a:lnTo>
                                <a:pt x="131" y="78"/>
                              </a:lnTo>
                              <a:lnTo>
                                <a:pt x="134" y="78"/>
                              </a:lnTo>
                              <a:lnTo>
                                <a:pt x="135" y="78"/>
                              </a:lnTo>
                              <a:lnTo>
                                <a:pt x="138" y="78"/>
                              </a:lnTo>
                              <a:lnTo>
                                <a:pt x="142" y="78"/>
                              </a:lnTo>
                              <a:lnTo>
                                <a:pt x="145" y="78"/>
                              </a:lnTo>
                              <a:lnTo>
                                <a:pt x="150" y="78"/>
                              </a:lnTo>
                              <a:lnTo>
                                <a:pt x="156" y="78"/>
                              </a:lnTo>
                              <a:lnTo>
                                <a:pt x="163" y="79"/>
                              </a:lnTo>
                              <a:lnTo>
                                <a:pt x="169" y="79"/>
                              </a:lnTo>
                              <a:lnTo>
                                <a:pt x="173" y="79"/>
                              </a:lnTo>
                              <a:lnTo>
                                <a:pt x="176" y="79"/>
                              </a:lnTo>
                              <a:lnTo>
                                <a:pt x="178" y="79"/>
                              </a:lnTo>
                              <a:lnTo>
                                <a:pt x="181" y="79"/>
                              </a:lnTo>
                              <a:lnTo>
                                <a:pt x="185" y="79"/>
                              </a:lnTo>
                              <a:lnTo>
                                <a:pt x="189" y="79"/>
                              </a:lnTo>
                              <a:lnTo>
                                <a:pt x="194" y="79"/>
                              </a:lnTo>
                              <a:lnTo>
                                <a:pt x="199" y="79"/>
                              </a:lnTo>
                              <a:lnTo>
                                <a:pt x="205" y="80"/>
                              </a:lnTo>
                              <a:lnTo>
                                <a:pt x="211" y="80"/>
                              </a:lnTo>
                              <a:lnTo>
                                <a:pt x="216" y="80"/>
                              </a:lnTo>
                              <a:lnTo>
                                <a:pt x="219" y="80"/>
                              </a:lnTo>
                              <a:lnTo>
                                <a:pt x="222" y="80"/>
                              </a:lnTo>
                              <a:lnTo>
                                <a:pt x="226" y="80"/>
                              </a:lnTo>
                              <a:lnTo>
                                <a:pt x="230" y="80"/>
                              </a:lnTo>
                              <a:lnTo>
                                <a:pt x="234" y="80"/>
                              </a:lnTo>
                              <a:lnTo>
                                <a:pt x="238" y="80"/>
                              </a:lnTo>
                              <a:lnTo>
                                <a:pt x="245" y="80"/>
                              </a:lnTo>
                              <a:lnTo>
                                <a:pt x="251" y="81"/>
                              </a:lnTo>
                              <a:lnTo>
                                <a:pt x="256" y="81"/>
                              </a:lnTo>
                              <a:lnTo>
                                <a:pt x="261" y="81"/>
                              </a:lnTo>
                              <a:lnTo>
                                <a:pt x="265" y="81"/>
                              </a:lnTo>
                              <a:lnTo>
                                <a:pt x="270" y="81"/>
                              </a:lnTo>
                              <a:lnTo>
                                <a:pt x="275" y="81"/>
                              </a:lnTo>
                              <a:lnTo>
                                <a:pt x="281" y="81"/>
                              </a:lnTo>
                              <a:lnTo>
                                <a:pt x="286" y="81"/>
                              </a:lnTo>
                              <a:lnTo>
                                <a:pt x="293" y="81"/>
                              </a:lnTo>
                              <a:lnTo>
                                <a:pt x="301" y="81"/>
                              </a:lnTo>
                              <a:lnTo>
                                <a:pt x="305" y="82"/>
                              </a:lnTo>
                              <a:lnTo>
                                <a:pt x="307" y="82"/>
                              </a:lnTo>
                              <a:lnTo>
                                <a:pt x="309" y="82"/>
                              </a:lnTo>
                              <a:lnTo>
                                <a:pt x="311" y="82"/>
                              </a:lnTo>
                              <a:lnTo>
                                <a:pt x="314" y="82"/>
                              </a:lnTo>
                              <a:lnTo>
                                <a:pt x="316" y="82"/>
                              </a:lnTo>
                              <a:lnTo>
                                <a:pt x="319" y="82"/>
                              </a:lnTo>
                              <a:lnTo>
                                <a:pt x="321" y="82"/>
                              </a:lnTo>
                              <a:lnTo>
                                <a:pt x="324" y="82"/>
                              </a:lnTo>
                              <a:lnTo>
                                <a:pt x="328" y="82"/>
                              </a:lnTo>
                              <a:lnTo>
                                <a:pt x="332" y="82"/>
                              </a:lnTo>
                              <a:lnTo>
                                <a:pt x="337" y="82"/>
                              </a:lnTo>
                              <a:lnTo>
                                <a:pt x="341" y="82"/>
                              </a:lnTo>
                              <a:lnTo>
                                <a:pt x="347" y="82"/>
                              </a:lnTo>
                              <a:lnTo>
                                <a:pt x="351" y="82"/>
                              </a:lnTo>
                              <a:lnTo>
                                <a:pt x="354" y="82"/>
                              </a:lnTo>
                              <a:lnTo>
                                <a:pt x="357" y="82"/>
                              </a:lnTo>
                              <a:lnTo>
                                <a:pt x="361" y="82"/>
                              </a:lnTo>
                              <a:lnTo>
                                <a:pt x="368" y="82"/>
                              </a:lnTo>
                              <a:lnTo>
                                <a:pt x="376" y="82"/>
                              </a:lnTo>
                              <a:lnTo>
                                <a:pt x="383" y="83"/>
                              </a:lnTo>
                              <a:lnTo>
                                <a:pt x="393" y="83"/>
                              </a:lnTo>
                              <a:lnTo>
                                <a:pt x="401" y="83"/>
                              </a:lnTo>
                              <a:lnTo>
                                <a:pt x="405" y="83"/>
                              </a:lnTo>
                              <a:lnTo>
                                <a:pt x="409" y="83"/>
                              </a:lnTo>
                              <a:lnTo>
                                <a:pt x="413" y="83"/>
                              </a:lnTo>
                              <a:lnTo>
                                <a:pt x="415" y="83"/>
                              </a:lnTo>
                              <a:lnTo>
                                <a:pt x="418" y="83"/>
                              </a:lnTo>
                              <a:lnTo>
                                <a:pt x="420" y="83"/>
                              </a:lnTo>
                              <a:lnTo>
                                <a:pt x="422" y="83"/>
                              </a:lnTo>
                              <a:lnTo>
                                <a:pt x="424" y="82"/>
                              </a:lnTo>
                              <a:lnTo>
                                <a:pt x="426" y="82"/>
                              </a:lnTo>
                              <a:lnTo>
                                <a:pt x="428" y="82"/>
                              </a:lnTo>
                              <a:lnTo>
                                <a:pt x="430" y="82"/>
                              </a:lnTo>
                              <a:lnTo>
                                <a:pt x="431" y="82"/>
                              </a:lnTo>
                              <a:lnTo>
                                <a:pt x="433" y="82"/>
                              </a:lnTo>
                              <a:lnTo>
                                <a:pt x="434" y="82"/>
                              </a:lnTo>
                              <a:lnTo>
                                <a:pt x="435" y="82"/>
                              </a:lnTo>
                              <a:lnTo>
                                <a:pt x="435" y="82"/>
                              </a:lnTo>
                              <a:lnTo>
                                <a:pt x="436" y="81"/>
                              </a:lnTo>
                              <a:lnTo>
                                <a:pt x="437" y="81"/>
                              </a:lnTo>
                              <a:lnTo>
                                <a:pt x="437" y="81"/>
                              </a:lnTo>
                              <a:lnTo>
                                <a:pt x="438" y="81"/>
                              </a:lnTo>
                              <a:lnTo>
                                <a:pt x="438" y="81"/>
                              </a:lnTo>
                              <a:lnTo>
                                <a:pt x="439" y="81"/>
                              </a:lnTo>
                              <a:lnTo>
                                <a:pt x="440" y="81"/>
                              </a:lnTo>
                              <a:lnTo>
                                <a:pt x="441" y="81"/>
                              </a:lnTo>
                              <a:lnTo>
                                <a:pt x="442" y="80"/>
                              </a:lnTo>
                              <a:lnTo>
                                <a:pt x="443" y="80"/>
                              </a:lnTo>
                              <a:lnTo>
                                <a:pt x="444" y="80"/>
                              </a:lnTo>
                              <a:lnTo>
                                <a:pt x="446" y="80"/>
                              </a:lnTo>
                              <a:lnTo>
                                <a:pt x="447" y="79"/>
                              </a:lnTo>
                              <a:lnTo>
                                <a:pt x="448" y="79"/>
                              </a:lnTo>
                              <a:lnTo>
                                <a:pt x="449" y="79"/>
                              </a:lnTo>
                              <a:lnTo>
                                <a:pt x="451" y="78"/>
                              </a:lnTo>
                              <a:lnTo>
                                <a:pt x="452" y="78"/>
                              </a:lnTo>
                              <a:lnTo>
                                <a:pt x="453" y="78"/>
                              </a:lnTo>
                              <a:lnTo>
                                <a:pt x="454" y="77"/>
                              </a:lnTo>
                              <a:lnTo>
                                <a:pt x="455" y="77"/>
                              </a:lnTo>
                              <a:lnTo>
                                <a:pt x="456" y="76"/>
                              </a:lnTo>
                              <a:lnTo>
                                <a:pt x="457" y="76"/>
                              </a:lnTo>
                              <a:lnTo>
                                <a:pt x="458" y="76"/>
                              </a:lnTo>
                              <a:lnTo>
                                <a:pt x="459" y="75"/>
                              </a:lnTo>
                              <a:lnTo>
                                <a:pt x="460" y="75"/>
                              </a:lnTo>
                              <a:lnTo>
                                <a:pt x="461" y="74"/>
                              </a:lnTo>
                              <a:lnTo>
                                <a:pt x="462" y="74"/>
                              </a:lnTo>
                              <a:lnTo>
                                <a:pt x="463" y="73"/>
                              </a:lnTo>
                              <a:lnTo>
                                <a:pt x="464" y="73"/>
                              </a:lnTo>
                              <a:lnTo>
                                <a:pt x="465" y="72"/>
                              </a:lnTo>
                              <a:lnTo>
                                <a:pt x="466" y="72"/>
                              </a:lnTo>
                              <a:lnTo>
                                <a:pt x="466" y="71"/>
                              </a:lnTo>
                              <a:lnTo>
                                <a:pt x="467" y="71"/>
                              </a:lnTo>
                              <a:lnTo>
                                <a:pt x="468" y="70"/>
                              </a:lnTo>
                              <a:lnTo>
                                <a:pt x="470" y="69"/>
                              </a:lnTo>
                              <a:lnTo>
                                <a:pt x="471" y="68"/>
                              </a:lnTo>
                              <a:lnTo>
                                <a:pt x="472" y="67"/>
                              </a:lnTo>
                              <a:lnTo>
                                <a:pt x="473" y="66"/>
                              </a:lnTo>
                              <a:lnTo>
                                <a:pt x="474" y="65"/>
                              </a:lnTo>
                              <a:lnTo>
                                <a:pt x="476" y="64"/>
                              </a:lnTo>
                              <a:lnTo>
                                <a:pt x="477" y="63"/>
                              </a:lnTo>
                              <a:lnTo>
                                <a:pt x="477" y="63"/>
                              </a:lnTo>
                              <a:lnTo>
                                <a:pt x="478" y="62"/>
                              </a:lnTo>
                              <a:lnTo>
                                <a:pt x="478" y="61"/>
                              </a:lnTo>
                              <a:lnTo>
                                <a:pt x="479" y="61"/>
                              </a:lnTo>
                              <a:lnTo>
                                <a:pt x="479" y="61"/>
                              </a:lnTo>
                              <a:lnTo>
                                <a:pt x="480" y="60"/>
                              </a:lnTo>
                              <a:lnTo>
                                <a:pt x="480" y="60"/>
                              </a:lnTo>
                              <a:lnTo>
                                <a:pt x="481" y="59"/>
                              </a:lnTo>
                              <a:lnTo>
                                <a:pt x="481" y="59"/>
                              </a:lnTo>
                              <a:lnTo>
                                <a:pt x="481" y="59"/>
                              </a:lnTo>
                              <a:lnTo>
                                <a:pt x="481" y="58"/>
                              </a:lnTo>
                              <a:lnTo>
                                <a:pt x="482" y="58"/>
                              </a:lnTo>
                              <a:lnTo>
                                <a:pt x="482" y="57"/>
                              </a:lnTo>
                              <a:lnTo>
                                <a:pt x="484" y="56"/>
                              </a:lnTo>
                              <a:lnTo>
                                <a:pt x="485" y="54"/>
                              </a:lnTo>
                              <a:lnTo>
                                <a:pt x="487" y="52"/>
                              </a:lnTo>
                              <a:lnTo>
                                <a:pt x="488" y="51"/>
                              </a:lnTo>
                              <a:lnTo>
                                <a:pt x="490" y="48"/>
                              </a:lnTo>
                              <a:lnTo>
                                <a:pt x="492" y="46"/>
                              </a:lnTo>
                              <a:lnTo>
                                <a:pt x="495" y="43"/>
                              </a:lnTo>
                              <a:lnTo>
                                <a:pt x="498" y="38"/>
                              </a:lnTo>
                              <a:lnTo>
                                <a:pt x="503" y="33"/>
                              </a:lnTo>
                              <a:lnTo>
                                <a:pt x="506" y="28"/>
                              </a:lnTo>
                              <a:lnTo>
                                <a:pt x="509" y="25"/>
                              </a:lnTo>
                              <a:lnTo>
                                <a:pt x="511" y="22"/>
                              </a:lnTo>
                              <a:lnTo>
                                <a:pt x="513" y="20"/>
                              </a:lnTo>
                              <a:lnTo>
                                <a:pt x="515" y="17"/>
                              </a:lnTo>
                              <a:lnTo>
                                <a:pt x="517" y="15"/>
                              </a:lnTo>
                              <a:lnTo>
                                <a:pt x="519" y="13"/>
                              </a:lnTo>
                              <a:lnTo>
                                <a:pt x="520" y="12"/>
                              </a:lnTo>
                              <a:lnTo>
                                <a:pt x="522" y="11"/>
                              </a:lnTo>
                              <a:lnTo>
                                <a:pt x="523" y="10"/>
                              </a:lnTo>
                              <a:lnTo>
                                <a:pt x="523" y="9"/>
                              </a:lnTo>
                              <a:lnTo>
                                <a:pt x="524" y="9"/>
                              </a:lnTo>
                              <a:lnTo>
                                <a:pt x="524" y="8"/>
                              </a:lnTo>
                              <a:lnTo>
                                <a:pt x="525" y="8"/>
                              </a:lnTo>
                              <a:lnTo>
                                <a:pt x="527" y="6"/>
                              </a:lnTo>
                              <a:lnTo>
                                <a:pt x="528" y="5"/>
                              </a:lnTo>
                              <a:lnTo>
                                <a:pt x="530" y="4"/>
                              </a:lnTo>
                              <a:lnTo>
                                <a:pt x="531" y="4"/>
                              </a:lnTo>
                              <a:lnTo>
                                <a:pt x="532" y="3"/>
                              </a:lnTo>
                              <a:lnTo>
                                <a:pt x="534" y="2"/>
                              </a:lnTo>
                              <a:lnTo>
                                <a:pt x="535" y="2"/>
                              </a:lnTo>
                              <a:lnTo>
                                <a:pt x="536" y="1"/>
                              </a:lnTo>
                              <a:lnTo>
                                <a:pt x="538" y="1"/>
                              </a:lnTo>
                              <a:lnTo>
                                <a:pt x="539" y="0"/>
                              </a:lnTo>
                              <a:lnTo>
                                <a:pt x="540" y="0"/>
                              </a:lnTo>
                              <a:lnTo>
                                <a:pt x="542" y="0"/>
                              </a:lnTo>
                              <a:lnTo>
                                <a:pt x="543" y="0"/>
                              </a:lnTo>
                              <a:lnTo>
                                <a:pt x="544" y="0"/>
                              </a:lnTo>
                              <a:lnTo>
                                <a:pt x="546" y="0"/>
                              </a:lnTo>
                              <a:lnTo>
                                <a:pt x="547" y="0"/>
                              </a:lnTo>
                              <a:lnTo>
                                <a:pt x="549" y="0"/>
                              </a:lnTo>
                              <a:lnTo>
                                <a:pt x="550" y="0"/>
                              </a:lnTo>
                              <a:lnTo>
                                <a:pt x="552" y="1"/>
                              </a:lnTo>
                              <a:lnTo>
                                <a:pt x="553" y="1"/>
                              </a:lnTo>
                              <a:lnTo>
                                <a:pt x="555" y="2"/>
                              </a:lnTo>
                              <a:lnTo>
                                <a:pt x="556" y="2"/>
                              </a:lnTo>
                              <a:lnTo>
                                <a:pt x="558" y="3"/>
                              </a:lnTo>
                              <a:lnTo>
                                <a:pt x="560" y="4"/>
                              </a:lnTo>
                              <a:lnTo>
                                <a:pt x="561" y="5"/>
                              </a:lnTo>
                              <a:lnTo>
                                <a:pt x="563" y="6"/>
                              </a:lnTo>
                              <a:lnTo>
                                <a:pt x="565" y="7"/>
                              </a:lnTo>
                              <a:lnTo>
                                <a:pt x="566" y="8"/>
                              </a:lnTo>
                              <a:lnTo>
                                <a:pt x="567" y="9"/>
                              </a:lnTo>
                              <a:lnTo>
                                <a:pt x="567" y="10"/>
                              </a:lnTo>
                              <a:lnTo>
                                <a:pt x="568" y="10"/>
                              </a:lnTo>
                              <a:lnTo>
                                <a:pt x="569" y="11"/>
                              </a:lnTo>
                              <a:lnTo>
                                <a:pt x="569" y="11"/>
                              </a:lnTo>
                              <a:lnTo>
                                <a:pt x="570" y="11"/>
                              </a:lnTo>
                              <a:lnTo>
                                <a:pt x="571" y="13"/>
                              </a:lnTo>
                              <a:lnTo>
                                <a:pt x="574" y="15"/>
                              </a:lnTo>
                              <a:lnTo>
                                <a:pt x="576" y="17"/>
                              </a:lnTo>
                              <a:lnTo>
                                <a:pt x="579" y="19"/>
                              </a:lnTo>
                              <a:lnTo>
                                <a:pt x="581" y="22"/>
                              </a:lnTo>
                              <a:lnTo>
                                <a:pt x="585" y="25"/>
                              </a:lnTo>
                              <a:lnTo>
                                <a:pt x="589" y="29"/>
                              </a:lnTo>
                              <a:lnTo>
                                <a:pt x="594" y="35"/>
                              </a:lnTo>
                              <a:lnTo>
                                <a:pt x="599" y="39"/>
                              </a:lnTo>
                              <a:lnTo>
                                <a:pt x="602" y="42"/>
                              </a:lnTo>
                              <a:lnTo>
                                <a:pt x="605" y="45"/>
                              </a:lnTo>
                              <a:lnTo>
                                <a:pt x="607" y="47"/>
                              </a:lnTo>
                              <a:lnTo>
                                <a:pt x="608" y="49"/>
                              </a:lnTo>
                              <a:lnTo>
                                <a:pt x="609" y="50"/>
                              </a:lnTo>
                              <a:lnTo>
                                <a:pt x="610" y="51"/>
                              </a:lnTo>
                              <a:lnTo>
                                <a:pt x="611" y="51"/>
                              </a:lnTo>
                              <a:lnTo>
                                <a:pt x="612" y="52"/>
                              </a:lnTo>
                              <a:lnTo>
                                <a:pt x="612" y="52"/>
                              </a:lnTo>
                              <a:lnTo>
                                <a:pt x="613" y="53"/>
                              </a:lnTo>
                              <a:lnTo>
                                <a:pt x="613" y="53"/>
                              </a:lnTo>
                              <a:lnTo>
                                <a:pt x="614" y="54"/>
                              </a:lnTo>
                              <a:lnTo>
                                <a:pt x="614" y="54"/>
                              </a:lnTo>
                              <a:lnTo>
                                <a:pt x="615" y="55"/>
                              </a:lnTo>
                              <a:lnTo>
                                <a:pt x="617" y="57"/>
                              </a:lnTo>
                              <a:lnTo>
                                <a:pt x="619" y="58"/>
                              </a:lnTo>
                              <a:lnTo>
                                <a:pt x="621" y="60"/>
                              </a:lnTo>
                              <a:lnTo>
                                <a:pt x="623" y="61"/>
                              </a:lnTo>
                              <a:lnTo>
                                <a:pt x="624" y="63"/>
                              </a:lnTo>
                              <a:lnTo>
                                <a:pt x="626" y="64"/>
                              </a:lnTo>
                              <a:lnTo>
                                <a:pt x="628" y="65"/>
                              </a:lnTo>
                              <a:lnTo>
                                <a:pt x="630" y="67"/>
                              </a:lnTo>
                              <a:lnTo>
                                <a:pt x="632" y="68"/>
                              </a:lnTo>
                              <a:lnTo>
                                <a:pt x="634" y="69"/>
                              </a:lnTo>
                              <a:lnTo>
                                <a:pt x="635" y="70"/>
                              </a:lnTo>
                              <a:lnTo>
                                <a:pt x="637" y="71"/>
                              </a:lnTo>
                              <a:lnTo>
                                <a:pt x="638" y="72"/>
                              </a:lnTo>
                              <a:lnTo>
                                <a:pt x="640" y="73"/>
                              </a:lnTo>
                              <a:lnTo>
                                <a:pt x="641" y="74"/>
                              </a:lnTo>
                              <a:lnTo>
                                <a:pt x="643" y="75"/>
                              </a:lnTo>
                              <a:lnTo>
                                <a:pt x="644" y="76"/>
                              </a:lnTo>
                              <a:lnTo>
                                <a:pt x="646" y="77"/>
                              </a:lnTo>
                              <a:lnTo>
                                <a:pt x="647" y="78"/>
                              </a:lnTo>
                              <a:lnTo>
                                <a:pt x="649" y="79"/>
                              </a:lnTo>
                              <a:lnTo>
                                <a:pt x="651" y="79"/>
                              </a:lnTo>
                              <a:lnTo>
                                <a:pt x="652" y="80"/>
                              </a:lnTo>
                              <a:lnTo>
                                <a:pt x="653" y="80"/>
                              </a:lnTo>
                              <a:lnTo>
                                <a:pt x="654" y="81"/>
                              </a:lnTo>
                              <a:lnTo>
                                <a:pt x="655" y="81"/>
                              </a:lnTo>
                              <a:lnTo>
                                <a:pt x="655" y="81"/>
                              </a:lnTo>
                              <a:lnTo>
                                <a:pt x="656" y="82"/>
                              </a:lnTo>
                              <a:lnTo>
                                <a:pt x="656" y="82"/>
                              </a:lnTo>
                              <a:lnTo>
                                <a:pt x="657" y="82"/>
                              </a:lnTo>
                              <a:lnTo>
                                <a:pt x="657" y="82"/>
                              </a:lnTo>
                              <a:lnTo>
                                <a:pt x="657" y="82"/>
                              </a:lnTo>
                              <a:lnTo>
                                <a:pt x="658" y="83"/>
                              </a:lnTo>
                              <a:lnTo>
                                <a:pt x="660" y="84"/>
                              </a:lnTo>
                              <a:lnTo>
                                <a:pt x="662" y="84"/>
                              </a:lnTo>
                              <a:lnTo>
                                <a:pt x="664" y="85"/>
                              </a:lnTo>
                              <a:lnTo>
                                <a:pt x="665" y="86"/>
                              </a:lnTo>
                              <a:lnTo>
                                <a:pt x="667" y="86"/>
                              </a:lnTo>
                              <a:lnTo>
                                <a:pt x="669" y="87"/>
                              </a:lnTo>
                              <a:lnTo>
                                <a:pt x="671" y="88"/>
                              </a:lnTo>
                              <a:lnTo>
                                <a:pt x="673" y="89"/>
                              </a:lnTo>
                              <a:lnTo>
                                <a:pt x="675" y="89"/>
                              </a:lnTo>
                              <a:lnTo>
                                <a:pt x="676" y="90"/>
                              </a:lnTo>
                              <a:lnTo>
                                <a:pt x="678" y="90"/>
                              </a:lnTo>
                              <a:lnTo>
                                <a:pt x="680" y="91"/>
                              </a:lnTo>
                              <a:lnTo>
                                <a:pt x="681" y="91"/>
                              </a:lnTo>
                              <a:lnTo>
                                <a:pt x="683" y="92"/>
                              </a:lnTo>
                              <a:lnTo>
                                <a:pt x="685" y="92"/>
                              </a:lnTo>
                              <a:lnTo>
                                <a:pt x="687" y="93"/>
                              </a:lnTo>
                              <a:lnTo>
                                <a:pt x="688" y="93"/>
                              </a:lnTo>
                              <a:lnTo>
                                <a:pt x="690" y="94"/>
                              </a:lnTo>
                              <a:lnTo>
                                <a:pt x="692" y="94"/>
                              </a:lnTo>
                              <a:lnTo>
                                <a:pt x="694" y="95"/>
                              </a:lnTo>
                              <a:lnTo>
                                <a:pt x="696" y="95"/>
                              </a:lnTo>
                              <a:lnTo>
                                <a:pt x="697" y="95"/>
                              </a:lnTo>
                              <a:lnTo>
                                <a:pt x="698" y="95"/>
                              </a:lnTo>
                              <a:lnTo>
                                <a:pt x="699" y="96"/>
                              </a:lnTo>
                              <a:lnTo>
                                <a:pt x="700" y="96"/>
                              </a:lnTo>
                              <a:lnTo>
                                <a:pt x="701" y="96"/>
                              </a:lnTo>
                              <a:lnTo>
                                <a:pt x="701" y="96"/>
                              </a:lnTo>
                              <a:lnTo>
                                <a:pt x="701" y="96"/>
                              </a:lnTo>
                              <a:lnTo>
                                <a:pt x="703" y="96"/>
                              </a:lnTo>
                              <a:lnTo>
                                <a:pt x="705" y="97"/>
                              </a:lnTo>
                              <a:lnTo>
                                <a:pt x="706" y="97"/>
                              </a:lnTo>
                              <a:lnTo>
                                <a:pt x="708" y="97"/>
                              </a:lnTo>
                              <a:lnTo>
                                <a:pt x="710" y="98"/>
                              </a:lnTo>
                              <a:lnTo>
                                <a:pt x="712" y="98"/>
                              </a:lnTo>
                              <a:lnTo>
                                <a:pt x="714" y="98"/>
                              </a:lnTo>
                              <a:lnTo>
                                <a:pt x="716" y="99"/>
                              </a:lnTo>
                              <a:lnTo>
                                <a:pt x="718" y="99"/>
                              </a:lnTo>
                              <a:lnTo>
                                <a:pt x="720" y="99"/>
                              </a:lnTo>
                              <a:lnTo>
                                <a:pt x="722" y="100"/>
                              </a:lnTo>
                              <a:lnTo>
                                <a:pt x="725" y="100"/>
                              </a:lnTo>
                              <a:lnTo>
                                <a:pt x="728" y="100"/>
                              </a:lnTo>
                              <a:lnTo>
                                <a:pt x="731" y="101"/>
                              </a:lnTo>
                              <a:lnTo>
                                <a:pt x="734" y="101"/>
                              </a:lnTo>
                              <a:lnTo>
                                <a:pt x="737" y="101"/>
                              </a:lnTo>
                              <a:lnTo>
                                <a:pt x="739" y="102"/>
                              </a:lnTo>
                              <a:lnTo>
                                <a:pt x="741" y="102"/>
                              </a:lnTo>
                              <a:lnTo>
                                <a:pt x="742" y="102"/>
                              </a:lnTo>
                              <a:lnTo>
                                <a:pt x="743" y="102"/>
                              </a:lnTo>
                              <a:lnTo>
                                <a:pt x="744" y="102"/>
                              </a:lnTo>
                              <a:lnTo>
                                <a:pt x="745" y="102"/>
                              </a:lnTo>
                              <a:lnTo>
                                <a:pt x="746" y="102"/>
                              </a:lnTo>
                              <a:lnTo>
                                <a:pt x="748" y="103"/>
                              </a:lnTo>
                              <a:lnTo>
                                <a:pt x="750" y="103"/>
                              </a:lnTo>
                              <a:lnTo>
                                <a:pt x="753" y="103"/>
                              </a:lnTo>
                              <a:lnTo>
                                <a:pt x="756" y="103"/>
                              </a:lnTo>
                              <a:lnTo>
                                <a:pt x="759" y="103"/>
                              </a:lnTo>
                              <a:lnTo>
                                <a:pt x="762" y="104"/>
                              </a:lnTo>
                              <a:lnTo>
                                <a:pt x="765" y="104"/>
                              </a:lnTo>
                              <a:lnTo>
                                <a:pt x="768" y="104"/>
                              </a:lnTo>
                              <a:lnTo>
                                <a:pt x="772" y="104"/>
                              </a:lnTo>
                              <a:lnTo>
                                <a:pt x="776" y="104"/>
                              </a:lnTo>
                              <a:lnTo>
                                <a:pt x="780" y="105"/>
                              </a:lnTo>
                              <a:lnTo>
                                <a:pt x="783" y="105"/>
                              </a:lnTo>
                              <a:lnTo>
                                <a:pt x="785" y="105"/>
                              </a:lnTo>
                              <a:lnTo>
                                <a:pt x="787" y="105"/>
                              </a:lnTo>
                              <a:lnTo>
                                <a:pt x="788" y="105"/>
                              </a:lnTo>
                              <a:lnTo>
                                <a:pt x="788" y="105"/>
                              </a:lnTo>
                              <a:lnTo>
                                <a:pt x="790" y="105"/>
                              </a:lnTo>
                              <a:lnTo>
                                <a:pt x="792" y="105"/>
                              </a:lnTo>
                              <a:lnTo>
                                <a:pt x="793" y="105"/>
                              </a:lnTo>
                              <a:lnTo>
                                <a:pt x="796" y="105"/>
                              </a:lnTo>
                              <a:lnTo>
                                <a:pt x="799" y="105"/>
                              </a:lnTo>
                              <a:lnTo>
                                <a:pt x="802" y="106"/>
                              </a:lnTo>
                              <a:lnTo>
                                <a:pt x="806" y="106"/>
                              </a:lnTo>
                              <a:lnTo>
                                <a:pt x="810" y="106"/>
                              </a:lnTo>
                              <a:lnTo>
                                <a:pt x="816" y="106"/>
                              </a:lnTo>
                              <a:lnTo>
                                <a:pt x="821" y="106"/>
                              </a:lnTo>
                              <a:lnTo>
                                <a:pt x="826" y="106"/>
                              </a:lnTo>
                              <a:lnTo>
                                <a:pt x="830" y="106"/>
                              </a:lnTo>
                              <a:lnTo>
                                <a:pt x="831" y="106"/>
                              </a:lnTo>
                              <a:lnTo>
                                <a:pt x="833" y="106"/>
                              </a:lnTo>
                              <a:lnTo>
                                <a:pt x="835" y="106"/>
                              </a:lnTo>
                              <a:lnTo>
                                <a:pt x="839" y="106"/>
                              </a:lnTo>
                              <a:lnTo>
                                <a:pt x="842" y="107"/>
                              </a:lnTo>
                              <a:lnTo>
                                <a:pt x="847" y="107"/>
                              </a:lnTo>
                              <a:lnTo>
                                <a:pt x="854" y="107"/>
                              </a:lnTo>
                              <a:lnTo>
                                <a:pt x="860" y="107"/>
                              </a:lnTo>
                              <a:lnTo>
                                <a:pt x="866" y="107"/>
                              </a:lnTo>
                              <a:lnTo>
                                <a:pt x="871" y="107"/>
                              </a:lnTo>
                              <a:lnTo>
                                <a:pt x="875" y="107"/>
                              </a:lnTo>
                              <a:lnTo>
                                <a:pt x="878" y="107"/>
                              </a:lnTo>
                              <a:lnTo>
                                <a:pt x="881" y="107"/>
                              </a:lnTo>
                              <a:lnTo>
                                <a:pt x="884" y="107"/>
                              </a:lnTo>
                              <a:lnTo>
                                <a:pt x="887" y="107"/>
                              </a:lnTo>
                              <a:lnTo>
                                <a:pt x="892" y="107"/>
                              </a:lnTo>
                              <a:lnTo>
                                <a:pt x="896" y="107"/>
                              </a:lnTo>
                              <a:lnTo>
                                <a:pt x="901" y="107"/>
                              </a:lnTo>
                              <a:lnTo>
                                <a:pt x="908" y="107"/>
                              </a:lnTo>
                              <a:lnTo>
                                <a:pt x="916" y="107"/>
                              </a:lnTo>
                              <a:lnTo>
                                <a:pt x="926" y="107"/>
                              </a:lnTo>
                              <a:lnTo>
                                <a:pt x="935" y="108"/>
                              </a:lnTo>
                              <a:lnTo>
                                <a:pt x="944" y="108"/>
                              </a:lnTo>
                              <a:lnTo>
                                <a:pt x="952" y="108"/>
                              </a:lnTo>
                              <a:lnTo>
                                <a:pt x="960" y="108"/>
                              </a:lnTo>
                              <a:lnTo>
                                <a:pt x="966" y="108"/>
                              </a:lnTo>
                              <a:lnTo>
                                <a:pt x="971" y="108"/>
                              </a:lnTo>
                              <a:lnTo>
                                <a:pt x="978" y="108"/>
                              </a:lnTo>
                              <a:lnTo>
                                <a:pt x="984" y="108"/>
                              </a:lnTo>
                              <a:lnTo>
                                <a:pt x="990" y="108"/>
                              </a:lnTo>
                              <a:lnTo>
                                <a:pt x="996" y="108"/>
                              </a:lnTo>
                              <a:lnTo>
                                <a:pt x="1005" y="108"/>
                              </a:lnTo>
                              <a:lnTo>
                                <a:pt x="1015" y="108"/>
                              </a:lnTo>
                              <a:lnTo>
                                <a:pt x="1018" y="108"/>
                              </a:lnTo>
                              <a:lnTo>
                                <a:pt x="1020" y="108"/>
                              </a:lnTo>
                              <a:lnTo>
                                <a:pt x="1022" y="108"/>
                              </a:lnTo>
                              <a:lnTo>
                                <a:pt x="1025" y="108"/>
                              </a:lnTo>
                              <a:lnTo>
                                <a:pt x="1027" y="108"/>
                              </a:lnTo>
                              <a:lnTo>
                                <a:pt x="1029" y="108"/>
                              </a:lnTo>
                              <a:lnTo>
                                <a:pt x="1031" y="108"/>
                              </a:lnTo>
                              <a:lnTo>
                                <a:pt x="1033" y="108"/>
                              </a:lnTo>
                              <a:lnTo>
                                <a:pt x="1035" y="108"/>
                              </a:lnTo>
                              <a:lnTo>
                                <a:pt x="1037" y="108"/>
                              </a:lnTo>
                              <a:lnTo>
                                <a:pt x="1040" y="108"/>
                              </a:lnTo>
                              <a:lnTo>
                                <a:pt x="1042" y="108"/>
                              </a:lnTo>
                              <a:lnTo>
                                <a:pt x="1044" y="108"/>
                              </a:lnTo>
                              <a:lnTo>
                                <a:pt x="1046" y="108"/>
                              </a:lnTo>
                              <a:lnTo>
                                <a:pt x="1048" y="108"/>
                              </a:lnTo>
                              <a:lnTo>
                                <a:pt x="1050" y="108"/>
                              </a:lnTo>
                              <a:lnTo>
                                <a:pt x="1052" y="108"/>
                              </a:lnTo>
                              <a:lnTo>
                                <a:pt x="1053" y="108"/>
                              </a:lnTo>
                            </a:path>
                          </a:pathLst>
                        </a:custGeom>
                        <a:noFill/>
                        <a:ln w="4763">
                          <a:solidFill>
                            <a:srgbClr val="000000"/>
                          </a:solidFill>
                          <a:prstDash val="solid"/>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endParaRPr lang="en-GB"/>
                          </a:p>
                        </a:txBody>
                        <a:useSpRect/>
                      </a:txSp>
                    </a:sp>
                    <a:sp>
                      <a:nvSpPr>
                        <a:cNvPr id="881" name="Rectangle 119"/>
                        <a:cNvSpPr>
                          <a:spLocks noChangeArrowheads="1"/>
                        </a:cNvSpPr>
                      </a:nvSpPr>
                      <a:spPr bwMode="auto">
                        <a:xfrm>
                          <a:off x="1380220" y="10192753"/>
                          <a:ext cx="207549" cy="13749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lang="en-US" sz="1000" dirty="0" smtClean="0">
                                <a:solidFill>
                                  <a:srgbClr val="000000"/>
                                </a:solidFill>
                                <a:latin typeface="Arial" pitchFamily="34" charset="0"/>
                                <a:cs typeface="Arial" pitchFamily="34" charset="0"/>
                              </a:rPr>
                              <a:t>37.5</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882" name="Rectangle 6"/>
                        <a:cNvSpPr>
                          <a:spLocks noChangeArrowheads="1"/>
                        </a:cNvSpPr>
                      </a:nvSpPr>
                      <a:spPr bwMode="auto">
                        <a:xfrm>
                          <a:off x="1444285" y="11350169"/>
                          <a:ext cx="148250" cy="137496"/>
                        </a:xfrm>
                        <a:prstGeom prst="rect">
                          <a:avLst/>
                        </a:prstGeom>
                        <a:noFill/>
                        <a:ln w="9525">
                          <a:noFill/>
                          <a:miter lim="800000"/>
                          <a:headEnd/>
                          <a:tailEnd/>
                        </a:ln>
                      </a:spPr>
                      <a:txSp>
                        <a:txBody>
                          <a:bodyPr vert="horz" wrap="non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dirty="0" smtClean="0">
                                <a:ln>
                                  <a:noFill/>
                                </a:ln>
                                <a:solidFill>
                                  <a:srgbClr val="000000"/>
                                </a:solidFill>
                                <a:effectLst/>
                                <a:latin typeface="Arial" pitchFamily="34" charset="0"/>
                                <a:cs typeface="Arial" pitchFamily="34" charset="0"/>
                              </a:rPr>
                              <a:t>0.0</a:t>
                            </a:r>
                            <a:endParaRPr kumimoji="0" lang="en-US" sz="10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883" name="Rectangle 128"/>
                        <a:cNvSpPr>
                          <a:spLocks noChangeArrowheads="1"/>
                        </a:cNvSpPr>
                      </a:nvSpPr>
                      <a:spPr bwMode="auto">
                        <a:xfrm>
                          <a:off x="1143000" y="10155324"/>
                          <a:ext cx="153888" cy="1250817"/>
                        </a:xfrm>
                        <a:prstGeom prst="rect">
                          <a:avLst/>
                        </a:prstGeom>
                        <a:noFill/>
                        <a:ln w="9525">
                          <a:noFill/>
                          <a:miter lim="800000"/>
                          <a:headEnd/>
                          <a:tailEnd/>
                        </a:ln>
                      </a:spPr>
                      <a:txSp>
                        <a:txBody>
                          <a:bodyPr vert="vert270"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000" b="1" i="0" u="none" strike="noStrike" cap="none" normalizeH="0" baseline="0" dirty="0" smtClean="0">
                                <a:ln>
                                  <a:noFill/>
                                </a:ln>
                                <a:solidFill>
                                  <a:srgbClr val="000000"/>
                                </a:solidFill>
                                <a:effectLst/>
                                <a:latin typeface="Arial" pitchFamily="34" charset="0"/>
                                <a:cs typeface="Arial" pitchFamily="34" charset="0"/>
                              </a:rPr>
                              <a:t>Absorbance (</a:t>
                            </a:r>
                            <a:r>
                              <a:rPr kumimoji="0" lang="en-US" sz="1000" b="1" i="0" u="none" strike="noStrike" cap="none" normalizeH="0" baseline="0" dirty="0" err="1" smtClean="0">
                                <a:ln>
                                  <a:noFill/>
                                </a:ln>
                                <a:solidFill>
                                  <a:srgbClr val="000000"/>
                                </a:solidFill>
                                <a:effectLst/>
                                <a:latin typeface="Arial" pitchFamily="34" charset="0"/>
                                <a:cs typeface="Arial" pitchFamily="34" charset="0"/>
                              </a:rPr>
                              <a:t>mAU</a:t>
                            </a:r>
                            <a:r>
                              <a:rPr kumimoji="0" lang="en-US" sz="1000" b="1" i="0" u="none" strike="noStrike" cap="none" normalizeH="0" baseline="0" dirty="0" smtClean="0">
                                <a:ln>
                                  <a:noFill/>
                                </a:ln>
                                <a:solidFill>
                                  <a:srgbClr val="000000"/>
                                </a:solidFill>
                                <a:effectLst/>
                                <a:latin typeface="Arial" pitchFamily="34" charset="0"/>
                                <a:cs typeface="Arial" pitchFamily="34" charset="0"/>
                              </a:rPr>
                              <a:t>)</a:t>
                            </a:r>
                            <a:endParaRPr kumimoji="0" lang="en-US" sz="1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884" name="Rectangle 129"/>
                        <a:cNvSpPr>
                          <a:spLocks noChangeArrowheads="1"/>
                        </a:cNvSpPr>
                      </a:nvSpPr>
                      <a:spPr bwMode="auto">
                        <a:xfrm>
                          <a:off x="4592015" y="11851430"/>
                          <a:ext cx="1670051" cy="153888"/>
                        </a:xfrm>
                        <a:prstGeom prst="rect">
                          <a:avLst/>
                        </a:prstGeom>
                        <a:noFill/>
                        <a:ln w="9525">
                          <a:noFill/>
                          <a:miter lim="800000"/>
                          <a:headEnd/>
                          <a:tailEnd/>
                        </a:ln>
                      </a:spPr>
                      <a:txSp>
                        <a:txBody>
                          <a:bodyPr vert="horz" wrap="square" lIns="0" tIns="0" rIns="0" bIns="0" numCol="1" anchor="t" anchorCtr="0" compatLnSpc="1">
                            <a:prstTxWarp prst="textNoShape">
                              <a:avLst/>
                            </a:prstTxWarp>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lvl="0" defTabSz="914400" fontAlgn="base">
                              <a:spcBef>
                                <a:spcPct val="0"/>
                              </a:spcBef>
                              <a:spcAft>
                                <a:spcPct val="0"/>
                              </a:spcAft>
                            </a:pPr>
                            <a:r>
                              <a:rPr lang="en-US" sz="1000" b="1" dirty="0" smtClean="0">
                                <a:solidFill>
                                  <a:srgbClr val="000000"/>
                                </a:solidFill>
                                <a:latin typeface="Arial" pitchFamily="34" charset="0"/>
                                <a:cs typeface="Arial" pitchFamily="34" charset="0"/>
                              </a:rPr>
                              <a:t>Retention time (minutes)</a:t>
                            </a:r>
                            <a:endParaRPr lang="en-US" sz="1000" b="1" dirty="0" smtClean="0">
                              <a:latin typeface="Arial" pitchFamily="34" charset="0"/>
                              <a:cs typeface="Arial" pitchFamily="34" charset="0"/>
                            </a:endParaRPr>
                          </a:p>
                        </a:txBody>
                        <a:useSpRect/>
                      </a:txSp>
                    </a:sp>
                    <a:sp>
                      <a:nvSpPr>
                        <a:cNvPr id="887" name="TextBox 886"/>
                        <a:cNvSpPr txBox="1"/>
                      </a:nvSpPr>
                      <a:spPr>
                        <a:xfrm>
                          <a:off x="2133600" y="10612524"/>
                          <a:ext cx="1166663" cy="23693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Unmodified ssRNA</a:t>
                            </a:r>
                            <a:endParaRPr lang="en-GB" sz="1000" dirty="0"/>
                          </a:p>
                        </a:txBody>
                        <a:useSpRect/>
                      </a:txSp>
                    </a:sp>
                    <a:sp>
                      <a:nvSpPr>
                        <a:cNvPr id="888" name="TextBox 887"/>
                        <a:cNvSpPr txBox="1"/>
                      </a:nvSpPr>
                      <a:spPr>
                        <a:xfrm>
                          <a:off x="4114800" y="10460124"/>
                          <a:ext cx="762000" cy="23693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1PS ssRNA</a:t>
                            </a:r>
                            <a:endParaRPr lang="en-GB" sz="1000" dirty="0"/>
                          </a:p>
                        </a:txBody>
                        <a:useSpRect/>
                      </a:txSp>
                    </a:sp>
                    <a:sp>
                      <a:nvSpPr>
                        <a:cNvPr id="889" name="TextBox 888"/>
                        <a:cNvSpPr txBox="1"/>
                      </a:nvSpPr>
                      <a:spPr>
                        <a:xfrm>
                          <a:off x="2667000" y="10079124"/>
                          <a:ext cx="2057400"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Small amounts of remaining unannealed unmodified ssRNA</a:t>
                            </a:r>
                            <a:endParaRPr lang="en-GB" sz="1000" dirty="0"/>
                          </a:p>
                        </a:txBody>
                        <a:useSpRect/>
                      </a:txSp>
                    </a:sp>
                    <a:sp>
                      <a:nvSpPr>
                        <a:cNvPr id="890" name="TextBox 889"/>
                        <a:cNvSpPr txBox="1"/>
                      </a:nvSpPr>
                      <a:spPr>
                        <a:xfrm>
                          <a:off x="4953000" y="10383924"/>
                          <a:ext cx="1676400"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Unmodified-1PS dsRNA (PBS, room temperature)</a:t>
                            </a:r>
                            <a:endParaRPr lang="en-GB" sz="1000" dirty="0"/>
                          </a:p>
                        </a:txBody>
                        <a:useSpRect/>
                      </a:txSp>
                    </a:sp>
                    <a:sp>
                      <a:nvSpPr>
                        <a:cNvPr id="891" name="TextBox 890"/>
                        <a:cNvSpPr txBox="1"/>
                      </a:nvSpPr>
                      <a:spPr>
                        <a:xfrm>
                          <a:off x="5257800" y="10002924"/>
                          <a:ext cx="1600200"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Unmodified-1PS dsRNA (PBS, 85 °C 3 </a:t>
                            </a:r>
                            <a:r>
                              <a:rPr lang="en-GB" sz="1000" dirty="0" err="1" smtClean="0"/>
                              <a:t>mins</a:t>
                            </a:r>
                            <a:r>
                              <a:rPr lang="en-GB" sz="1000" dirty="0" smtClean="0"/>
                              <a:t>)</a:t>
                            </a:r>
                            <a:endParaRPr lang="en-GB" sz="1000" dirty="0"/>
                          </a:p>
                        </a:txBody>
                        <a:useSpRect/>
                      </a:txSp>
                    </a:sp>
                    <a:cxnSp>
                      <a:nvCxnSpPr>
                        <a:cNvPr id="892" name="Straight Arrow Connector 891"/>
                        <a:cNvCxnSpPr/>
                      </a:nvCxnSpPr>
                      <a:spPr>
                        <a:xfrm flipH="1">
                          <a:off x="5105400" y="10155324"/>
                          <a:ext cx="266700" cy="762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894" name="Straight Arrow Connector 893"/>
                        <a:cNvCxnSpPr/>
                      </a:nvCxnSpPr>
                      <a:spPr>
                        <a:xfrm flipH="1">
                          <a:off x="5105400" y="10764924"/>
                          <a:ext cx="304800" cy="1524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899" name="Straight Arrow Connector 898"/>
                        <a:cNvCxnSpPr/>
                      </a:nvCxnSpPr>
                      <a:spPr>
                        <a:xfrm>
                          <a:off x="4495800" y="10688724"/>
                          <a:ext cx="76200" cy="4572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902" name="Straight Arrow Connector 901"/>
                        <a:cNvCxnSpPr>
                          <a:stCxn id="887" idx="3"/>
                        </a:cNvCxnSpPr>
                      </a:nvCxnSpPr>
                      <a:spPr>
                        <a:xfrm>
                          <a:off x="3300263" y="10730989"/>
                          <a:ext cx="662137" cy="262535"/>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906" name="Straight Arrow Connector 905"/>
                        <a:cNvCxnSpPr/>
                      </a:nvCxnSpPr>
                      <a:spPr>
                        <a:xfrm>
                          <a:off x="4038600" y="10536324"/>
                          <a:ext cx="76200" cy="60960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grpSp>
                  <a:sp>
                    <a:nvSpPr>
                      <a:cNvPr id="895" name="TextBox 894"/>
                      <a:cNvSpPr txBox="1"/>
                    </a:nvSpPr>
                    <a:spPr>
                      <a:xfrm>
                        <a:off x="624136" y="748172"/>
                        <a:ext cx="433387"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2600" b="1" dirty="0" smtClean="0"/>
                            <a:t>a</a:t>
                          </a:r>
                          <a:endParaRPr lang="en-GB" sz="2600" b="1" dirty="0"/>
                        </a:p>
                      </a:txBody>
                      <a:useSpRect/>
                    </a:txSp>
                  </a:sp>
                  <a:sp>
                    <a:nvSpPr>
                      <a:cNvPr id="896" name="TextBox 895"/>
                      <a:cNvSpPr txBox="1"/>
                    </a:nvSpPr>
                    <a:spPr>
                      <a:xfrm>
                        <a:off x="624136" y="2944416"/>
                        <a:ext cx="433387"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2600" b="1" dirty="0" smtClean="0"/>
                            <a:t>b</a:t>
                          </a:r>
                          <a:endParaRPr lang="en-GB" sz="2600" b="1" dirty="0"/>
                        </a:p>
                      </a:txBody>
                      <a:useSpRect/>
                    </a:txSp>
                  </a:sp>
                  <a:sp>
                    <a:nvSpPr>
                      <a:cNvPr id="897" name="TextBox 896"/>
                      <a:cNvSpPr txBox="1"/>
                    </a:nvSpPr>
                    <a:spPr>
                      <a:xfrm>
                        <a:off x="624136" y="5116269"/>
                        <a:ext cx="433387"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2600" b="1" dirty="0" smtClean="0"/>
                            <a:t>c</a:t>
                          </a:r>
                          <a:endParaRPr lang="en-GB" sz="2600" b="1" dirty="0"/>
                        </a:p>
                      </a:txBody>
                      <a:useSpRect/>
                    </a:txSp>
                  </a:sp>
                  <a:sp>
                    <a:nvSpPr>
                      <a:cNvPr id="898" name="TextBox 897"/>
                      <a:cNvSpPr txBox="1"/>
                    </a:nvSpPr>
                    <a:spPr>
                      <a:xfrm>
                        <a:off x="624136" y="7204501"/>
                        <a:ext cx="433387"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2600" b="1" dirty="0" smtClean="0"/>
                            <a:t>d</a:t>
                          </a:r>
                          <a:endParaRPr lang="en-GB" sz="2600" b="1" dirty="0"/>
                        </a:p>
                      </a:txBody>
                      <a:useSpRect/>
                    </a:txSp>
                  </a:sp>
                </lc:lockedCanvas>
              </a:graphicData>
            </a:graphic>
          </wp:inline>
        </w:drawing>
      </w:r>
    </w:p>
    <w:p w:rsidR="006973D5" w:rsidRDefault="00B10753" w:rsidP="006973D5">
      <w:pPr>
        <w:pStyle w:val="Caption"/>
        <w:spacing w:after="120"/>
        <w:rPr>
          <w:color w:val="auto"/>
        </w:rPr>
      </w:pPr>
      <w:bookmarkStart w:id="113" w:name="_Toc20411637"/>
      <w:r w:rsidRPr="00B10753">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8</w:t>
      </w:r>
      <w:r w:rsidR="005C0E76">
        <w:rPr>
          <w:color w:val="auto"/>
        </w:rPr>
        <w:fldChar w:fldCharType="end"/>
      </w:r>
      <w:r w:rsidRPr="00B10753">
        <w:rPr>
          <w:color w:val="auto"/>
        </w:rPr>
        <w:t xml:space="preserve"> Synthesis of phosphorothioate dsRNA by annealing complimentary unmodified and phosphorothioate ssRNA.</w:t>
      </w:r>
      <w:bookmarkEnd w:id="113"/>
    </w:p>
    <w:p w:rsidR="00B10753" w:rsidRPr="00B10753" w:rsidRDefault="00B10753" w:rsidP="006973D5">
      <w:pPr>
        <w:pStyle w:val="Caption"/>
        <w:spacing w:after="120"/>
        <w:rPr>
          <w:b w:val="0"/>
          <w:color w:val="auto"/>
        </w:rPr>
      </w:pPr>
      <w:r w:rsidRPr="00B10753">
        <w:rPr>
          <w:color w:val="auto"/>
        </w:rPr>
        <w:t xml:space="preserve"> </w:t>
      </w:r>
      <w:r w:rsidRPr="00B10753">
        <w:rPr>
          <w:b w:val="0"/>
          <w:color w:val="auto"/>
        </w:rPr>
        <w:t xml:space="preserve">All dsRNAs and ssRNAs are Dome 11. All samples were analysed using gradient 1 at 50°C unless otherwise stated. Baselines are offset to improve clarity of comparisons. (a) Chromatogram of co-injected unmodified ssRNA and phosphorothioate (1PS) ssRNA (injection amounts  are not equal). (b) Chromatogram demonstrating that complementary unmodified ssRNAs fully anneal in water at room temperature, and complementary 1PS ssRNAs also anneal fully in water at room temperature (injection amounts  are not equal). (c)  Chromatogram demonstrating that an unmodified ssRNA and its complementary 1PS ssRNA only partially anneal when mixed in water at room temperature, with significant amounts of unannealed ssRNA remaining. The unmodified-1PS duplex dsRNA peak disappears when the sample is analysed in denaturing conditions at 75°C. (d) Chromatogram demonstrating that an unmodified ssRNA and its complementary 1PS ssRNA anneal fully at room temperature in PBS, leaving small quantities of any ssRNA that was present in excess. Heating the sample in 1X PBS to 85°C for 3 minutes followed by cooling to room temperature prior to analysis, results in a similar yield of dsRNA and degrades any remaining excess ssRNA.  </w:t>
      </w:r>
    </w:p>
    <w:p w:rsidR="00B10753" w:rsidRDefault="00B10753">
      <w:pPr>
        <w:spacing w:after="200"/>
        <w:jc w:val="left"/>
      </w:pPr>
      <w:r>
        <w:br w:type="page"/>
      </w:r>
    </w:p>
    <w:p w:rsidR="008953EC" w:rsidRDefault="008953EC" w:rsidP="00B10753">
      <w:pPr>
        <w:spacing w:line="360" w:lineRule="auto"/>
      </w:pPr>
      <w:r>
        <w:lastRenderedPageBreak/>
        <w:t xml:space="preserve">demonstrating the ssRNAs fully annealed to form dsRNA, which has an increased retention time compared to the corresponding ssRNAs. </w:t>
      </w:r>
    </w:p>
    <w:p w:rsidR="008953EC" w:rsidRPr="00A57D7B" w:rsidRDefault="008953EC" w:rsidP="008953EC">
      <w:pPr>
        <w:spacing w:line="360" w:lineRule="auto"/>
        <w:ind w:firstLine="284"/>
      </w:pPr>
      <w:r>
        <w:t xml:space="preserve">However, where equal amounts of an unmodified ssRNA and its complementary phosphorothioate ssRNA were mixed in water and analysed by IP RP HPLC, only partial annealing was </w:t>
      </w:r>
      <w:r w:rsidRPr="00A57D7B">
        <w:t xml:space="preserve">observed (see figure 3.8 c, black chromatogram) with significant amounts of ssRNA remaining in the sample. The third peak observed was confirmed to be dsRNA by re-analysing the samples in denaturing conditions at 75°C, at which temperature the third peak was lost from the chromatogram due to the dsRNA duplex melting back to its constituent ssRNAs (figure 3.8 c, blue chromatogram f). It is unclear precisely why complementary strands with different chemistry do not spontaneously anneal in water, it may possibly be an artefact of how the difference of backbone conformation in phosphorothioate ssRNA </w:t>
      </w:r>
      <w:r w:rsidR="005C0E76" w:rsidRPr="00A57D7B">
        <w:fldChar w:fldCharType="begin" w:fldLock="1"/>
      </w:r>
      <w:r w:rsidRPr="00A57D7B">
        <w:instrText>ADDIN CSL_CITATION {"citationItems":[{"id":"ITEM-1","itemData":{"DOI":"10.1021/bi992712b","ISBN":"0006-2960","ISSN":"00062960","PMID":"10801314","abstract":"Phosphorothioate substitution-interference experiments, routinely used to stereospecifically identify phosphoryl oxygen sites that participate in RNA-ligand binding and RNA-directed catalysis, rest in their interpretation on the untested assumption that substitution does not alter the conformation of the modified molecule from its biologically active state. Using NMR spectroscopy, we have tested this assumption by determining the structural effect of stereospecific phosphorothioate substitution at five positions in an RNA hairpin containing the binding site for bacteriophage MS2 capsid protein. At most sites, substitution has little or no effect, causing minor perturbations in the phosphate backbone and increasing the stacking among nucleotides in the hairpin loop. At one site, however, phosphorothioate substitution causes an unpaired adenine necessary for formation of the capsid protein-RNA complex to loop out of the RNA helix into the major groove. These results indicate that phosphorothioate substitution can substantially alter the conformation of RNA at positions of irregular secondary structure, complicating the use of substitution-interference experiments to study RNA structure and function.","author":[{"dropping-particle":"","family":"Smith","given":"Jeff S.","non-dropping-particle":"","parse-names":false,"suffix":""},{"dropping-particle":"","family":"Nikonowicz","given":"Edward P.","non-dropping-particle":"","parse-names":false,"suffix":""}],"container-title":"Biochemistry","id":"ITEM-1","issue":"19","issued":{"date-parts":[["2000"]]},"page":"5642-5652","title":"Phosphorothioate substitution can substantially alter RNA conformation","type":"article-journal","volume":"39"},"uris":["http://www.mendeley.com/documents/?uuid=9e243d2b-dc6f-47fd-8e89-dd963d68eb62"]}],"mendeley":{"formattedCitation":"(Smith and Nikonowicz, 2000)","plainTextFormattedCitation":"(Smith and Nikonowicz, 2000)","previouslyFormattedCitation":"(Smith and Nikonowicz, 2000)"},"properties":{"noteIndex":0},"schema":"https://github.com/citation-style-language/schema/raw/master/csl-citation.json"}</w:instrText>
      </w:r>
      <w:r w:rsidR="005C0E76" w:rsidRPr="00A57D7B">
        <w:fldChar w:fldCharType="separate"/>
      </w:r>
      <w:r w:rsidRPr="00A57D7B">
        <w:rPr>
          <w:noProof/>
        </w:rPr>
        <w:t>(Smith and Nikonowicz, 2000)</w:t>
      </w:r>
      <w:r w:rsidR="005C0E76" w:rsidRPr="00A57D7B">
        <w:fldChar w:fldCharType="end"/>
      </w:r>
      <w:r w:rsidRPr="00A57D7B">
        <w:t xml:space="preserve"> affects the thermodynamics of annealing, however this was not investigated further.</w:t>
      </w:r>
    </w:p>
    <w:p w:rsidR="008953EC" w:rsidRPr="00A57D7B" w:rsidRDefault="008953EC" w:rsidP="008953EC">
      <w:pPr>
        <w:spacing w:line="360" w:lineRule="auto"/>
        <w:ind w:firstLine="284"/>
      </w:pPr>
      <w:r w:rsidRPr="00A57D7B">
        <w:t xml:space="preserve">Therefore, to optimise the annealing of mixed chemistry ssRNAs to form dsRNA, equal quantities of the two ssRNAs were mixed in 1X PBS at room temperature and analysed by HPLC, and the results are shown in figure 3.8 d (blue chromatogram). The chromatogram consists of a large dsRNA peak, demonstrating successful annealing of ssRNAs to generate the dsRNA, with a small additional peak corresponding to potential excess of one of the ssRNAs. Additional heating of the sample to 85°C for </w:t>
      </w:r>
      <w:r w:rsidR="005C57B9">
        <w:t>3</w:t>
      </w:r>
      <w:r w:rsidRPr="00A57D7B">
        <w:t xml:space="preserve"> minutes, followed by natural cooling to room temperature also generated the dsRNA. In addition, degradation of the remaining ssRNA contaminants was observed (see figure 3.8 d, red chromatogram). The dsRNA duplexes formed also showed increased retention times compared to the two ssRNAs, as previously shown.  In summary, a range of phosphorothioate-containing dsRNAs were synthesised, including dsRNA with PS modifications in the passenger strand, guide strand, or both.</w:t>
      </w:r>
    </w:p>
    <w:p w:rsidR="008953EC" w:rsidRPr="00A57D7B" w:rsidRDefault="008953EC" w:rsidP="008953EC">
      <w:pPr>
        <w:spacing w:line="360" w:lineRule="auto"/>
        <w:ind w:firstLine="284"/>
      </w:pPr>
    </w:p>
    <w:p w:rsidR="008953EC" w:rsidRPr="00A57D7B" w:rsidRDefault="008953EC" w:rsidP="00962A96">
      <w:pPr>
        <w:pStyle w:val="Heading3"/>
        <w:ind w:left="709"/>
      </w:pPr>
      <w:bookmarkStart w:id="114" w:name="_Toc507150626"/>
      <w:bookmarkStart w:id="115" w:name="_Toc18832678"/>
      <w:bookmarkStart w:id="116" w:name="_Toc35333969"/>
      <w:r w:rsidRPr="00A57D7B">
        <w:t xml:space="preserve">Optimisation of the synthesis of long dsRNA containing 2’-fluoro (2’F) </w:t>
      </w:r>
      <w:bookmarkEnd w:id="114"/>
      <w:r w:rsidRPr="00A57D7B">
        <w:t>modifications by IVT</w:t>
      </w:r>
      <w:bookmarkEnd w:id="115"/>
      <w:bookmarkEnd w:id="116"/>
    </w:p>
    <w:p w:rsidR="008953EC" w:rsidRPr="00A57D7B" w:rsidRDefault="008953EC" w:rsidP="008953EC">
      <w:pPr>
        <w:spacing w:line="360" w:lineRule="auto"/>
      </w:pPr>
    </w:p>
    <w:p w:rsidR="008953EC" w:rsidRDefault="008953EC" w:rsidP="008953EC">
      <w:pPr>
        <w:spacing w:line="360" w:lineRule="auto"/>
        <w:ind w:firstLine="284"/>
      </w:pPr>
      <w:r w:rsidRPr="00A57D7B">
        <w:t xml:space="preserve">The 2’-fluoro (2’F) functional group (see figure 3.1 a) has a smaller volume than the 2’-OH group of ribose sugars, although it is larger than the 2’-H group of deoxyribose sugars. T7 RNA polymerase is therefore unable to efficiently incorporate 2’-fluoro NTPs into dsRNA </w:t>
      </w:r>
      <w:r w:rsidR="005C0E76" w:rsidRPr="00A57D7B">
        <w:fldChar w:fldCharType="begin" w:fldLock="1"/>
      </w:r>
      <w:r w:rsidRPr="00A57D7B">
        <w:instrText>ADDIN CSL_CITATION {"citationItems":[{"id":"ITEM-1","itemData":{"DOI":"10.1038/nbt1001","ISSN":"1087-0156","abstract":"Modified RNA and DNA molecules have novel properties that their natural counterparts do not possess, such as better resistance to degradation in cells and improved pharmacokinetic behavior1,2. In particular, modifications at the 2′-OH of ribose are important for enhancing the stability of RNA3,4. Unfortunately, it is difficult to enzymatically synthesize modified nucleic acids of any substantial length because natural polymerases incorporate modified nucleotides inefficiently. Previously, we reported an activity-based method for selecting functional T7 RNA polymerase variants based on the ability of a T7 RNA polymerase to reproduce itself5. Here, we have modified the original procedure to identify polymerases that can efficiently incorporate multiple modified nucleotides at the 2′ position of the ribose. Most important, our method allows the selection of polymerases that have good processivities and can be combined to simultaneously incorporate several different modified nucleotides in a transcript.","author":[{"dropping-particle":"","family":"Chelliserrykattil","given":"Jijumon","non-dropping-particle":"","parse-names":false,"suffix":""},{"dropping-particle":"","family":"Ellington","given":"Andrew D","non-dropping-particle":"","parse-names":false,"suffix":""}],"container-title":"Nature Biotechnology","id":"ITEM-1","issue":"9","issued":{"date-parts":[["2004","9","8"]]},"page":"1155-1160","publisher":"Nature Publishing Group","title":"Evolution of a T7 RNA polymerase variant that transcribes 2′-O-methyl RNA","type":"article-journal","volume":"22"},"uris":["http://www.mendeley.com/documents/?uuid=64cd86cc-b998-3a43-b35b-174f554bd246"]}],"mendeley":{"formattedCitation":"(Chelliserrykattil and Ellington, 2004)","plainTextFormattedCitation":"(Chelliserrykattil and Ellington, 2004)","previouslyFormattedCitation":"(Chelliserrykattil and Ellington, 2004)"},"properties":{"noteIndex":0},"schema":"https://github.com/citation-style-language/schema/raw/master/csl-citation.json"}</w:instrText>
      </w:r>
      <w:r w:rsidR="005C0E76" w:rsidRPr="00A57D7B">
        <w:fldChar w:fldCharType="separate"/>
      </w:r>
      <w:r w:rsidRPr="00A57D7B">
        <w:rPr>
          <w:noProof/>
        </w:rPr>
        <w:t>(Chelliserrykattil and Ellington, 2004)</w:t>
      </w:r>
      <w:r w:rsidR="005C0E76" w:rsidRPr="00A57D7B">
        <w:fldChar w:fldCharType="end"/>
      </w:r>
      <w:r w:rsidRPr="00A57D7B">
        <w:t>. Therefore, a modified T7 polymerase capable of incorporating NTPs, dNTPs and 2’-modified NTPs was required for the enzymatic synthesis of 2’-fluoro RNA. A mutant T7 polymerase (T7R&amp;DNA polymerase) capable of incorporating dNTPs and 2’-modified NTPs was selected</w:t>
      </w:r>
      <w:r>
        <w:t xml:space="preserve"> to synthesise 2’-fluoro dsRNA </w:t>
      </w:r>
      <w:r w:rsidR="005C0E76">
        <w:fldChar w:fldCharType="begin" w:fldLock="1"/>
      </w:r>
      <w:r>
        <w:instrText>ADDIN CSL_CITATION {"citationItems":[{"id":"ITEM-1","itemData":{"DOI":"10.1038/nbt1001","ISSN":"1087-0156","abstract":"Modified RNA and DNA molecules have novel properties that their natural counterparts do not possess, such as better resistance to degradation in cells and improved pharmacokinetic behavior1,2. In particular, modifications at the 2′-OH of ribose are important for enhancing the stability of RNA3,4. Unfortunately, it is difficult to enzymatically synthesize modified nucleic acids of any substantial length because natural polymerases incorporate modified nucleotides inefficiently. Previously, we reported an activity-based method for selecting functional T7 RNA polymerase variants based on the ability of a T7 RNA polymerase to reproduce itself5. Here, we have modified the original procedure to identify polymerases that can efficiently incorporate multiple modified nucleotides at the 2′ position of the ribose. Most important, our method allows the selection of polymerases that have good processivities and can be combined to simultaneously incorporate several different modified nucleotides in a transcript.","author":[{"dropping-particle":"","family":"Chelliserrykattil","given":"Jijumon","non-dropping-particle":"","parse-names":false,"suffix":""},{"dropping-particle":"","family":"Ellington","given":"Andrew D","non-dropping-particle":"","parse-names":false,"suffix":""}],"container-title":"Nature Biotechnology","id":"ITEM-1","issue":"9","issued":{"date-parts":[["2004","9","8"]]},"page":"1155-1160","publisher":"Nature Publishing Group","title":"Evolution of a T7 RNA polymerase variant that transcribes 2′-O-methyl RNA","type":"article-journal","volume":"22"},"uris":["http://www.mendeley.com/documents/?uuid=64cd86cc-b998-3a43-b35b-174f554bd246"]}],"mendeley":{"formattedCitation":"(Chelliserrykattil and Ellington, 2004)","plainTextFormattedCitation":"(Chelliserrykattil and Ellington, 2004)","previouslyFormattedCitation":"(Chelliserrykattil and Ellington, 2004)"},"properties":{"noteIndex":0},"schema":"https://github.com/citation-style-language/schema/raw/master/csl-citation.json"}</w:instrText>
      </w:r>
      <w:r w:rsidR="005C0E76">
        <w:fldChar w:fldCharType="separate"/>
      </w:r>
      <w:r w:rsidRPr="00616E7A">
        <w:rPr>
          <w:noProof/>
        </w:rPr>
        <w:t>(Chelliserrykattil and Ellington, 2004)</w:t>
      </w:r>
      <w:r w:rsidR="005C0E76">
        <w:fldChar w:fldCharType="end"/>
      </w:r>
      <w:r w:rsidR="005C57B9">
        <w:t>, and SP6 polymerase was also tested for its ability to synthesise 2’-fluoro modified RNA</w:t>
      </w:r>
      <w:r>
        <w:t xml:space="preserve">. </w:t>
      </w:r>
    </w:p>
    <w:p w:rsidR="008953EC" w:rsidRPr="00A57D7B" w:rsidRDefault="008953EC" w:rsidP="008953EC">
      <w:pPr>
        <w:spacing w:line="360" w:lineRule="auto"/>
        <w:ind w:firstLine="284"/>
      </w:pPr>
      <w:r>
        <w:lastRenderedPageBreak/>
        <w:t xml:space="preserve">To compare baseline yield of the three polymerases (T7, SP6 and T7R&amp;D), IVT reactions were initially carried out to synthesise unmodified Dome11 dsRNA in a single IVT reaction using 100 ng of the appropriate DNA </w:t>
      </w:r>
      <w:r w:rsidRPr="00A57D7B">
        <w:t>template (see section 2.</w:t>
      </w:r>
      <w:r w:rsidR="00A57D7B" w:rsidRPr="00A57D7B">
        <w:t>2.1</w:t>
      </w:r>
      <w:r w:rsidRPr="00A57D7B">
        <w:t>). The T7 and SP6 DNA templates generated previously were used as templates for the IVT reactions</w:t>
      </w:r>
      <w:r>
        <w:t>. Reactions were incubated at 37 °C for an equal length of time (approximately 12 hours) prior to the addition of DNase and analysis using gel electrophoresis (</w:t>
      </w:r>
      <w:r w:rsidRPr="00A57D7B">
        <w:t>see figure 3.9 a).</w:t>
      </w:r>
      <w:r>
        <w:t xml:space="preserve"> The results demonstrate a high yield of dsRNA was obtained from the T7 polymerase, with a slightly lower yield for the T7R&amp;D polymerase. This was expected as the T7 polymerase was an ultra high yield polymerase. The SP6 polymerase again demonstrated a </w:t>
      </w:r>
      <w:r w:rsidRPr="00A57D7B">
        <w:t xml:space="preserve">significantly lower yield of dsRNA than the T7 polymerase, consistent with previous observations (see section </w:t>
      </w:r>
      <w:r w:rsidR="00A57D7B" w:rsidRPr="00A57D7B">
        <w:t>3.3.4.1</w:t>
      </w:r>
      <w:r w:rsidRPr="00A57D7B">
        <w:t xml:space="preserve">). </w:t>
      </w:r>
    </w:p>
    <w:p w:rsidR="008953EC" w:rsidRPr="00A57D7B" w:rsidRDefault="008953EC" w:rsidP="008953EC">
      <w:pPr>
        <w:spacing w:line="360" w:lineRule="auto"/>
        <w:ind w:firstLine="284"/>
      </w:pPr>
      <w:r w:rsidRPr="00A57D7B">
        <w:t>Further work focused</w:t>
      </w:r>
      <w:r>
        <w:t xml:space="preserve"> on using IVT reactions to produce 2’-fluoro modified dsRNA from a single DNA template in a single reaction. IVT reactions using T7R&amp;D polymerase with 2’-fluoro CTP and 2’-</w:t>
      </w:r>
      <w:r w:rsidRPr="00A57D7B">
        <w:t>fluoro UTP replacing CTP and UTP were set up. However, no dsRNA product was generated (see figure 3.9 b, lane 2). Further optimisation was unable to generate any significant 2’-fluoro modified dsRNA product using this approach. Therefore, an alternative approach was used to generate 2’-fluoro modified ssRNA in conjunction with T7R&amp;D polymerase. IVT reactions with 2’-fluoro CTP and 2’-fluoro UTP replacing CTP and UTP were performed prior to analysis using gel electrophoresis (see figure 3.9 b, lane 3). These results demonstrate that 2’-fluoro modified</w:t>
      </w:r>
      <w:r w:rsidRPr="00A57D7B" w:rsidDel="00421916">
        <w:t xml:space="preserve"> </w:t>
      </w:r>
      <w:r w:rsidRPr="00A57D7B">
        <w:t>ssRNA was successfully synthesised by T7R&amp;D polymerase.  Further IVTs reactions were carried using a single 2’-fluoro NTP replacing their corresponding NTP to generate 1 2’F ssRNA. The reactions were carried out as above, and analysed by gel ele</w:t>
      </w:r>
      <w:r w:rsidR="00D27124">
        <w:t xml:space="preserve">ctrophoresis (see figure 3.9 c), </w:t>
      </w:r>
      <w:r w:rsidRPr="00A57D7B">
        <w:t>demonstrat</w:t>
      </w:r>
      <w:r w:rsidR="00D27124">
        <w:t>ing</w:t>
      </w:r>
      <w:r w:rsidRPr="00A57D7B">
        <w:t xml:space="preserve"> that both 1 2’F and 2 2’F ssRNA could be successfully synthesised T7R&amp;D polymerase.</w:t>
      </w:r>
    </w:p>
    <w:p w:rsidR="00B10753" w:rsidRDefault="008953EC" w:rsidP="008953EC">
      <w:pPr>
        <w:spacing w:line="360" w:lineRule="auto"/>
        <w:ind w:firstLine="284"/>
      </w:pPr>
      <w:r w:rsidRPr="00A57D7B">
        <w:t>In addition, an IVT reaction was carried out containing equal amounts of the DNA templates for each of the complimentary ssRNAs of FLuc dsRNA, in order to test if the 2’-fluoro ssRNAs could be synthesised and annealed into dsRNA in a single reaction (see figure 3.9 b, lane 4.) The results</w:t>
      </w:r>
      <w:r w:rsidRPr="00444302">
        <w:t xml:space="preserve"> demonstrate that this method was </w:t>
      </w:r>
      <w:r>
        <w:t xml:space="preserve">also </w:t>
      </w:r>
      <w:r w:rsidRPr="00444302">
        <w:t>not successful</w:t>
      </w:r>
      <w:r>
        <w:t xml:space="preserve"> in synthesising either ssRNA or dsRNA. </w:t>
      </w:r>
      <w:r w:rsidRPr="00575E77">
        <w:t xml:space="preserve">The </w:t>
      </w:r>
      <w:r>
        <w:t>explanation</w:t>
      </w:r>
      <w:r w:rsidRPr="00575E77">
        <w:t xml:space="preserve"> for the synthesis of 2’-fluoro dsRNA in a single reac</w:t>
      </w:r>
      <w:r>
        <w:t xml:space="preserve">tion failing is unclear. The reduced incorporation efficiency of 2’-fluoro NTPs may result in many abortive transcriptions, which is further hampered when </w:t>
      </w:r>
      <w:r w:rsidRPr="00575E77">
        <w:t>two</w:t>
      </w:r>
      <w:r>
        <w:t xml:space="preserve"> RNA</w:t>
      </w:r>
      <w:r w:rsidRPr="00575E77">
        <w:t xml:space="preserve"> polymerase molecules attempt to transcribe from opposite ends of the </w:t>
      </w:r>
      <w:r w:rsidRPr="00E27D00">
        <w:t xml:space="preserve">same DNA template molecule at the same time, therefore further reducing overall transcription. </w:t>
      </w:r>
      <w:r>
        <w:t>Both standard T7 and SP6 RNA polymerases were also tested, though neither successfully synthesised 2’-fluoro ssRNA or dsRNA (data not shown).</w:t>
      </w:r>
    </w:p>
    <w:p w:rsidR="00B10753" w:rsidRDefault="00B10753">
      <w:pPr>
        <w:spacing w:after="200"/>
        <w:jc w:val="left"/>
      </w:pPr>
      <w:r>
        <w:br w:type="page"/>
      </w:r>
    </w:p>
    <w:p w:rsidR="00595C20" w:rsidRDefault="009A0071" w:rsidP="009A0071">
      <w:pPr>
        <w:keepNext/>
        <w:spacing w:after="200"/>
        <w:jc w:val="left"/>
      </w:pPr>
      <w:r>
        <w:rPr>
          <w:noProof/>
          <w:lang w:eastAsia="en-GB"/>
        </w:rPr>
        <w:lastRenderedPageBreak/>
        <w:drawing>
          <wp:inline distT="0" distB="0" distL="0" distR="0">
            <wp:extent cx="5586249" cy="6337341"/>
            <wp:effectExtent l="0" t="0" r="0" b="0"/>
            <wp:docPr id="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5586249" cy="6337341"/>
                    </a:xfrm>
                    <a:prstGeom prst="rect">
                      <a:avLst/>
                    </a:prstGeom>
                    <a:noFill/>
                  </pic:spPr>
                </pic:pic>
              </a:graphicData>
            </a:graphic>
          </wp:inline>
        </w:drawing>
      </w:r>
    </w:p>
    <w:p w:rsidR="006973D5" w:rsidRDefault="00595C20" w:rsidP="006973D5">
      <w:pPr>
        <w:pStyle w:val="Caption"/>
        <w:spacing w:after="0"/>
        <w:rPr>
          <w:color w:val="auto"/>
        </w:rPr>
      </w:pPr>
      <w:bookmarkStart w:id="117" w:name="_Toc20411638"/>
      <w:r w:rsidRPr="00595C20">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9</w:t>
      </w:r>
      <w:r w:rsidR="005C0E76">
        <w:rPr>
          <w:color w:val="auto"/>
        </w:rPr>
        <w:fldChar w:fldCharType="end"/>
      </w:r>
      <w:r w:rsidRPr="00595C20">
        <w:rPr>
          <w:color w:val="auto"/>
        </w:rPr>
        <w:t xml:space="preserve"> Synthesis and optimisation of 2’-fluoro modified long dsRNA.</w:t>
      </w:r>
      <w:bookmarkEnd w:id="117"/>
      <w:r w:rsidRPr="00595C20">
        <w:rPr>
          <w:color w:val="auto"/>
        </w:rPr>
        <w:t xml:space="preserve"> </w:t>
      </w:r>
    </w:p>
    <w:p w:rsidR="00595C20" w:rsidRPr="00595C20" w:rsidRDefault="00595C20" w:rsidP="006973D5">
      <w:pPr>
        <w:pStyle w:val="Caption"/>
        <w:spacing w:after="0"/>
        <w:rPr>
          <w:color w:val="auto"/>
        </w:rPr>
      </w:pPr>
      <w:r w:rsidRPr="00595C20">
        <w:rPr>
          <w:b w:val="0"/>
          <w:color w:val="auto"/>
        </w:rPr>
        <w:t>(a) Gel electrophoretogram comparing yield of unmodified Dome11 dsRNA produced by IVT using T7, SP6, or T7R&amp;DNA polymerase from 100 ng of DNA template with corresponding promoters.. 1:21 of each IVT reactions were analysed. dsRNA produced by IVT using T7, SP6 and T7R&amp;DNA IVTs used 3.75, 2.5 and 2.5 mM NTPs respectively. (b) Gel electrophoretogram of unmodified, 2’F ssRNA and dsRNA synthesised by IVT using T7R&amp;D polymerase from DNA template with either one or two T7 polymerase promoters. Lane 1: FLuc unmodified dsRNA synthesised from 100 ng of DNA template for dsRNA (two T7 promoters); Lane 2: FLuc 2 2’F IVT with 100 ng of DNA template for dsRNA (two T7 promoters); Lane 3: FLuc 2 2’F ssRNA synthesised from 100 ng of DNA template for ssRNA (one T7 promoter); Lane 4: FLuc 2 2’F IVT with 50 ng each of two DNA templates for complementary ssRNAs (each with one T7 promoter</w:t>
      </w:r>
      <w:r w:rsidR="00D27124">
        <w:rPr>
          <w:b w:val="0"/>
          <w:color w:val="auto"/>
        </w:rPr>
        <w:t>)</w:t>
      </w:r>
      <w:r w:rsidRPr="00595C20">
        <w:rPr>
          <w:b w:val="0"/>
          <w:color w:val="auto"/>
        </w:rPr>
        <w:t>. The result show that 2’F modified RNA was only synthesised in IVT reactions using a DNA template to generate one ssRNA (c) Gel electrophoretogram of FLuc 1 2’F and 2 2’F ssRNA synthesised by IVT using T7R&amp;D RNA polymerase. (d) Gel electrophoretogram of optimisation of DNA template amount for Target A guide strand synthesis using T7R&amp;D polymerase. (f) Chromatogram of Target B unmodified and 2 2’F dsRNA generated by annealing of complimentary ssRNA and analysed in non-denaturing conditions at 50 °C using gradient 1. The results show a shift in retention time of the  2’-fluoro modified dsRNA compared to the unmodified dsRNA.</w:t>
      </w:r>
    </w:p>
    <w:p w:rsidR="008953EC" w:rsidRPr="00A57D7B" w:rsidRDefault="008953EC" w:rsidP="008953EC">
      <w:pPr>
        <w:spacing w:line="360" w:lineRule="auto"/>
        <w:ind w:firstLine="284"/>
      </w:pPr>
      <w:r>
        <w:lastRenderedPageBreak/>
        <w:t xml:space="preserve">Optimisation of the amount of DNA template used in IVT reactions was carried out using T7 R&amp;D polymerase to synthesise Target A 2’-fluoro modified ssRNA. Standard 20 µl IVT reactions were set up with DNA concentrations ranging from 400 to 1,600 ng per reaction. The </w:t>
      </w:r>
      <w:r w:rsidRPr="00A57D7B">
        <w:t xml:space="preserve">reactions were incubated at 37 °C for approximately 12 hours, then analysed by gel electrophoresis (see figure 3.9 d). The results demonstrate the maximum yield of 2’-fluoro modified ssRNA was obtained using 1,200 ng and 1,600 ng of DNA template.  </w:t>
      </w:r>
    </w:p>
    <w:p w:rsidR="008953EC" w:rsidRDefault="008953EC" w:rsidP="008953EC">
      <w:pPr>
        <w:spacing w:line="360" w:lineRule="auto"/>
        <w:ind w:firstLine="284"/>
      </w:pPr>
      <w:r w:rsidRPr="00A57D7B">
        <w:t>Following optimisation, complimentary unmodified 1 2’F and 2 2’F ssRNAs were successfully synthesised for all target dsRNAs required for downstream RNAi studies (</w:t>
      </w:r>
      <w:r w:rsidR="00A57D7B" w:rsidRPr="00A57D7B">
        <w:t>chapters</w:t>
      </w:r>
      <w:r w:rsidRPr="00A57D7B">
        <w:t xml:space="preserve"> 5 and 6). After purification using DNase incubation and solid phase extraction (SPE), 2’-fluoro ssRNAs were annealed into 2’-fluoro dsRNAs for use downstream RNAi studies by mixing equal quantities of complimentary ssRNAs in 1X PBS and heat cooling as previously described for phosphorothioate dsRNAs. Target B unmodified and 2’-fluoro ssRNAs were synthesised and annealed by the same method and further analysis of the resulting dsRNA was performed using IP RP HPLC as previously described, to validate the purity of the dsRNA and incorporation of the 2’-fluoro modifications.  An example of Target B unmodified and 2 2’F dsRNA is shown in figures 3.9 e. The results demonstrate</w:t>
      </w:r>
      <w:r w:rsidRPr="003B71C6">
        <w:t xml:space="preserve"> that 2’-fluoro dsRNA demonstrates a clear shift in retention time compared to unmodified dsRNA. Unlike phosphorothioate dsRNA, </w:t>
      </w:r>
      <w:r>
        <w:t>the</w:t>
      </w:r>
      <w:r w:rsidRPr="003B71C6">
        <w:t xml:space="preserve"> </w:t>
      </w:r>
      <w:r>
        <w:t xml:space="preserve">retention </w:t>
      </w:r>
      <w:r w:rsidRPr="003B71C6">
        <w:t xml:space="preserve">shift is seen for non-denaturing conditions, thus allowing for unmodified and 2’-fluoro dsRNA </w:t>
      </w:r>
      <w:r>
        <w:t xml:space="preserve">as well as ssRNA </w:t>
      </w:r>
      <w:r w:rsidRPr="003B71C6">
        <w:t>to be distinguished by HPLC analysis. F</w:t>
      </w:r>
      <w:r>
        <w:t>urthermore, the IP RP HPLC analysis also confirmed that no excess ssRNA remained followed annealing of the two complementary ssRNAs to generate the dsRNA for all target dsRNAs used in this study.</w:t>
      </w:r>
    </w:p>
    <w:p w:rsidR="008953EC" w:rsidRDefault="008953EC" w:rsidP="008953EC">
      <w:pPr>
        <w:spacing w:line="360" w:lineRule="auto"/>
        <w:ind w:firstLine="284"/>
      </w:pPr>
    </w:p>
    <w:p w:rsidR="008953EC" w:rsidRDefault="008953EC" w:rsidP="00962A96">
      <w:pPr>
        <w:pStyle w:val="Heading3"/>
        <w:ind w:left="709"/>
      </w:pPr>
      <w:bookmarkStart w:id="118" w:name="_Toc507150627"/>
      <w:bookmarkStart w:id="119" w:name="_Toc18832679"/>
      <w:bookmarkStart w:id="120" w:name="_Toc35333970"/>
      <w:r>
        <w:t xml:space="preserve">Synthesis of 5-hydroxymethyl (HMr/HMd) and Glucosyl-5-hydroxymethyl (Gluc-HMd) DNA and </w:t>
      </w:r>
      <w:bookmarkEnd w:id="118"/>
      <w:r>
        <w:t>RNA</w:t>
      </w:r>
      <w:bookmarkEnd w:id="119"/>
      <w:bookmarkEnd w:id="120"/>
    </w:p>
    <w:p w:rsidR="008953EC" w:rsidRPr="000378BC" w:rsidRDefault="008953EC" w:rsidP="008953EC"/>
    <w:p w:rsidR="008953EC" w:rsidRDefault="008953EC" w:rsidP="008953EC">
      <w:pPr>
        <w:spacing w:line="360" w:lineRule="auto"/>
        <w:ind w:firstLine="284"/>
      </w:pPr>
      <w:r>
        <w:t xml:space="preserve">T4 phages use glucosylated 5-hydroxymethyl deoxycytidine residues to protect their DNA from host restriction endonucleases when inside host cells </w:t>
      </w:r>
      <w:r w:rsidR="005C0E76">
        <w:fldChar w:fldCharType="begin" w:fldLock="1"/>
      </w:r>
      <w:r>
        <w:instrText>ADDIN CSL_CITATION {"citationItems":[{"id":"ITEM-1","itemData":{"DOI":"10.1093/nar/gkx1264","ISSN":"0305-1048","author":[{"dropping-particle":"","family":"Vlot","given":"Marnix","non-dropping-particle":"","parse-names":false,"suffix":""},{"dropping-particle":"","family":"Houkes","given":"Joep","non-dropping-particle":"","parse-names":false,"suffix":""},{"dropping-particle":"","family":"Lochs","given":"Silke J A","non-dropping-particle":"","parse-names":false,"suffix":""},{"dropping-particle":"","family":"Swarts","given":"Daan C","non-dropping-particle":"","parse-names":false,"suffix":""},{"dropping-particle":"","family":"Zheng","given":"Peiyuan","non-dropping-particle":"","parse-names":false,"suffix":""},{"dropping-particle":"","family":"Kunne","given":"Tim","non-dropping-particle":"","parse-names":false,"suffix":""},{"dropping-particle":"","family":"Mohanraju","given":"Prarthana","non-dropping-particle":"","parse-names":false,"suffix":""},{"dropping-particle":"","family":"Anders","given":"Carolin","non-dropping-particle":"","parse-names":false,"suffix":""},{"dropping-particle":"","family":"Jinek","given":"Martin","non-dropping-particle":"","parse-names":false,"suffix":""},{"dropping-particle":"","family":"van der Oost","given":"John","non-dropping-particle":"","parse-names":false,"suffix":""},{"dropping-particle":"","family":"Dickman","given":"Mark J","non-dropping-particle":"","parse-names":false,"suffix":""},{"dropping-particle":"","family":"Brouns","given":"Stan J J","non-dropping-particle":"","parse-names":false,"suffix":""}],"container-title":"Nucleic Acids Research","id":"ITEM-1","issue":"2","issued":{"date-parts":[["2018","1","25"]]},"page":"873-885","publisher":"Oxford University Press","title":"Bacteriophage DNA glucosylation impairs target DNA binding by type I and II but not by type V CRISPR–Cas effector complexes","type":"article-journal","volume":"46"},"uris":["http://www.mendeley.com/documents/?uuid=7928656f-4f3e-3a59-8ca8-16a6385ac6ef"]}],"mendeley":{"formattedCitation":"(Vlot &lt;i&gt;et al.&lt;/i&gt;, 2018)","plainTextFormattedCitation":"(Vlot et al., 2018)","previouslyFormattedCitation":"(Vlot &lt;i&gt;et al.&lt;/i&gt;, 2018)"},"properties":{"noteIndex":0},"schema":"https://github.com/citation-style-language/schema/raw/master/csl-citation.json"}</w:instrText>
      </w:r>
      <w:r w:rsidR="005C0E76">
        <w:fldChar w:fldCharType="separate"/>
      </w:r>
      <w:r w:rsidRPr="00EB026D">
        <w:rPr>
          <w:noProof/>
        </w:rPr>
        <w:t xml:space="preserve">(Vlot </w:t>
      </w:r>
      <w:r w:rsidRPr="00EB026D">
        <w:rPr>
          <w:i/>
          <w:noProof/>
        </w:rPr>
        <w:t>et al.</w:t>
      </w:r>
      <w:r w:rsidRPr="00EB026D">
        <w:rPr>
          <w:noProof/>
        </w:rPr>
        <w:t>, 2018)</w:t>
      </w:r>
      <w:r w:rsidR="005C0E76">
        <w:fldChar w:fldCharType="end"/>
      </w:r>
      <w:r>
        <w:t xml:space="preserve"> and therefore this modification has a proven function in preventing degradation of nucleic acids by nucleases </w:t>
      </w:r>
      <w:r w:rsidRPr="007918CF">
        <w:rPr>
          <w:i/>
        </w:rPr>
        <w:t>in vivo</w:t>
      </w:r>
      <w:r>
        <w:t xml:space="preserve">. However, </w:t>
      </w:r>
      <w:r w:rsidRPr="00A57D7B">
        <w:t xml:space="preserve">the synthesis of glucosyl-5-hydroxymethyl dsRNA has not previously been reported, and associated RNAi activity was unknown as far as could be ascertained from literature. Glucosyl-5-hydroxymethyl deoxycytidine DNA is synthesised by T4 phages by enzymatic addition of glucose moieties from the substrate uridine diphosphate glucose (UDPG) to 5-hydroxymethyl 2’-deoxycytidine </w:t>
      </w:r>
      <w:r w:rsidR="00D27124">
        <w:t xml:space="preserve">(HMdC) </w:t>
      </w:r>
      <w:r w:rsidRPr="00A57D7B">
        <w:t>residues in DNA (see figure 3.1 c) using the T4-β-glucosyltransferase (T4-BGT) enzyme (see figure 3.1 e). HMdCTP, UDPG and T4-BGT are all</w:t>
      </w:r>
      <w:r w:rsidRPr="00F67188">
        <w:t xml:space="preserve"> commercially available.</w:t>
      </w:r>
      <w:r>
        <w:t xml:space="preserve"> </w:t>
      </w:r>
      <w:r w:rsidR="00D27124">
        <w:t xml:space="preserve">                         </w:t>
      </w:r>
      <w:r>
        <w:lastRenderedPageBreak/>
        <w:t xml:space="preserve">5-Hydroxymethyl and glucosyl-5-hydroxymethyl modifications were therefore selected as potential novel modifications to incorporate in dsRNA for use in RNAi studies. </w:t>
      </w:r>
    </w:p>
    <w:p w:rsidR="008953EC" w:rsidRPr="000E25D8" w:rsidRDefault="008953EC" w:rsidP="008953EC">
      <w:pPr>
        <w:spacing w:line="360" w:lineRule="auto"/>
        <w:ind w:firstLine="284"/>
      </w:pPr>
      <w:r>
        <w:t xml:space="preserve">As these modifications are usually found in DNA, 5-hydroxymethyl DNA was synthesised first. </w:t>
      </w:r>
      <w:r w:rsidRPr="000E25D8">
        <w:t xml:space="preserve">Dome11 DNA incorporating </w:t>
      </w:r>
      <w:r w:rsidR="00D27124">
        <w:t>HMdC residues</w:t>
      </w:r>
      <w:r w:rsidRPr="000E25D8">
        <w:t xml:space="preserve"> was synthesised by PCR as described in section 2.</w:t>
      </w:r>
      <w:r w:rsidR="000E25D8" w:rsidRPr="000E25D8">
        <w:t>2.1</w:t>
      </w:r>
      <w:r w:rsidRPr="000E25D8">
        <w:t xml:space="preserve">, as an initial example, with deoxycytidine triphosphate (dCTP) replaced by a 5-hydroxymethyl 2’-deoxycytidine triphosphate analogue (HMdCTP). The DNA product was analysed by gel electrophoresis (see figure 3.10 a), and shows that HMdC DNA was successfully synthesised. The HMdC DNA was then converted into Gluc-HMdC DNA by enzymatic addition of glucose moieties from the substrate UDPG with the T4-BGT enzyme. The Gluc-HMdC DNA product was analysed by gel electrophoresis and the results are shown in figure 3.10 a &amp; b. The results demonstrate a band shift between HMdC DNA and Gluc-HMdC DNA due to the change in electrophoretic migration, </w:t>
      </w:r>
      <w:r w:rsidR="00D27124">
        <w:t>as a result of</w:t>
      </w:r>
      <w:r w:rsidRPr="000E25D8">
        <w:t xml:space="preserve"> the successful addition of the large glucose moieties to the DNA. However, this band shift was only observed when both the HMdC DNA and Gluc-HMdC DNA had been purified by SPE prior to gel electrophoresis (see figure 3.10 b). </w:t>
      </w:r>
    </w:p>
    <w:p w:rsidR="008953EC" w:rsidRDefault="008953EC" w:rsidP="008953EC">
      <w:pPr>
        <w:spacing w:line="360" w:lineRule="auto"/>
        <w:ind w:firstLine="284"/>
      </w:pPr>
      <w:r w:rsidRPr="00E711A6">
        <w:t xml:space="preserve">Following the successful synthesis of </w:t>
      </w:r>
      <w:r w:rsidRPr="00F67188">
        <w:t>Gluc-HMdC DNA</w:t>
      </w:r>
      <w:r>
        <w:t>,</w:t>
      </w:r>
      <w:r w:rsidRPr="00F67188">
        <w:t xml:space="preserve"> </w:t>
      </w:r>
      <w:r>
        <w:t xml:space="preserve">the incorporation of HMdC into dsRNA using IVT, </w:t>
      </w:r>
      <w:r w:rsidRPr="000E25D8">
        <w:t>in conjunction with T7R&amp;DNA polymerase, was performed by replacing CTP with HMdCTP in the reaction (see section 2.</w:t>
      </w:r>
      <w:r w:rsidR="000E25D8" w:rsidRPr="000E25D8">
        <w:t>2.2</w:t>
      </w:r>
      <w:r w:rsidRPr="000E25D8">
        <w:t>). The reaction product was analysed by gel electrophoresis (see figure 3.10 c). The results demonstrate that a low yield of HMdC dsRNA was obtained. Addition of glucose moieties to HMdC dsRNA by T4-BGT was attempted next. The glucosylation reaction product and HMdC dsRNA were both purified by SPE, and analysed by gel electrophoresis. The results are shown in figure 3.10 d and demonstrate</w:t>
      </w:r>
      <w:r>
        <w:t xml:space="preserve"> there was no clear band shift between the glucosylation reaction product and HMdC dsRNA, suggesting that the enzymatic addition of glucose moieties to HMdC dsRNA was unsuccessful. </w:t>
      </w:r>
    </w:p>
    <w:p w:rsidR="00595C20" w:rsidRDefault="008953EC" w:rsidP="00595C20">
      <w:pPr>
        <w:spacing w:line="360" w:lineRule="auto"/>
        <w:ind w:firstLine="284"/>
      </w:pPr>
      <w:r>
        <w:t xml:space="preserve">It was unknown if </w:t>
      </w:r>
      <w:r w:rsidRPr="000E25D8">
        <w:t>5-hydroxymethyl cytidine (HMrC) could be converted to Gluc-HMrC by T4-BGT. 5-Hydroxymethyl cytidine (HMrC) was incorporated into dsRNA by IVT using standard T7 RNA polymerase, with CTP substituted by HMrCTP (see figure 3.1 d). The IVT reaction product was analysed by gel electrophoresis and the results are shown in figure 3.10 e. The results demonstrate that good yields of HMrC dsRNA were obtained with very little difference in yield from unmodified dsRNA, demonstrating high incorporation efficiency of HMrCTP by T7 polymerase. Glucosylation of the HMrC-containing dsRNA was then attempted using the T4-BGT enzyme and UDPG as previously described. The resulting reaction product and the HMrC dsRNA were purified by SPE and analysed by gel electrophoresis (see figure 3.10 e). The results again show no clear band shift between the glucosylation reaction product and HMrC dsRNA, suggesting that the enzymatic addition of glucose moieties</w:t>
      </w:r>
      <w:r w:rsidR="00595C20" w:rsidRPr="000E25D8">
        <w:t xml:space="preserve"> </w:t>
      </w:r>
      <w:r w:rsidRPr="000E25D8">
        <w:t xml:space="preserve"> to </w:t>
      </w:r>
      <w:r w:rsidR="00595C20" w:rsidRPr="000E25D8">
        <w:t xml:space="preserve"> </w:t>
      </w:r>
      <w:r w:rsidRPr="000E25D8">
        <w:t xml:space="preserve">HMrC </w:t>
      </w:r>
      <w:r w:rsidR="00595C20" w:rsidRPr="000E25D8">
        <w:t xml:space="preserve"> </w:t>
      </w:r>
      <w:r w:rsidRPr="000E25D8">
        <w:t xml:space="preserve">dsRNA </w:t>
      </w:r>
      <w:r w:rsidR="00595C20" w:rsidRPr="000E25D8">
        <w:t xml:space="preserve"> </w:t>
      </w:r>
      <w:r w:rsidRPr="000E25D8">
        <w:t xml:space="preserve">was </w:t>
      </w:r>
      <w:r w:rsidR="00595C20" w:rsidRPr="000E25D8">
        <w:t xml:space="preserve"> </w:t>
      </w:r>
      <w:r w:rsidRPr="000E25D8">
        <w:t xml:space="preserve">unsuccessful. </w:t>
      </w:r>
      <w:r w:rsidR="00595C20" w:rsidRPr="000E25D8">
        <w:t xml:space="preserve"> </w:t>
      </w:r>
      <w:r w:rsidRPr="000E25D8">
        <w:t>In summary,</w:t>
      </w:r>
      <w:r w:rsidR="00595C20" w:rsidRPr="000E25D8">
        <w:t xml:space="preserve"> </w:t>
      </w:r>
      <w:r w:rsidRPr="000E25D8">
        <w:t xml:space="preserve"> these </w:t>
      </w:r>
      <w:r w:rsidR="00595C20" w:rsidRPr="000E25D8">
        <w:t xml:space="preserve"> </w:t>
      </w:r>
      <w:r w:rsidRPr="000E25D8">
        <w:t xml:space="preserve">results </w:t>
      </w:r>
      <w:r w:rsidR="00595C20" w:rsidRPr="000E25D8">
        <w:t xml:space="preserve"> </w:t>
      </w:r>
      <w:r w:rsidRPr="000E25D8">
        <w:t xml:space="preserve">suggest </w:t>
      </w:r>
      <w:r w:rsidR="00595C20" w:rsidRPr="000E25D8">
        <w:t xml:space="preserve"> </w:t>
      </w:r>
      <w:r w:rsidRPr="000E25D8">
        <w:t>that</w:t>
      </w:r>
      <w:r>
        <w:t xml:space="preserve"> </w:t>
      </w:r>
      <w:r w:rsidR="00595C20">
        <w:t xml:space="preserve"> </w:t>
      </w:r>
      <w:r>
        <w:t xml:space="preserve">the </w:t>
      </w:r>
      <w:r w:rsidR="00595C20">
        <w:t xml:space="preserve"> </w:t>
      </w:r>
      <w:r>
        <w:t xml:space="preserve">T4-BGT </w:t>
      </w:r>
    </w:p>
    <w:p w:rsidR="00595C20" w:rsidRDefault="009A0071" w:rsidP="00962A96">
      <w:pPr>
        <w:keepNext/>
        <w:spacing w:after="200"/>
        <w:jc w:val="right"/>
      </w:pPr>
      <w:r>
        <w:rPr>
          <w:noProof/>
          <w:lang w:eastAsia="en-GB"/>
        </w:rPr>
        <w:lastRenderedPageBreak/>
        <w:drawing>
          <wp:inline distT="0" distB="0" distL="0" distR="0">
            <wp:extent cx="5794018" cy="6198950"/>
            <wp:effectExtent l="0" t="0" r="0" b="0"/>
            <wp:docPr id="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5794018" cy="6198950"/>
                    </a:xfrm>
                    <a:prstGeom prst="rect">
                      <a:avLst/>
                    </a:prstGeom>
                    <a:noFill/>
                  </pic:spPr>
                </pic:pic>
              </a:graphicData>
            </a:graphic>
          </wp:inline>
        </w:drawing>
      </w:r>
    </w:p>
    <w:p w:rsidR="00595C20" w:rsidRDefault="00595C20" w:rsidP="00595C20">
      <w:pPr>
        <w:pStyle w:val="Caption"/>
        <w:rPr>
          <w:color w:val="auto"/>
        </w:rPr>
      </w:pPr>
    </w:p>
    <w:p w:rsidR="006973D5" w:rsidRDefault="00595C20" w:rsidP="006973D5">
      <w:pPr>
        <w:pStyle w:val="Caption"/>
        <w:spacing w:after="120"/>
        <w:rPr>
          <w:color w:val="auto"/>
        </w:rPr>
      </w:pPr>
      <w:bookmarkStart w:id="121" w:name="_Toc20411639"/>
      <w:r w:rsidRPr="00595C20">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10</w:t>
      </w:r>
      <w:r w:rsidR="005C0E76">
        <w:rPr>
          <w:color w:val="auto"/>
        </w:rPr>
        <w:fldChar w:fldCharType="end"/>
      </w:r>
      <w:r w:rsidRPr="00595C20">
        <w:rPr>
          <w:color w:val="auto"/>
        </w:rPr>
        <w:t xml:space="preserve"> Synthesis and analysis of DNA and RNA containing 5-Hydroxymethyl and Glucosyl-5-Hydroxymethyl modified deoxyribonucleotides and ribonucleotides.</w:t>
      </w:r>
      <w:bookmarkEnd w:id="121"/>
      <w:r w:rsidRPr="00595C20">
        <w:rPr>
          <w:color w:val="auto"/>
        </w:rPr>
        <w:t xml:space="preserve"> </w:t>
      </w:r>
    </w:p>
    <w:p w:rsidR="00595C20" w:rsidRPr="00595C20" w:rsidRDefault="00595C20" w:rsidP="006973D5">
      <w:pPr>
        <w:pStyle w:val="Caption"/>
        <w:spacing w:after="120"/>
        <w:rPr>
          <w:b w:val="0"/>
          <w:color w:val="auto"/>
        </w:rPr>
      </w:pPr>
      <w:r w:rsidRPr="00595C20">
        <w:rPr>
          <w:b w:val="0"/>
          <w:color w:val="auto"/>
        </w:rPr>
        <w:t xml:space="preserve">(a &amp; b)  Gel electrophoretograms of Dome11 HMdc DNA synthesised by PCR. Glucosylation reaction was performed by addition of Glucose-UDP and T4 </w:t>
      </w:r>
      <w:r w:rsidRPr="00595C20">
        <w:rPr>
          <w:b w:val="0"/>
          <w:color w:val="auto"/>
          <w:lang w:val="el-GR"/>
        </w:rPr>
        <w:t>β</w:t>
      </w:r>
      <w:r w:rsidRPr="00595C20">
        <w:rPr>
          <w:b w:val="0"/>
          <w:color w:val="auto"/>
        </w:rPr>
        <w:t>-glucosyltransferase (T4-BGT) enzyme. The resulting product was analysed with (a) no purification  or (b) purification by solid phase extraction (SPE). The results demonstrate a clear band-shift following glucosylation of the HMdc DNA when the DNA is subsequently purified by SPE.  (c) Gel electrophoretogram demonstrating low yield of Dome11 HMdC dsRNA produced by IVT from Dome11 DNA template using T7R&amp;D polymerase. 1:20 of IVT reaction loaded. (d) Gel electrophoretogram of the glucosylation reaction of Dome11 HMdC dsRNA. No clear band shift for glucosylation was observed indicating HMdC dsRNA is not glucosylated by T4-BGT. (e) Gel electrophoretogram of glucosylation reaction of Dome11 HMrC dsRNA. No clear band shift was observed  demonstrating that HMrC dsRNA is not glucosylated to Gluc-HMrC dsRNA by T4-BGT.</w:t>
      </w:r>
    </w:p>
    <w:p w:rsidR="00595C20" w:rsidRDefault="00595C20">
      <w:pPr>
        <w:spacing w:after="200"/>
        <w:jc w:val="left"/>
      </w:pPr>
      <w:r>
        <w:br w:type="page"/>
      </w:r>
    </w:p>
    <w:p w:rsidR="008953EC" w:rsidRDefault="008953EC" w:rsidP="00595C20">
      <w:pPr>
        <w:spacing w:line="360" w:lineRule="auto"/>
      </w:pPr>
      <w:r>
        <w:lastRenderedPageBreak/>
        <w:t>enzyme is not capable of glucosylating HMrC or HMdC residues is dsRNA, in the</w:t>
      </w:r>
      <w:r w:rsidR="00D27124">
        <w:t xml:space="preserve"> same manner as HMdC residues in</w:t>
      </w:r>
      <w:r>
        <w:t xml:space="preserve"> dsDNA. This suggests that the T4-BGT enzyme cannot glucosylate RNA and requires a DNA substrate.</w:t>
      </w:r>
    </w:p>
    <w:p w:rsidR="008953EC" w:rsidRDefault="008953EC" w:rsidP="008953EC">
      <w:pPr>
        <w:spacing w:line="360" w:lineRule="auto"/>
        <w:ind w:firstLine="284"/>
      </w:pPr>
    </w:p>
    <w:p w:rsidR="008953EC" w:rsidRPr="000E25D8" w:rsidRDefault="008953EC" w:rsidP="008953EC">
      <w:pPr>
        <w:spacing w:line="360" w:lineRule="auto"/>
        <w:ind w:firstLine="284"/>
      </w:pPr>
      <w:r>
        <w:t xml:space="preserve">As 5-hydroxymethyl modifications alone without glucose moieties are capable of protecting phage DNA from degradation </w:t>
      </w:r>
      <w:r w:rsidR="005C0E76">
        <w:fldChar w:fldCharType="begin" w:fldLock="1"/>
      </w:r>
      <w:r>
        <w:instrText>ADDIN CSL_CITATION {"citationItems":[{"id":"ITEM-1","itemData":{"ISSN":"0022-538X","PMID":"4309878","abstract":"Previous work from this laboratory has shown that the cytosine-containing T4 deoxyribonucleic acid (DNA) made by deoxycytidine triphosphatase (dCTPase) amber mutants is extensively degraded, and that nucleases controlled by genes 46 and 47 participate in this process. In this paper, we examine other consequences of a defective dCTPase. Included are studies of DNA synthesis and phage production, and of the control of both early and late protein synthesis after infection of Escherichia coli B with various T4 mutants defective in genes 56 (dCTPase), 42 (dCMP hydroxymethylase), 1 (deoxynucleotide kinase), 43 (DNA polymerase), 30 (polynucleotide ligase), 46 and 47 (DNA breakdown) or e(lysozyme). By varying the temperature of infection with a temperature-sensitive dCTPase mutant, we have been able to control intracellular dCTPase activity, and thus vary the cytosine content of the phage DNA. We have produced and characterized viable T4 phage in which cytosine replaces 20% of the 5-hydroxymethylcytosine (HMC) in the DNA. We present evidence which suggests that intact, cytosine-containing T4 DNA is much less efficient than is normal T4 DNA in directing the synthesis of tail-fiber antigen. Lysozyme production is much less affected by progressively decreasing dCTPase activity; however, complete substitution of cytosine is correlated with a depression of lysozyme synthesis greater than expected from the defective synthesis of DNA. Low but significant lysozyme synthesis is observed late after infection of E. coli B with T4 amber mutants defective in a number of genes controlling DNA synthesis. The \"20% cytosine\" T4 phage, once produced, can initiate an apparently normal infection at permissive temperatures; the synthesis of early enzymes, DNA, and phage does not appear to be impaired. Two roles for HMC in T4 DNA have been indicated previously: (i) involvement in host-controlled restriction of the phage, in which glucosylation of the hydroxymethyl group plays a crucial role (16, 29, 53, 58), and (ii) protection of vegetative DNA against phage-controlled nucleases, a protection not dependent on glucosylation (41, 66, 67). A third role is suggested by our present results: transcription of at least some late genes can occur only from HMC-containing DNA and not from cytosine-containing DNA.","author":[{"dropping-particle":"","family":"Kutter","given":"E M","non-dropping-particle":"","parse-names":false,"suffix":""},{"dropping-particle":"","family":"Wiberg","given":"J S","non-dropping-particle":"","parse-names":false,"suffix":""}],"container-title":"Journal of virology","id":"ITEM-1","issue":"4","issued":{"date-parts":[["1969","10"]]},"page":"439-53","title":"Biological effects of substituting cytosine for 5-hydroxymethylcytosine in the deoxyribonucleic acid of bacteriophage T4.","type":"article-journal","volume":"4"},"uris":["http://www.mendeley.com/documents/?uuid=d5147931-148c-3f2d-8b6f-bbe8718f3789"]}],"mendeley":{"formattedCitation":"(Kutter and Wiberg, 1969)","plainTextFormattedCitation":"(Kutter and Wiberg, 1969)","previouslyFormattedCitation":"(Kutter and Wiberg, 1969)"},"properties":{"noteIndex":0},"schema":"https://github.com/citation-style-language/schema/raw/master/csl-citation.json"}</w:instrText>
      </w:r>
      <w:r w:rsidR="005C0E76">
        <w:fldChar w:fldCharType="separate"/>
      </w:r>
      <w:r w:rsidRPr="000B0135">
        <w:rPr>
          <w:noProof/>
        </w:rPr>
        <w:t>(Kutter and Wiberg, 1969)</w:t>
      </w:r>
      <w:r w:rsidR="005C0E76">
        <w:fldChar w:fldCharType="end"/>
      </w:r>
      <w:r>
        <w:t xml:space="preserve">, and HMr dsRNA could be readily synthesised by IVT, HMr dsRNA was selected as a chemical modification to study in downstream RNAi assays. As an example, FLuc 1HMr and 2HMr dsRNAs were synthesised by IVT reaction using T7 RNA polymerase, with CTP replaced by HMrCTP or UTP replaced by HMrUTP for 1HMr IVT reactions, and both CTP replaced by HMrCTP and UTP replaced by HMrUTP for 2HMr IVT reactions. The dsRNA was purified by </w:t>
      </w:r>
      <w:r w:rsidRPr="000E25D8">
        <w:t xml:space="preserve">incubation with DNase to remove DNA template, followed by SPE and analysis using gel electrophoresis. The results are shown in figure 3.11 a, and demonstrate that 1HMr and 2HMr dsRNA were successfully synthesised. 1HMr and 2HMr dsRNA IVT reactions had similar high yields to unmodified IVT reactions and therefore no further optimisation of synthesis was carried out. Target B unmodified and 1HMr dsRNAs were also synthesised by the same method, and further analysed by IP RP HPLC in non-denaturing conditions (50 °C), and the results are shown in figure 3.11 b. The results demonstrate that dsRNA containing 5-hydroxymethyl modifications does not demonstrate a clear shift in retention time compared to unmodified dsRNA when analysed in non-denaturing conditions. </w:t>
      </w:r>
    </w:p>
    <w:p w:rsidR="00595C20" w:rsidRPr="000E25D8" w:rsidRDefault="00595C20" w:rsidP="008953EC">
      <w:pPr>
        <w:spacing w:line="360" w:lineRule="auto"/>
        <w:ind w:firstLine="284"/>
      </w:pPr>
    </w:p>
    <w:p w:rsidR="008953EC" w:rsidRPr="008B6611" w:rsidRDefault="008953EC" w:rsidP="008953EC">
      <w:pPr>
        <w:spacing w:line="360" w:lineRule="auto"/>
        <w:ind w:firstLine="284"/>
      </w:pPr>
      <w:r w:rsidRPr="000E25D8">
        <w:t>FLuc unmodified, 1HMr and 2HMr dsRNAs were analysed by IP RP HPLC in denaturing conditions (75 °C) and the results are shown in figure 3.11 c. The results demonstrate that 1HMr and 2HMr dsRNA have identical retention times. In the case of 1HMr dsRNA, this was</w:t>
      </w:r>
      <w:r w:rsidRPr="008B6611">
        <w:t xml:space="preserve"> the case for dsRNA produced in IVT reactions with either CTP replaced by HMrCTP or with UTP replaced by HMrUTP. All of the 5-hroxymethyl dsRNAs (both 1HMr and 2HMr dsRNAs) demonstrated a slight reduction in retention time compared to unmodified dsRNA. 1HMr and 2HMr dsRNAs were subsequently generated for a wide range of the target dsRNAs required for downstream RNAi studies.</w:t>
      </w:r>
    </w:p>
    <w:p w:rsidR="008953EC" w:rsidRDefault="008953EC" w:rsidP="008953EC">
      <w:pPr>
        <w:spacing w:line="360" w:lineRule="auto"/>
        <w:ind w:firstLine="284"/>
      </w:pPr>
    </w:p>
    <w:p w:rsidR="00595C20" w:rsidRDefault="00595C20" w:rsidP="008953EC">
      <w:pPr>
        <w:spacing w:line="360" w:lineRule="auto"/>
        <w:ind w:firstLine="284"/>
      </w:pPr>
    </w:p>
    <w:p w:rsidR="00595C20" w:rsidRDefault="00595C20">
      <w:pPr>
        <w:spacing w:after="200"/>
        <w:jc w:val="left"/>
      </w:pPr>
      <w:r>
        <w:br w:type="page"/>
      </w:r>
    </w:p>
    <w:p w:rsidR="00595C20" w:rsidRDefault="009A0071" w:rsidP="00595C20">
      <w:pPr>
        <w:keepNext/>
        <w:spacing w:after="200"/>
        <w:jc w:val="center"/>
      </w:pPr>
      <w:r>
        <w:rPr>
          <w:noProof/>
          <w:lang w:eastAsia="en-GB"/>
        </w:rPr>
        <w:lastRenderedPageBreak/>
        <w:drawing>
          <wp:inline distT="0" distB="0" distL="0" distR="0">
            <wp:extent cx="4346337" cy="7884274"/>
            <wp:effectExtent l="0" t="0" r="0" b="0"/>
            <wp:docPr id="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srcRect/>
                    <a:stretch>
                      <a:fillRect/>
                    </a:stretch>
                  </pic:blipFill>
                  <pic:spPr bwMode="auto">
                    <a:xfrm>
                      <a:off x="0" y="0"/>
                      <a:ext cx="4346337" cy="7884274"/>
                    </a:xfrm>
                    <a:prstGeom prst="rect">
                      <a:avLst/>
                    </a:prstGeom>
                    <a:noFill/>
                  </pic:spPr>
                </pic:pic>
              </a:graphicData>
            </a:graphic>
          </wp:inline>
        </w:drawing>
      </w:r>
    </w:p>
    <w:p w:rsidR="00792A33" w:rsidRDefault="00595C20" w:rsidP="00792A33">
      <w:pPr>
        <w:pStyle w:val="Caption"/>
        <w:spacing w:after="120"/>
        <w:rPr>
          <w:color w:val="auto"/>
        </w:rPr>
      </w:pPr>
      <w:bookmarkStart w:id="122" w:name="_Toc20411640"/>
      <w:r w:rsidRPr="00595C20">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11</w:t>
      </w:r>
      <w:r w:rsidR="005C0E76">
        <w:rPr>
          <w:color w:val="auto"/>
        </w:rPr>
        <w:fldChar w:fldCharType="end"/>
      </w:r>
      <w:r w:rsidRPr="00595C20">
        <w:rPr>
          <w:color w:val="auto"/>
        </w:rPr>
        <w:t xml:space="preserve"> Synthesis of 5-hydroxymethyl modified long dsRNA.</w:t>
      </w:r>
      <w:bookmarkEnd w:id="122"/>
      <w:r w:rsidRPr="00595C20">
        <w:rPr>
          <w:color w:val="auto"/>
        </w:rPr>
        <w:t xml:space="preserve"> </w:t>
      </w:r>
    </w:p>
    <w:p w:rsidR="00595C20" w:rsidRPr="00595C20" w:rsidRDefault="00595C20" w:rsidP="00792A33">
      <w:pPr>
        <w:pStyle w:val="Caption"/>
        <w:spacing w:after="120"/>
        <w:rPr>
          <w:b w:val="0"/>
          <w:color w:val="auto"/>
        </w:rPr>
      </w:pPr>
      <w:r w:rsidRPr="00595C20">
        <w:rPr>
          <w:b w:val="0"/>
          <w:color w:val="auto"/>
        </w:rPr>
        <w:t>(a) Gel electrophoretogram of Unmod, 1HMr and 2HMr dsRNA and unmodified control F59C6.5 dsRNA synthesised by IVT using T7 RNA polymerase. (b) Chromatogram of Target B unmodified and 1HMr dsRNA analysed in non-denaturing conditions at 50 °C using gradient 1. (c) Chromatogram of FLuc unmodified, 1HMr and 2HMr dsRNAs analysed in denaturing conditions at 75 °C using gradient 1.</w:t>
      </w:r>
    </w:p>
    <w:p w:rsidR="008953EC" w:rsidRDefault="008953EC" w:rsidP="00962A96">
      <w:pPr>
        <w:pStyle w:val="Heading3"/>
        <w:ind w:left="709"/>
      </w:pPr>
      <w:bookmarkStart w:id="123" w:name="_Toc18832680"/>
      <w:bookmarkStart w:id="124" w:name="_Toc35333971"/>
      <w:r>
        <w:lastRenderedPageBreak/>
        <w:t>Quantification of unmodified and chemically modified dsRNA by UV spectrophotometry</w:t>
      </w:r>
      <w:bookmarkEnd w:id="123"/>
      <w:bookmarkEnd w:id="124"/>
    </w:p>
    <w:p w:rsidR="008953EC" w:rsidRDefault="008953EC" w:rsidP="008953EC">
      <w:pPr>
        <w:pStyle w:val="Heading3"/>
        <w:numPr>
          <w:ilvl w:val="0"/>
          <w:numId w:val="0"/>
        </w:numPr>
        <w:ind w:left="720"/>
      </w:pPr>
    </w:p>
    <w:p w:rsidR="008953EC" w:rsidRDefault="008953EC" w:rsidP="008953EC">
      <w:pPr>
        <w:spacing w:line="360" w:lineRule="auto"/>
        <w:ind w:firstLine="284"/>
      </w:pPr>
      <w:r>
        <w:t>Following synthesis of the chemically modified dsRNA, a major aim of this thesis is to study the effects of the dsRNA chemical modifications on RNAi efficacy. Therefore, it is important for downstream RNAi studies (see chapters 5 and 6) that accurate quantification of the dsRNA is performed. This enables accurate comparisons of one or more chemically modified dsRNAs and the equivalent unmodified dsRNA in RNAi studies.</w:t>
      </w:r>
    </w:p>
    <w:p w:rsidR="008953EC" w:rsidRDefault="008953EC" w:rsidP="008953EC">
      <w:pPr>
        <w:spacing w:line="360" w:lineRule="auto"/>
        <w:ind w:firstLine="284"/>
      </w:pPr>
      <w:r>
        <w:t xml:space="preserve">Quantification of nucleic acids using Nanodrop UV spectrophotometry, enables the rapid quantification of the nucleic acid based on their absorbance at 260 nm. For quantification of nucleic acids using UV spectrophotometry, </w:t>
      </w:r>
      <w:r w:rsidRPr="00333614">
        <w:t>mass concentration</w:t>
      </w:r>
      <w:r>
        <w:t xml:space="preserve"> values for an </w:t>
      </w:r>
      <w:r w:rsidRPr="00333614">
        <w:t>A</w:t>
      </w:r>
      <w:r w:rsidRPr="00BA4BD6">
        <w:rPr>
          <w:vertAlign w:val="subscript"/>
        </w:rPr>
        <w:t>260</w:t>
      </w:r>
      <w:r>
        <w:t xml:space="preserve"> value of 1 ((µg/ml</w:t>
      </w:r>
      <w:r w:rsidRPr="00333614">
        <w:t>)</w:t>
      </w:r>
      <w:r>
        <w:t>/</w:t>
      </w:r>
      <w:r w:rsidRPr="00333614">
        <w:t>A</w:t>
      </w:r>
      <w:r w:rsidRPr="00FF55C5">
        <w:rPr>
          <w:vertAlign w:val="subscript"/>
        </w:rPr>
        <w:t>260</w:t>
      </w:r>
      <w:r>
        <w:t>)</w:t>
      </w:r>
      <w:r w:rsidRPr="00333614">
        <w:t xml:space="preserve"> of </w:t>
      </w:r>
      <w:r>
        <w:t>30 (µg/ml)</w:t>
      </w:r>
      <w:r w:rsidRPr="00333614">
        <w:t>/A</w:t>
      </w:r>
      <w:r w:rsidRPr="00BA4BD6">
        <w:rPr>
          <w:vertAlign w:val="subscript"/>
        </w:rPr>
        <w:t>260</w:t>
      </w:r>
      <w:r>
        <w:t>, 40 (µg/ml)</w:t>
      </w:r>
      <w:r w:rsidRPr="00333614">
        <w:t>/A</w:t>
      </w:r>
      <w:r w:rsidRPr="00BA4BD6">
        <w:rPr>
          <w:vertAlign w:val="subscript"/>
        </w:rPr>
        <w:t>260</w:t>
      </w:r>
      <w:r w:rsidRPr="00333614">
        <w:t xml:space="preserve"> and 50 </w:t>
      </w:r>
      <w:r>
        <w:t>(µg/ml)</w:t>
      </w:r>
      <w:r w:rsidRPr="00333614">
        <w:t>/A</w:t>
      </w:r>
      <w:r w:rsidRPr="00FF55C5">
        <w:rPr>
          <w:vertAlign w:val="subscript"/>
        </w:rPr>
        <w:t>260</w:t>
      </w:r>
      <w:r w:rsidRPr="00333614">
        <w:t>, are commonly used for</w:t>
      </w:r>
      <w:r>
        <w:t xml:space="preserve"> oligonucleotides,</w:t>
      </w:r>
      <w:r w:rsidRPr="00333614">
        <w:t xml:space="preserve"> </w:t>
      </w:r>
      <w:r>
        <w:t>ss</w:t>
      </w:r>
      <w:r w:rsidRPr="00333614">
        <w:t>RNA and dsDNA, respectively.</w:t>
      </w:r>
      <w:r>
        <w:t xml:space="preserve"> </w:t>
      </w:r>
      <w:r>
        <w:rPr>
          <w:rFonts w:eastAsiaTheme="minorEastAsia"/>
        </w:rPr>
        <w:t xml:space="preserve">It has previously been determined that accounting for hypochromicity of dsRNA and neglecting effects due to the overall length of the dsRNA, an appropriate value to use for the </w:t>
      </w:r>
      <w:r w:rsidRPr="00333614">
        <w:t>mass concentration/A</w:t>
      </w:r>
      <w:r w:rsidRPr="00BA4BD6">
        <w:rPr>
          <w:vertAlign w:val="subscript"/>
        </w:rPr>
        <w:t>260</w:t>
      </w:r>
      <w:r w:rsidRPr="00333614">
        <w:t xml:space="preserve"> </w:t>
      </w:r>
      <w:r>
        <w:rPr>
          <w:rFonts w:eastAsiaTheme="minorEastAsia"/>
        </w:rPr>
        <w:t xml:space="preserve">for dsRNA is 46.52 </w:t>
      </w:r>
      <w:r w:rsidRPr="00333614">
        <w:t>µg/mL/A</w:t>
      </w:r>
      <w:r w:rsidRPr="00BA4BD6">
        <w:rPr>
          <w:vertAlign w:val="subscript"/>
        </w:rPr>
        <w:t>260</w:t>
      </w:r>
      <w:r>
        <w:rPr>
          <w:rFonts w:eastAsiaTheme="minorEastAsia"/>
        </w:rPr>
        <w:t xml:space="preserve"> </w:t>
      </w:r>
      <w:r w:rsidR="005C0E76">
        <w:rPr>
          <w:rFonts w:eastAsiaTheme="minorEastAsia"/>
        </w:rPr>
        <w:fldChar w:fldCharType="begin" w:fldLock="1"/>
      </w:r>
      <w:r>
        <w:rPr>
          <w:rFonts w:eastAsiaTheme="minorEastAsia"/>
        </w:rPr>
        <w:instrText>ADDIN CSL_CITATION {"citationItems":[{"id":"ITEM-1","itemData":{"DOI":"10.1021/acs.analchem.7b04000","ISSN":"15206882","abstract":"UV absorbance spectrophotometry is widely used for the quantification of nucleic acids. For accurate quantification, it is important to determine the hypochromicity of the oligonucleotide or complex nucleic acid structure. The use of thermal denaturation studies in conjunction with UV spectrophotometry to determine hypochromicity requires prolonged, elevated temperatures, which may cause partial hydrolysis of RNA. In addition, dsRNA is difficult to denature even at elevated temperature, and the extinction coefficients of nucleic acids are also affected by temperature, which makes it difficult to accurately determine the nucleic acid concentration. To overcome these caveats, we have utilized the chemical denaturant dimethyl sulfoxide which, in conjunction with a short thermal denaturation, prevents renaturation of the duplex nucleic acids (dsDNA/RNA). Using this approach, we have measured the absorbance of both the unstructured and structured nucleic acids to accurately measure their hypochromicity and det...","author":[{"dropping-particle":"","family":"Nwokeoji","given":"Alison O.","non-dropping-particle":"","parse-names":false,"suffix":""},{"dropping-particle":"","family":"Kilby","given":"Peter M.","non-dropping-particle":"","parse-names":false,"suffix":""},{"dropping-particle":"","family":"Portwood","given":"David E.","non-dropping-particle":"","parse-names":false,"suffix":""},{"dropping-particle":"","family":"Dickman","given":"Mark J.","non-dropping-particle":"","parse-names":false,"suffix":""}],"container-title":"Analytical Chemistry","id":"ITEM-1","issue":"24","issued":{"date-parts":[["2017"]]},"page":"13567-13574","title":"Accurate Quantification of Nucleic Acids Using Hypochromicity Measurements in Conjunction with UV Spectrophotometry","type":"article-journal","volume":"89"},"uris":["http://www.mendeley.com/documents/?uuid=558c7403-30b3-46ee-ad4a-7fa6bd695e95"]}],"mendeley":{"formattedCitation":"(Nwokeoji, Kilby, &lt;i&gt;et al.&lt;/i&gt;, 2017)","manualFormatting":"(Nwokeoji, et al., 2017)","plainTextFormattedCitation":"(Nwokeoji, Kilby, et al., 2017)","previouslyFormattedCitation":"(Nwokeoji, Kilby, &lt;i&gt;et al.&lt;/i&gt;, 2017)"},"properties":{"noteIndex":0},"schema":"https://github.com/citation-style-language/schema/raw/master/csl-citation.json"}</w:instrText>
      </w:r>
      <w:r w:rsidR="005C0E76">
        <w:rPr>
          <w:rFonts w:eastAsiaTheme="minorEastAsia"/>
        </w:rPr>
        <w:fldChar w:fldCharType="separate"/>
      </w:r>
      <w:r w:rsidRPr="00D32A69">
        <w:rPr>
          <w:rFonts w:eastAsiaTheme="minorEastAsia"/>
          <w:noProof/>
        </w:rPr>
        <w:t xml:space="preserve">(Nwokeoji, </w:t>
      </w:r>
      <w:r w:rsidRPr="00D32A69">
        <w:rPr>
          <w:rFonts w:eastAsiaTheme="minorEastAsia"/>
          <w:i/>
          <w:noProof/>
        </w:rPr>
        <w:t>et al.</w:t>
      </w:r>
      <w:r w:rsidRPr="00D32A69">
        <w:rPr>
          <w:rFonts w:eastAsiaTheme="minorEastAsia"/>
          <w:noProof/>
        </w:rPr>
        <w:t>, 2017)</w:t>
      </w:r>
      <w:r w:rsidR="005C0E76">
        <w:rPr>
          <w:rFonts w:eastAsiaTheme="minorEastAsia"/>
        </w:rPr>
        <w:fldChar w:fldCharType="end"/>
      </w:r>
      <w:r>
        <w:rPr>
          <w:rFonts w:eastAsiaTheme="minorEastAsia"/>
        </w:rPr>
        <w:t>. This value was therefore used for all dsRNA quantifications</w:t>
      </w:r>
      <w:r>
        <w:t xml:space="preserve"> with Nanodrop UV spectrophotometry. </w:t>
      </w:r>
    </w:p>
    <w:p w:rsidR="008953EC" w:rsidRPr="000E25D8" w:rsidRDefault="008953EC" w:rsidP="008953EC">
      <w:pPr>
        <w:spacing w:line="360" w:lineRule="auto"/>
        <w:ind w:firstLine="284"/>
      </w:pPr>
      <w:r>
        <w:t xml:space="preserve">However, for accurate quantification of the dsRNA using UV spectrophotometry it is important that the dsRNA is purified prior to analysis. A significant absorbance at 260 nm could be due to unincorporated nucleotides from the IVT reaction and impurities such as abortive transcripts or excess ssRNA that is not annealed. Therefore it is critical for accurate UV quantification of the dsRNA that the excess unincorporated nucleotides are removed via SPE, and further analysis of the dsRNA is performed using gel electrophoresis and IP RP HPLC to ensure the dsRNA is relatively pure and free from large amounts of impurities such as excess </w:t>
      </w:r>
      <w:r w:rsidRPr="000E25D8">
        <w:t xml:space="preserve">ssRNA (see section </w:t>
      </w:r>
      <w:r w:rsidR="000E25D8" w:rsidRPr="000E25D8">
        <w:t>3.3.2</w:t>
      </w:r>
      <w:r w:rsidRPr="000E25D8">
        <w:t>).  Therefore</w:t>
      </w:r>
      <w:r w:rsidR="00D27124">
        <w:t>,</w:t>
      </w:r>
      <w:r w:rsidRPr="000E25D8">
        <w:t xml:space="preserve"> following IVT</w:t>
      </w:r>
      <w:r w:rsidR="00D27124">
        <w:t xml:space="preserve"> and</w:t>
      </w:r>
      <w:r w:rsidRPr="000E25D8">
        <w:t xml:space="preserve"> purification using SPE, further analysis was performed using gel electrophoresis and IP RP HPLC to validate the incorporation of chemical modifications (based on retention time differences to the unmodified dsRNA) and confirm the removal of unincorporated NTPs and the absence of excess ssRNA post annealing of the dsRNA (as shown in figure 3.4 c).  </w:t>
      </w:r>
    </w:p>
    <w:p w:rsidR="00962A96" w:rsidRDefault="008953EC" w:rsidP="008953EC">
      <w:pPr>
        <w:spacing w:line="360" w:lineRule="auto"/>
        <w:ind w:firstLine="284"/>
      </w:pPr>
      <w:r w:rsidRPr="000E25D8">
        <w:t>Following validation of the purity of the dsRNA using the above methods, UV spectrophotometry</w:t>
      </w:r>
      <w:r>
        <w:t xml:space="preserve"> (Nanodrop) was used for quantification of the dsRNA for each </w:t>
      </w:r>
      <w:r w:rsidRPr="000E25D8">
        <w:t xml:space="preserve">dsRNA (see </w:t>
      </w:r>
      <w:r w:rsidR="000E25D8" w:rsidRPr="000E25D8">
        <w:t>section 2.2.5</w:t>
      </w:r>
      <w:r w:rsidRPr="000E25D8">
        <w:t xml:space="preserve">). </w:t>
      </w:r>
      <w:r w:rsidR="00D27124">
        <w:t>Subsequent to</w:t>
      </w:r>
      <w:r w:rsidRPr="000E25D8">
        <w:t xml:space="preserve"> quantification of the dsRNA using UV spectrophotometry</w:t>
      </w:r>
      <w:r w:rsidR="000E25D8">
        <w:t>,</w:t>
      </w:r>
      <w:r w:rsidRPr="000E25D8">
        <w:t xml:space="preserve"> further validation of the accuracy</w:t>
      </w:r>
      <w:r>
        <w:t xml:space="preserve"> of the quantification was performed by analysing equal amounts of the dsRNAs by both gel electrophoresis and IP RP HPLC. Subsequent measurements of the band intensity and peak area corresponding to the dsRNA were performed for each of the different chemically modified dsRNAs to ensure accuracy of </w:t>
      </w:r>
      <w:r w:rsidR="000E25D8">
        <w:t xml:space="preserve">  </w:t>
      </w:r>
      <w:r>
        <w:t xml:space="preserve">the </w:t>
      </w:r>
      <w:r w:rsidR="000E25D8">
        <w:t xml:space="preserve">   </w:t>
      </w:r>
      <w:r>
        <w:t xml:space="preserve">UV </w:t>
      </w:r>
      <w:r w:rsidR="000E25D8">
        <w:t xml:space="preserve">   </w:t>
      </w:r>
      <w:r>
        <w:t xml:space="preserve">spectrophotometry. </w:t>
      </w:r>
      <w:r w:rsidR="000E25D8">
        <w:t xml:space="preserve">  </w:t>
      </w:r>
      <w:r>
        <w:t xml:space="preserve">It </w:t>
      </w:r>
      <w:r w:rsidR="000E25D8">
        <w:t xml:space="preserve">   wa</w:t>
      </w:r>
      <w:r>
        <w:t xml:space="preserve">s </w:t>
      </w:r>
      <w:r w:rsidR="000E25D8">
        <w:t xml:space="preserve">   </w:t>
      </w:r>
      <w:r>
        <w:t xml:space="preserve">expected </w:t>
      </w:r>
      <w:r w:rsidR="000E25D8">
        <w:t xml:space="preserve">  </w:t>
      </w:r>
      <w:r>
        <w:t xml:space="preserve">that </w:t>
      </w:r>
      <w:r w:rsidR="000E25D8">
        <w:t xml:space="preserve">   </w:t>
      </w:r>
      <w:r>
        <w:t xml:space="preserve">equal </w:t>
      </w:r>
      <w:r w:rsidR="000E25D8">
        <w:t xml:space="preserve">   </w:t>
      </w:r>
      <w:r>
        <w:t xml:space="preserve">loadings </w:t>
      </w:r>
      <w:r w:rsidR="000E25D8">
        <w:t xml:space="preserve">  </w:t>
      </w:r>
      <w:r>
        <w:t xml:space="preserve">of </w:t>
      </w:r>
      <w:r w:rsidR="000E25D8">
        <w:t xml:space="preserve">  </w:t>
      </w:r>
      <w:r>
        <w:t xml:space="preserve">the </w:t>
      </w:r>
      <w:r w:rsidR="000E25D8">
        <w:t xml:space="preserve">  </w:t>
      </w:r>
      <w:r>
        <w:t>dsRNA</w:t>
      </w:r>
      <w:r w:rsidR="000E25D8">
        <w:t xml:space="preserve">  </w:t>
      </w:r>
      <w:r>
        <w:t xml:space="preserve"> on</w:t>
      </w:r>
    </w:p>
    <w:p w:rsidR="00962A96" w:rsidRDefault="00962A96">
      <w:pPr>
        <w:spacing w:after="200"/>
        <w:jc w:val="left"/>
      </w:pPr>
      <w:r>
        <w:br w:type="page"/>
      </w:r>
    </w:p>
    <w:p w:rsidR="00962A96" w:rsidRDefault="009A0071" w:rsidP="00962A96">
      <w:pPr>
        <w:keepNext/>
        <w:spacing w:after="200"/>
        <w:jc w:val="left"/>
      </w:pPr>
      <w:r>
        <w:rPr>
          <w:noProof/>
          <w:lang w:eastAsia="en-GB"/>
        </w:rPr>
        <w:lastRenderedPageBreak/>
        <w:drawing>
          <wp:inline distT="0" distB="0" distL="0" distR="0">
            <wp:extent cx="5710374" cy="4027489"/>
            <wp:effectExtent l="0" t="0" r="4626" b="0"/>
            <wp:docPr id="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5710374" cy="4027489"/>
                    </a:xfrm>
                    <a:prstGeom prst="rect">
                      <a:avLst/>
                    </a:prstGeom>
                    <a:noFill/>
                  </pic:spPr>
                </pic:pic>
              </a:graphicData>
            </a:graphic>
          </wp:inline>
        </w:drawing>
      </w:r>
    </w:p>
    <w:p w:rsidR="006973D5" w:rsidRDefault="00962A96" w:rsidP="006973D5">
      <w:pPr>
        <w:pStyle w:val="Caption"/>
        <w:spacing w:after="120"/>
        <w:rPr>
          <w:color w:val="auto"/>
        </w:rPr>
      </w:pPr>
      <w:bookmarkStart w:id="125" w:name="_Toc20411641"/>
      <w:r w:rsidRPr="00962A96">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3</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12</w:t>
      </w:r>
      <w:r w:rsidR="005C0E76">
        <w:rPr>
          <w:color w:val="auto"/>
        </w:rPr>
        <w:fldChar w:fldCharType="end"/>
      </w:r>
      <w:r w:rsidRPr="00962A96">
        <w:rPr>
          <w:color w:val="auto"/>
        </w:rPr>
        <w:t xml:space="preserve"> Quantification of unmodified and phosphorothioate modified dsRNA by IP RP HPLC.</w:t>
      </w:r>
      <w:bookmarkEnd w:id="125"/>
      <w:r w:rsidRPr="00962A96">
        <w:rPr>
          <w:color w:val="auto"/>
        </w:rPr>
        <w:t xml:space="preserve"> </w:t>
      </w:r>
    </w:p>
    <w:p w:rsidR="00962A96" w:rsidRPr="00962A96" w:rsidRDefault="00962A96" w:rsidP="006973D5">
      <w:pPr>
        <w:pStyle w:val="Caption"/>
        <w:spacing w:after="120"/>
        <w:rPr>
          <w:b w:val="0"/>
          <w:color w:val="auto"/>
        </w:rPr>
      </w:pPr>
      <w:r w:rsidRPr="00962A96">
        <w:rPr>
          <w:b w:val="0"/>
          <w:color w:val="auto"/>
        </w:rPr>
        <w:t>(a) Gel electrophoretogram of 1 µg each of unmodified and chemically modified dsRNAs. (b) Bar graph of quantification of 400 ng of unmodified, 1PS and 2PS Dome11 dsRNA by full loop injection IP RP HPLC. Quantification by manual measurement of peak areas in Chromeleon software. Mean and SEM plotted, n = 2.  (c) Table demonstrating an example of validation of Nanodrop quantification for FLuc unmodified, 1PS and 2PS dsRNA by comparing HPLC quantification from (b) with gel electrophoresis analysis. Gel band intensity quantified using Fiji (ImageJ) software.</w:t>
      </w:r>
    </w:p>
    <w:p w:rsidR="00962A96" w:rsidRDefault="00962A96">
      <w:pPr>
        <w:spacing w:after="200"/>
        <w:jc w:val="left"/>
      </w:pPr>
    </w:p>
    <w:p w:rsidR="008953EC" w:rsidRDefault="000E25D8" w:rsidP="00962A96">
      <w:pPr>
        <w:spacing w:line="360" w:lineRule="auto"/>
      </w:pPr>
      <w:r>
        <w:t>the gel would</w:t>
      </w:r>
      <w:r w:rsidR="008953EC">
        <w:t xml:space="preserve"> result in equal staining intensity and injection of equal amounts of the dsRNA using IP RP HPLC w</w:t>
      </w:r>
      <w:r w:rsidR="00D27124">
        <w:t>ould</w:t>
      </w:r>
      <w:r w:rsidR="008953EC">
        <w:t xml:space="preserve"> result in equal peak areas as measured by UV detection. </w:t>
      </w:r>
    </w:p>
    <w:p w:rsidR="00962A96" w:rsidRDefault="00962A96" w:rsidP="008953EC">
      <w:pPr>
        <w:spacing w:line="360" w:lineRule="auto"/>
        <w:ind w:firstLine="284"/>
      </w:pPr>
    </w:p>
    <w:p w:rsidR="008953EC" w:rsidRPr="008B6611" w:rsidRDefault="008953EC" w:rsidP="008953EC">
      <w:pPr>
        <w:spacing w:line="360" w:lineRule="auto"/>
        <w:ind w:firstLine="284"/>
      </w:pPr>
      <w:r w:rsidRPr="000E25D8">
        <w:rPr>
          <w:rFonts w:eastAsiaTheme="minorEastAsia"/>
        </w:rPr>
        <w:t>Based on Nanodrop concentration measurements, equal amounts of a range of unmodified and chemically modified Target B dsRNAs were analysed by gel electrophoresis and the results are shown in figure 3.12 a.</w:t>
      </w:r>
      <w:r w:rsidRPr="000E25D8">
        <w:t xml:space="preserve"> The results show bands of approximately equal intensity for most dsRNAs, with 2PS dsRNA demonstrating a slight reduction in intensity. This reduction in band intensity for PS dsRNA had previously been seen elsewhere (see figure 3.6 b) and was further investigated by HPLC to ensure accurate quantification (see below). 2 2’F dsRNA demonstrates</w:t>
      </w:r>
      <w:r w:rsidRPr="008B6611">
        <w:t xml:space="preserve"> a slight reduction in staining intensity of the main band, but an increase in the intensity of the characteristic dsRNA smear seen above the main band. 1HMr dsRNA demonstrated equal main band and smear intensity to unmodified dsRNA. </w:t>
      </w:r>
    </w:p>
    <w:p w:rsidR="008953EC" w:rsidRDefault="008953EC" w:rsidP="008953EC">
      <w:pPr>
        <w:spacing w:line="360" w:lineRule="auto"/>
        <w:ind w:firstLine="284"/>
      </w:pPr>
      <w:r w:rsidRPr="008B6611">
        <w:lastRenderedPageBreak/>
        <w:t xml:space="preserve">An example of the comparison of peak area determined by IP RP HPLC and gel band intensity determined by gel </w:t>
      </w:r>
      <w:r w:rsidRPr="000E25D8">
        <w:t>electrophoresis with gel band quantification in Fiji (Image J) software for FLuc unmodified, 1PS and 2PS dsRNA is shown in figure 3.12 c. The results demonstrate that the peak areas determined by HPLC are similar for unmodified and phosphorothioate dsRNA, with unmodified and 1PS having virtually identical peak areas, and 2PS having a slightly reduced</w:t>
      </w:r>
      <w:r w:rsidRPr="008B6611">
        <w:t xml:space="preserve"> peak area equivalent to 90% that of unmodified dsRNA. The gel analysis also demonstrates the reduction in gel band intensity for increasing phosphorothioate content of the dsRNA, as previously seen. As the difference in gel band intensity is significantly greater than differences in HPLC quantification, this was thought to be an artefact of gel staining</w:t>
      </w:r>
      <w:r w:rsidR="00D27124">
        <w:t xml:space="preserve"> possibly due to the presence of the chemical modifications altering binding of the stain</w:t>
      </w:r>
      <w:r w:rsidRPr="008B6611">
        <w:t xml:space="preserve">. </w:t>
      </w:r>
    </w:p>
    <w:p w:rsidR="00962A96" w:rsidRPr="008B6611" w:rsidRDefault="00962A96" w:rsidP="008953EC">
      <w:pPr>
        <w:spacing w:line="360" w:lineRule="auto"/>
        <w:ind w:firstLine="284"/>
      </w:pPr>
    </w:p>
    <w:p w:rsidR="008953EC" w:rsidRPr="008B6611" w:rsidRDefault="008953EC" w:rsidP="008953EC">
      <w:pPr>
        <w:spacing w:line="360" w:lineRule="auto"/>
        <w:ind w:firstLine="284"/>
      </w:pPr>
      <w:r w:rsidRPr="008B6611">
        <w:t>This comparison of IP RP HPLC and gel electrophoresis analysis for unmodified and chemically modified dsRNA was subsequently performed for all dsRNAs generated in this study</w:t>
      </w:r>
      <w:r>
        <w:t>,</w:t>
      </w:r>
      <w:r w:rsidRPr="008B6611">
        <w:t xml:space="preserve"> to validate the quantification using UV spectrophotometry</w:t>
      </w:r>
      <w:r>
        <w:t xml:space="preserve"> prior to using dsRNA in cell, insect, or </w:t>
      </w:r>
      <w:r w:rsidRPr="004E207B">
        <w:rPr>
          <w:i/>
        </w:rPr>
        <w:t>in vitro</w:t>
      </w:r>
      <w:r>
        <w:t xml:space="preserve"> assays</w:t>
      </w:r>
      <w:r w:rsidRPr="008B6611">
        <w:t>.</w:t>
      </w:r>
    </w:p>
    <w:p w:rsidR="008953EC" w:rsidRDefault="008953EC" w:rsidP="008953EC">
      <w:pPr>
        <w:spacing w:line="360" w:lineRule="auto"/>
        <w:ind w:firstLine="284"/>
      </w:pPr>
    </w:p>
    <w:p w:rsidR="008953EC" w:rsidRDefault="008953EC" w:rsidP="008953EC">
      <w:pPr>
        <w:spacing w:line="360" w:lineRule="auto"/>
        <w:ind w:firstLine="284"/>
      </w:pPr>
    </w:p>
    <w:p w:rsidR="00962A96" w:rsidRDefault="00962A96">
      <w:pPr>
        <w:spacing w:after="200"/>
        <w:jc w:val="left"/>
      </w:pPr>
      <w:r>
        <w:br w:type="page"/>
      </w:r>
    </w:p>
    <w:p w:rsidR="008953EC" w:rsidRDefault="008953EC" w:rsidP="008953EC">
      <w:pPr>
        <w:pStyle w:val="Heading2"/>
        <w:spacing w:line="360" w:lineRule="auto"/>
      </w:pPr>
      <w:bookmarkStart w:id="126" w:name="_Toc18832681"/>
      <w:bookmarkStart w:id="127" w:name="_Toc35333972"/>
      <w:r>
        <w:lastRenderedPageBreak/>
        <w:t>Conclusions</w:t>
      </w:r>
      <w:bookmarkEnd w:id="126"/>
      <w:bookmarkEnd w:id="127"/>
    </w:p>
    <w:p w:rsidR="008953EC" w:rsidRDefault="008953EC" w:rsidP="008953EC"/>
    <w:p w:rsidR="008953EC" w:rsidRDefault="008953EC" w:rsidP="008953EC">
      <w:pPr>
        <w:spacing w:line="360" w:lineRule="auto"/>
        <w:ind w:firstLine="284"/>
      </w:pPr>
      <w:r>
        <w:t xml:space="preserve">To study the effects of chemical modifications of long dsRNA in downstream RNAi applications, a range of different chemically modified dsRNAs were synthesised using </w:t>
      </w:r>
      <w:r w:rsidRPr="00C635F8">
        <w:rPr>
          <w:i/>
        </w:rPr>
        <w:t>in vitro</w:t>
      </w:r>
      <w:r>
        <w:t xml:space="preserve"> transcription, purified and quantified. Optimisation of enzymatic </w:t>
      </w:r>
      <w:r w:rsidRPr="00C635F8">
        <w:rPr>
          <w:i/>
        </w:rPr>
        <w:t>in vitro</w:t>
      </w:r>
      <w:r>
        <w:t xml:space="preserve"> synthesis methods using phage RNA polymerases were performed, to produce either ssRNA in separate reactions prior to annealing of the dsRNA, or alternatively, to produce the dsRNA in a single IVT reaction.</w:t>
      </w:r>
    </w:p>
    <w:p w:rsidR="008953EC" w:rsidRDefault="008953EC" w:rsidP="008953EC">
      <w:pPr>
        <w:spacing w:line="360" w:lineRule="auto"/>
      </w:pPr>
    </w:p>
    <w:p w:rsidR="008953EC" w:rsidRDefault="008953EC" w:rsidP="008953EC">
      <w:pPr>
        <w:spacing w:line="360" w:lineRule="auto"/>
        <w:ind w:firstLine="284"/>
      </w:pPr>
      <w:r>
        <w:t xml:space="preserve">dsRNAs containing phosphorothioate bonds were successfully synthesised by IVT using T7 RNA polymerase, by replacing either one or two NTPs with their corresponding </w:t>
      </w:r>
      <w:r>
        <w:rPr>
          <w:rFonts w:cstheme="minorHAnsi"/>
        </w:rPr>
        <w:t>α</w:t>
      </w:r>
      <w:r>
        <w:t xml:space="preserve">-thio NTP analogues in a single IVT reaction. Using this approach up to two out of the four NTPs could be replaced by </w:t>
      </w:r>
      <w:r>
        <w:rPr>
          <w:rFonts w:cstheme="minorHAnsi"/>
        </w:rPr>
        <w:t>α</w:t>
      </w:r>
      <w:r>
        <w:t>-thio NTPs whilst maintaining a reasonable yield of dsRNA. Phosphorothioate ssRNA could also be synthesised by the same method and annealed with complimentary phosphorothioate or unmodified ssRNA to produce various types of phosphorothioate dsRNA, where the modifications are present in either the passenger strand, guide strand, or both strands. Optimisations of the IVT reactions and annealing conditions were performed. In addition, further validation and analysis of the PS dsRNA was performed using IP RP HPLC to ensure correct annealing of the PS dsRNA.</w:t>
      </w:r>
    </w:p>
    <w:p w:rsidR="008953EC" w:rsidRDefault="00D27124" w:rsidP="008953EC">
      <w:pPr>
        <w:spacing w:line="360" w:lineRule="auto"/>
        <w:ind w:firstLine="284"/>
      </w:pPr>
      <w:r>
        <w:t xml:space="preserve">Synthesis of </w:t>
      </w:r>
      <w:r w:rsidR="008953EC">
        <w:t xml:space="preserve">dsRNA containing 2’-fluoro modifications required the use of a modified T7 RNA polymerase (T7R&amp;D polymerase) in conjunction with replacement of CTP and UTP with 2’-fluoro CTP and 2’-fluoro UTP analogues in the IVT reaction. Interestingly, dsRNA containing 2’-fluoro modifications could not be synthesised in a single IVT reaction using this approach. However complimentary 2’-fluoro ssRNAs were successfully synthesised by IVT using a modified T7R&amp;D polymerase, and successfully annealed with both 2’-fluoro and unmodified ssRNAs to produce dsRNA. </w:t>
      </w:r>
    </w:p>
    <w:p w:rsidR="008953EC" w:rsidRDefault="008953EC" w:rsidP="008953EC">
      <w:pPr>
        <w:spacing w:line="360" w:lineRule="auto"/>
        <w:ind w:firstLine="284"/>
      </w:pPr>
      <w:r>
        <w:t xml:space="preserve">In addition to the above chemically modified dsRNA, dsRNA containing </w:t>
      </w:r>
      <w:bookmarkStart w:id="128" w:name="_Hlk18334928"/>
      <w:r>
        <w:t xml:space="preserve">5-hydroxymethyl </w:t>
      </w:r>
      <w:bookmarkEnd w:id="128"/>
      <w:r>
        <w:t>modifications was successfully synthesised by IVT using standard T7 RNA polymerase, and high yields of dsRNA comparable to yields of unmodified dsRNA were achieved. IVT reactions were performed using HMrCTP and HMrUTP nucleotide analogues to replace CTP and UTP respectively. However it was not possible to enzymatically glucosylate the 5-hydroxymethyl dsRNA using T4-β-glucosyltransferase. An alternative approach was used involving IVT reactions with CTP replaced by 5-hydroxymethyl deoxycytidine triphosphate (HMdCTP) which was incorporated into dsRNA in low yields using T7R&amp;D polymerase. However, this was also not a substrate for T4-β-glucosyltransferase. Therefore we were unable to prepare glucosylated dsRNA for downstream RNAi applications, but successfully synthesised dsRNA containing 5-hydroxymethyl modifications.</w:t>
      </w:r>
    </w:p>
    <w:p w:rsidR="008953EC" w:rsidRDefault="008953EC" w:rsidP="008953EC">
      <w:pPr>
        <w:spacing w:line="360" w:lineRule="auto"/>
        <w:ind w:firstLine="284"/>
      </w:pPr>
    </w:p>
    <w:p w:rsidR="008953EC" w:rsidRDefault="008953EC" w:rsidP="008953EC">
      <w:pPr>
        <w:spacing w:line="360" w:lineRule="auto"/>
        <w:ind w:firstLine="284"/>
      </w:pPr>
      <w:r>
        <w:lastRenderedPageBreak/>
        <w:t>The synthesised chemically modified RNAs were subsequently purified by SPE and analysed by Nanodrop UV spectrophotometry (Nanodrop), gel electrophoresis, and ion pair reverse phase high performance chromatography (IP RP HPLC).</w:t>
      </w:r>
      <w:r w:rsidRPr="0080516A">
        <w:t xml:space="preserve"> </w:t>
      </w:r>
      <w:r>
        <w:t>Further validation and analysis of the dsRNA was performed using IP RP HPLC and gel electrophoresis. Using these methods enabled the verification of the presence of the chemical modifications in the RNA, the correct annealing of the ssRNA into dsRNA and the removal of impurities such as unincorporated NTPs</w:t>
      </w:r>
      <w:r w:rsidR="00D27124">
        <w:t>,</w:t>
      </w:r>
      <w:r>
        <w:t xml:space="preserve"> excess ssRNA</w:t>
      </w:r>
      <w:r w:rsidR="00D27124">
        <w:t>, and DNA</w:t>
      </w:r>
      <w:r>
        <w:t xml:space="preserve"> which could affect the accurate quantification of the dsRNA using UV spectrophotometry.  Overall the quality of purified RNA was high, although some 2’-fluoro RNA retained moderate levels of contaminants, as revealed by the size of injection peaks when analysed by IP RP HPLC.</w:t>
      </w:r>
    </w:p>
    <w:p w:rsidR="008953EC" w:rsidRDefault="008953EC" w:rsidP="008953EC">
      <w:pPr>
        <w:spacing w:line="360" w:lineRule="auto"/>
        <w:ind w:firstLine="284"/>
        <w:rPr>
          <w:color w:val="FF0000"/>
        </w:rPr>
      </w:pPr>
    </w:p>
    <w:p w:rsidR="008953EC" w:rsidRDefault="008953EC" w:rsidP="008953EC">
      <w:pPr>
        <w:spacing w:line="360" w:lineRule="auto"/>
        <w:ind w:firstLine="284"/>
      </w:pPr>
      <w:r>
        <w:t>In summary</w:t>
      </w:r>
      <w:r w:rsidR="00D27124">
        <w:t>,</w:t>
      </w:r>
      <w:r>
        <w:t xml:space="preserve"> phosphorothioate, 2’-fluoro and 5-hydroxymethyl ssRNAs and dsRNAs for a number of different dsRNA</w:t>
      </w:r>
      <w:r w:rsidR="00D27124">
        <w:t xml:space="preserve"> targets</w:t>
      </w:r>
      <w:r>
        <w:t xml:space="preserve"> were successfully synthesised, purified and quantified. The synthesis, purification and quantification methods described here were used to generate all the combinations of modified dsRNA subsequently used in insect cell and live insect RNAi assays. </w:t>
      </w:r>
    </w:p>
    <w:p w:rsidR="00962A96" w:rsidRDefault="00962A96">
      <w:pPr>
        <w:spacing w:after="200"/>
        <w:jc w:val="left"/>
      </w:pPr>
      <w:r>
        <w:br w:type="page"/>
      </w:r>
    </w:p>
    <w:p w:rsidR="00962A96" w:rsidRDefault="00962A96" w:rsidP="00962A96">
      <w:pPr>
        <w:spacing w:after="200"/>
        <w:jc w:val="center"/>
        <w:rPr>
          <w:sz w:val="72"/>
          <w:szCs w:val="72"/>
        </w:rPr>
      </w:pPr>
      <w:r>
        <w:rPr>
          <w:sz w:val="72"/>
          <w:szCs w:val="72"/>
        </w:rPr>
        <w:lastRenderedPageBreak/>
        <w:t>Chapter 4</w:t>
      </w:r>
    </w:p>
    <w:p w:rsidR="00962A96" w:rsidRDefault="00962A96" w:rsidP="00962A96">
      <w:pPr>
        <w:spacing w:after="200"/>
        <w:jc w:val="center"/>
        <w:rPr>
          <w:sz w:val="72"/>
          <w:szCs w:val="72"/>
        </w:rPr>
      </w:pPr>
    </w:p>
    <w:p w:rsidR="00962A96" w:rsidRDefault="00962A96" w:rsidP="00962A96">
      <w:pPr>
        <w:spacing w:line="360" w:lineRule="auto"/>
        <w:jc w:val="center"/>
        <w:rPr>
          <w:sz w:val="52"/>
          <w:szCs w:val="52"/>
        </w:rPr>
      </w:pPr>
      <w:r w:rsidRPr="00962A96">
        <w:rPr>
          <w:sz w:val="52"/>
          <w:szCs w:val="52"/>
        </w:rPr>
        <w:t xml:space="preserve">Studying the effects of dsRNA </w:t>
      </w:r>
    </w:p>
    <w:p w:rsidR="00962A96" w:rsidRDefault="00962A96" w:rsidP="00962A96">
      <w:pPr>
        <w:spacing w:line="360" w:lineRule="auto"/>
        <w:jc w:val="center"/>
        <w:rPr>
          <w:sz w:val="52"/>
          <w:szCs w:val="52"/>
        </w:rPr>
      </w:pPr>
      <w:r w:rsidRPr="00962A96">
        <w:rPr>
          <w:sz w:val="52"/>
          <w:szCs w:val="52"/>
        </w:rPr>
        <w:t xml:space="preserve">chemical modifications on the activity </w:t>
      </w:r>
    </w:p>
    <w:p w:rsidR="00962A96" w:rsidRDefault="00962A96" w:rsidP="00962A96">
      <w:pPr>
        <w:spacing w:line="360" w:lineRule="auto"/>
        <w:jc w:val="center"/>
        <w:rPr>
          <w:color w:val="FF0000"/>
        </w:rPr>
      </w:pPr>
      <w:r w:rsidRPr="00962A96">
        <w:rPr>
          <w:sz w:val="52"/>
          <w:szCs w:val="52"/>
        </w:rPr>
        <w:t>of insect nucleases</w:t>
      </w:r>
    </w:p>
    <w:p w:rsidR="00962A96" w:rsidRDefault="00962A96" w:rsidP="00962A96">
      <w:pPr>
        <w:spacing w:line="360" w:lineRule="auto"/>
        <w:ind w:firstLine="284"/>
        <w:rPr>
          <w:color w:val="FF0000"/>
        </w:rPr>
      </w:pPr>
    </w:p>
    <w:p w:rsidR="00962A96" w:rsidRPr="00CF0AF7" w:rsidRDefault="00962A96" w:rsidP="00962A96">
      <w:pPr>
        <w:widowControl w:val="0"/>
        <w:autoSpaceDE w:val="0"/>
        <w:autoSpaceDN w:val="0"/>
        <w:adjustRightInd w:val="0"/>
        <w:spacing w:after="120" w:line="240" w:lineRule="auto"/>
        <w:ind w:firstLine="284"/>
      </w:pPr>
    </w:p>
    <w:p w:rsidR="0073713C" w:rsidRPr="00A107F2" w:rsidRDefault="00962A96" w:rsidP="0073713C">
      <w:pPr>
        <w:pStyle w:val="Heading1"/>
        <w:spacing w:before="120" w:after="240" w:line="360" w:lineRule="auto"/>
      </w:pPr>
      <w:r>
        <w:rPr>
          <w:color w:val="FF0000"/>
        </w:rPr>
        <w:br w:type="page"/>
      </w:r>
      <w:bookmarkStart w:id="129" w:name="_Toc18655884"/>
      <w:bookmarkStart w:id="130" w:name="_Toc6752454"/>
      <w:bookmarkStart w:id="131" w:name="_Toc35333973"/>
      <w:r w:rsidR="0073713C">
        <w:lastRenderedPageBreak/>
        <w:t>Studying the effects of dsRNA chemical modifications on the activity of insect nucleases</w:t>
      </w:r>
      <w:bookmarkEnd w:id="131"/>
      <w:r w:rsidR="0073713C" w:rsidRPr="00A107F2">
        <w:t xml:space="preserve"> </w:t>
      </w:r>
      <w:bookmarkEnd w:id="129"/>
      <w:bookmarkEnd w:id="130"/>
    </w:p>
    <w:p w:rsidR="0073713C" w:rsidRPr="00A107F2" w:rsidRDefault="0073713C" w:rsidP="0073713C">
      <w:pPr>
        <w:pStyle w:val="Heading2"/>
        <w:spacing w:before="120" w:after="120" w:line="360" w:lineRule="auto"/>
        <w:ind w:left="567"/>
      </w:pPr>
      <w:bookmarkStart w:id="132" w:name="_Toc18655885"/>
      <w:bookmarkStart w:id="133" w:name="_Toc35333974"/>
      <w:r w:rsidRPr="00A107F2">
        <w:t>Abstract</w:t>
      </w:r>
      <w:bookmarkEnd w:id="132"/>
      <w:bookmarkEnd w:id="133"/>
    </w:p>
    <w:p w:rsidR="0073713C" w:rsidRDefault="0073713C" w:rsidP="0073713C">
      <w:pPr>
        <w:spacing w:line="360" w:lineRule="auto"/>
        <w:ind w:firstLine="284"/>
      </w:pPr>
      <w:r>
        <w:t>The interaction of dsRNA with insect nucleases is critical to the efficacy of a dsRNA insecticide. The dsRNA must resist degradation by nucleases present in the saliva, gut secretions,</w:t>
      </w:r>
      <w:r w:rsidR="00D27124">
        <w:t xml:space="preserve"> and</w:t>
      </w:r>
      <w:r>
        <w:t xml:space="preserve"> hemolymph of the insect as well as potential environmental nucleases, in order for enough copies of the dsRNA to be taken up by insect cells to induce RNAi mediated knockdown of the target mRNA. Once inside the cells of the insect, the endoribonuclease Dicer-2 must then process the long dsRNA into functional short siRNAs in order to form mature RISCs capable of inducing RNAi mediated knockdown of the target mRNA. A successful dsRNA insecticide must therefore be stable with respect to the first class of nucleases, but be readily processed by the Dicer-2 nuclease. </w:t>
      </w:r>
    </w:p>
    <w:p w:rsidR="0073713C" w:rsidRDefault="0073713C" w:rsidP="0073713C">
      <w:pPr>
        <w:spacing w:line="360" w:lineRule="auto"/>
        <w:ind w:firstLine="284"/>
      </w:pPr>
      <w:r>
        <w:t xml:space="preserve">In this Chapter the effects </w:t>
      </w:r>
      <w:r w:rsidRPr="00D6144D">
        <w:t>of dsRNA chemical modifications</w:t>
      </w:r>
      <w:r>
        <w:t xml:space="preserve"> (including dsRNAs with phosphorothioate, 2’-fluoro and 5-hydroxymethyl modifications)</w:t>
      </w:r>
      <w:r w:rsidRPr="00D6144D">
        <w:t xml:space="preserve"> on the activity </w:t>
      </w:r>
      <w:r w:rsidRPr="00BB1996">
        <w:rPr>
          <w:i/>
        </w:rPr>
        <w:t>in vitro</w:t>
      </w:r>
      <w:r w:rsidRPr="00D6144D">
        <w:t xml:space="preserve"> of </w:t>
      </w:r>
      <w:r>
        <w:t xml:space="preserve">bacterial RNase III, Dicer from </w:t>
      </w:r>
      <w:r w:rsidRPr="00D6144D">
        <w:rPr>
          <w:i/>
          <w:iCs/>
        </w:rPr>
        <w:t>Giardia intestinalis</w:t>
      </w:r>
      <w:r w:rsidRPr="00D6144D">
        <w:t xml:space="preserve"> </w:t>
      </w:r>
      <w:r>
        <w:t>and nucleases present in the saliva from stink bugs were studied.</w:t>
      </w:r>
    </w:p>
    <w:p w:rsidR="0073713C" w:rsidRDefault="0073713C" w:rsidP="0073713C">
      <w:pPr>
        <w:spacing w:line="360" w:lineRule="auto"/>
        <w:ind w:firstLine="284"/>
        <w:rPr>
          <w:iCs/>
        </w:rPr>
      </w:pPr>
      <w:r>
        <w:t xml:space="preserve">Phosphorothioate containing dsRNA demonstrated increased resistance to stick bug saliva in </w:t>
      </w:r>
      <w:r w:rsidRPr="00E257D0">
        <w:rPr>
          <w:i/>
        </w:rPr>
        <w:t>in vitro</w:t>
      </w:r>
      <w:r>
        <w:t xml:space="preserve"> assays, highlighting the potential of this modification for improved RNAi efficacy in live insects. However, the </w:t>
      </w:r>
      <w:r w:rsidRPr="0018146E">
        <w:rPr>
          <w:i/>
        </w:rPr>
        <w:t>in vitro</w:t>
      </w:r>
      <w:r>
        <w:t xml:space="preserve"> assays also indicated this is a poor substrate for bacterial RNase III and </w:t>
      </w:r>
      <w:r w:rsidRPr="00D6144D">
        <w:rPr>
          <w:i/>
          <w:iCs/>
        </w:rPr>
        <w:t>Giardia</w:t>
      </w:r>
      <w:r>
        <w:rPr>
          <w:i/>
          <w:iCs/>
        </w:rPr>
        <w:t xml:space="preserve"> </w:t>
      </w:r>
      <w:r w:rsidRPr="0018146E">
        <w:rPr>
          <w:iCs/>
        </w:rPr>
        <w:t>Dicer</w:t>
      </w:r>
      <w:r>
        <w:rPr>
          <w:iCs/>
        </w:rPr>
        <w:t xml:space="preserve"> and is not effectively processed into esiRNAs, which may reduce the RNAi efficacy </w:t>
      </w:r>
      <w:r w:rsidRPr="0018146E">
        <w:rPr>
          <w:i/>
          <w:iCs/>
        </w:rPr>
        <w:t>in vivo</w:t>
      </w:r>
      <w:r>
        <w:rPr>
          <w:iCs/>
        </w:rPr>
        <w:t xml:space="preserve">. Although the </w:t>
      </w:r>
      <w:r>
        <w:t xml:space="preserve">2’-fluoro and 5-hydroxymethyl dsRNA showed no increased resistance to nucleases present in the saliva from stink bugs </w:t>
      </w:r>
      <w:r w:rsidRPr="0018146E">
        <w:rPr>
          <w:i/>
        </w:rPr>
        <w:t>in vitro</w:t>
      </w:r>
      <w:r>
        <w:rPr>
          <w:i/>
        </w:rPr>
        <w:t>,</w:t>
      </w:r>
      <w:r>
        <w:t xml:space="preserve"> these dsRNA were effectively processed by bacterial RNase III </w:t>
      </w:r>
      <w:r>
        <w:rPr>
          <w:iCs/>
        </w:rPr>
        <w:t xml:space="preserve">into esiRNAs, suggesting they are likely substrates for Dicer-2 </w:t>
      </w:r>
      <w:r w:rsidRPr="0018146E">
        <w:rPr>
          <w:i/>
          <w:iCs/>
        </w:rPr>
        <w:t>in vivo</w:t>
      </w:r>
      <w:r>
        <w:rPr>
          <w:iCs/>
        </w:rPr>
        <w:t>. Conversely, however all chemically modified dsRNAs were poor substrates for</w:t>
      </w:r>
      <w:r>
        <w:t xml:space="preserve"> </w:t>
      </w:r>
      <w:r w:rsidRPr="00D6144D">
        <w:rPr>
          <w:i/>
          <w:iCs/>
        </w:rPr>
        <w:t>Giardia</w:t>
      </w:r>
      <w:r>
        <w:rPr>
          <w:i/>
          <w:iCs/>
        </w:rPr>
        <w:t xml:space="preserve"> </w:t>
      </w:r>
      <w:r w:rsidRPr="00FF55C5">
        <w:rPr>
          <w:iCs/>
        </w:rPr>
        <w:t>Dicer</w:t>
      </w:r>
      <w:r>
        <w:rPr>
          <w:iCs/>
        </w:rPr>
        <w:t>.</w:t>
      </w:r>
    </w:p>
    <w:p w:rsidR="0073713C" w:rsidRDefault="0073713C" w:rsidP="0073713C">
      <w:pPr>
        <w:spacing w:line="360" w:lineRule="auto"/>
        <w:ind w:firstLine="284"/>
        <w:rPr>
          <w:iCs/>
        </w:rPr>
      </w:pPr>
      <w:r>
        <w:t>These results provide further insight into the effects of dsRNA chemical modifications on the activity of</w:t>
      </w:r>
      <w:r w:rsidRPr="00A107F2">
        <w:t xml:space="preserve"> insect nucleases</w:t>
      </w:r>
      <w:r>
        <w:t>.</w:t>
      </w:r>
    </w:p>
    <w:p w:rsidR="0073713C" w:rsidRDefault="0073713C" w:rsidP="0073713C">
      <w:pPr>
        <w:spacing w:line="360" w:lineRule="auto"/>
        <w:ind w:firstLine="284"/>
        <w:rPr>
          <w:iCs/>
        </w:rPr>
      </w:pPr>
    </w:p>
    <w:p w:rsidR="0073713C" w:rsidRDefault="0073713C" w:rsidP="0073713C">
      <w:pPr>
        <w:spacing w:line="360" w:lineRule="auto"/>
        <w:ind w:firstLine="284"/>
        <w:rPr>
          <w:iCs/>
        </w:rPr>
      </w:pPr>
    </w:p>
    <w:p w:rsidR="0073713C" w:rsidRDefault="0073713C" w:rsidP="0073713C">
      <w:pPr>
        <w:spacing w:line="360" w:lineRule="auto"/>
        <w:ind w:firstLine="284"/>
        <w:rPr>
          <w:iCs/>
        </w:rPr>
      </w:pPr>
    </w:p>
    <w:p w:rsidR="0073713C" w:rsidRDefault="0073713C" w:rsidP="0073713C">
      <w:pPr>
        <w:spacing w:line="360" w:lineRule="auto"/>
        <w:ind w:firstLine="284"/>
        <w:rPr>
          <w:iCs/>
        </w:rPr>
      </w:pPr>
    </w:p>
    <w:p w:rsidR="0073713C" w:rsidRDefault="0073713C" w:rsidP="0073713C">
      <w:pPr>
        <w:spacing w:line="360" w:lineRule="auto"/>
        <w:ind w:firstLine="284"/>
        <w:rPr>
          <w:iCs/>
        </w:rPr>
      </w:pPr>
    </w:p>
    <w:p w:rsidR="0073713C" w:rsidRDefault="0073713C" w:rsidP="0073713C">
      <w:pPr>
        <w:spacing w:line="360" w:lineRule="auto"/>
        <w:ind w:firstLine="284"/>
        <w:rPr>
          <w:iCs/>
        </w:rPr>
      </w:pPr>
    </w:p>
    <w:p w:rsidR="0073713C" w:rsidRDefault="0073713C" w:rsidP="0073713C">
      <w:pPr>
        <w:spacing w:line="360" w:lineRule="auto"/>
        <w:ind w:firstLine="284"/>
        <w:rPr>
          <w:iCs/>
        </w:rPr>
      </w:pPr>
    </w:p>
    <w:p w:rsidR="0073713C" w:rsidRDefault="0073713C" w:rsidP="0073713C">
      <w:pPr>
        <w:spacing w:line="360" w:lineRule="auto"/>
        <w:ind w:firstLine="284"/>
      </w:pPr>
    </w:p>
    <w:p w:rsidR="0073713C" w:rsidRDefault="0073713C" w:rsidP="0073713C">
      <w:pPr>
        <w:pStyle w:val="Heading2"/>
        <w:spacing w:before="120" w:after="120" w:line="360" w:lineRule="auto"/>
        <w:ind w:left="567"/>
      </w:pPr>
      <w:bookmarkStart w:id="134" w:name="_Toc18655886"/>
      <w:bookmarkStart w:id="135" w:name="_Toc35333975"/>
      <w:r>
        <w:lastRenderedPageBreak/>
        <w:t>Introduction</w:t>
      </w:r>
      <w:bookmarkEnd w:id="134"/>
      <w:bookmarkEnd w:id="135"/>
    </w:p>
    <w:p w:rsidR="0073713C" w:rsidRDefault="0073713C" w:rsidP="0073713C">
      <w:pPr>
        <w:spacing w:line="360" w:lineRule="auto"/>
        <w:ind w:firstLine="284"/>
      </w:pPr>
      <w:r>
        <w:t xml:space="preserve">The interaction of dsRNA with two major classes of nucleases is crucial in determining the success or failure of a dsRNA insecticide. Firstly, the dsRNA must resist degradation by nucleases present in the saliva, gut secretions and hemolymph of the insect as well as environmental nucleases, in order for enough copies of the dsRNA to be </w:t>
      </w:r>
      <w:r w:rsidR="00D27124">
        <w:t>up</w:t>
      </w:r>
      <w:r>
        <w:t>taken by insect cells to induce RNAi-related knockdown of the target mRNA. Once inside individual cells of the insect</w:t>
      </w:r>
      <w:r w:rsidR="00DA03E0">
        <w:t>,</w:t>
      </w:r>
      <w:r>
        <w:t xml:space="preserve"> the second class of nucleases, the endoribonuclease Dicer-2, must then process the long dsRNA into short siRNAs in order to form mature RISCs capable of inducing RNAi-related knockdown of the target mRNA </w:t>
      </w:r>
      <w:r w:rsidR="005C0E76">
        <w:fldChar w:fldCharType="begin" w:fldLock="1"/>
      </w:r>
      <w:r w:rsidR="00C57A7E">
        <w:instrText>ADDIN CSL_CITATION {"citationItems":[{"id":"ITEM-1","itemData":{"ISSN":"0092-8674","PMID":"15066283","abstract":"The RNase III enzyme Dicer processes RNA into siRNAs and miRNAs, which direct a RNA-induced silencing complex (RISC) to cleave mRNA or block its translation (RNAi). We have characterized mutations in the Drosophila dicer-1 and dicer-2 genes. Mutation in dicer-1 blocks processing of miRNA precursors, whereas dicer-2 mutants are defective for processing siRNA precursors. It has been recently found that Drosophila Dicer-1 and Dicer-2 are also components of siRNA-dependent RISC (siRISC). We find that Dicer-1 and Dicer-2 are required for siRNA-directed mRNA cleavage, though the RNase III activity of Dicer-2 is not required. Dicer-1 and Dicer-2 facilitate distinct steps in the assembly of siRISC. However, Dicer-1 but not Dicer-2 is essential for miRISC-directed translation repression. Thus, siRISCs and miRISCs are different with respect to Dicers in Drosophila.","author":[{"dropping-particle":"","family":"Lee","given":"Young Sik","non-dropping-particle":"","parse-names":false,"suffix":""},{"dropping-particle":"","family":"Nakahara","given":"Kenji","non-dropping-particle":"","parse-names":false,"suffix":""},{"dropping-particle":"","family":"Pham","given":"John W","non-dropping-particle":"","parse-names":false,"suffix":""},{"dropping-particle":"","family":"Kim","given":"Kevin","non-dropping-particle":"","parse-names":false,"suffix":""},{"dropping-particle":"","family":"He","given":"Zhengying","non-dropping-particle":"","parse-names":false,"suffix":""},{"dropping-particle":"","family":"Sontheimer","given":"Erik J","non-dropping-particle":"","parse-names":false,"suffix":""},{"dropping-particle":"","family":"Carthew","given":"Richard W","non-dropping-particle":"","parse-names":false,"suffix":""}],"container-title":"Cell","id":"ITEM-1","issue":"1","issued":{"date-parts":[["2004","4","2"]]},"page":"69-81","title":"Distinct roles for Drosophila Dicer-1 and Dicer-2 in the siRNA/miRNA silencing pathways.","type":"article-journal","volume":"117"},"uris":["http://www.mendeley.com/documents/?uuid=0777cc17-7cf1-37ce-a1a1-8116eb67139b"]}],"mendeley":{"formattedCitation":"(Lee, Nakahara, John W Pham, &lt;i&gt;et al.&lt;/i&gt;, 2004)","plainTextFormattedCitation":"(Lee, Nakahara, John W Pham, et al., 2004)","previouslyFormattedCitation":"(Lee &lt;i&gt;et al.&lt;/i&gt;, 2004)"},"properties":{"noteIndex":0},"schema":"https://github.com/citation-style-language/schema/raw/master/csl-citation.json"}</w:instrText>
      </w:r>
      <w:r w:rsidR="005C0E76">
        <w:fldChar w:fldCharType="separate"/>
      </w:r>
      <w:r w:rsidR="00C57A7E" w:rsidRPr="00C57A7E">
        <w:rPr>
          <w:noProof/>
        </w:rPr>
        <w:t xml:space="preserve">(Lee, Nakahara, John W Pham, </w:t>
      </w:r>
      <w:r w:rsidR="00C57A7E" w:rsidRPr="00C57A7E">
        <w:rPr>
          <w:i/>
          <w:noProof/>
        </w:rPr>
        <w:t>et al.</w:t>
      </w:r>
      <w:r w:rsidR="00C57A7E" w:rsidRPr="00C57A7E">
        <w:rPr>
          <w:noProof/>
        </w:rPr>
        <w:t>, 2004)</w:t>
      </w:r>
      <w:r w:rsidR="005C0E76">
        <w:fldChar w:fldCharType="end"/>
      </w:r>
      <w:r>
        <w:t>. A successful dsRNA insecticide must therefore be capable of resisting cleavage by the first class of nucleases, but be readily processed by the Dicer-2 nuclease. As these two classes of nucleases share some common mechanisms of action, this can be a delicate balance.</w:t>
      </w:r>
    </w:p>
    <w:p w:rsidR="0073713C" w:rsidRDefault="0073713C" w:rsidP="0073713C">
      <w:pPr>
        <w:spacing w:line="360" w:lineRule="auto"/>
        <w:ind w:firstLine="284"/>
      </w:pPr>
    </w:p>
    <w:p w:rsidR="0073713C" w:rsidRDefault="0073713C" w:rsidP="0073713C">
      <w:pPr>
        <w:spacing w:line="360" w:lineRule="auto"/>
        <w:ind w:firstLine="284"/>
      </w:pPr>
      <w:r>
        <w:t xml:space="preserve">Loss of dsRNA by nuclease degradation reduces the efficacy of the initial dose of dsRNA applied to a crop, and therefore any method of avoiding losses has the potential to improve the target insect mortality level resultant from a given dose of dsRNA. Specific insect nucleases are a major barrier to successful insecticidal RNAi in a number of species </w:t>
      </w:r>
      <w:r w:rsidR="005C0E76">
        <w:fldChar w:fldCharType="begin" w:fldLock="1"/>
      </w:r>
      <w:r>
        <w:instrText>ADDIN CSL_CITATION {"citationItems":[{"id":"ITEM-1","itemData":{"DOI":"10.1074/jbc.RA117.001553","ISSN":"0021-9258","PMID":"29500196","abstract":"More than 70% of all agricultural pests are insects in the order Lepidoptera, which, unlike other related insect orders, are not very sensitive to RNAi, limiting genetic studies of this insect group. However, the reason for this distinct lepidopteran characteristic is unknown. Previously, using transcriptome analysis of the Asian corn borer Ostrinia furnacalis, we identified a gene, termed up56, that is up-regulated in response to dsRNA. Here we report that this Lepidoptera-specific gene encodes a nuclease that contributes to RNAi insensitivity in this insect order. Its identity was experimentally validated, and sequence analysis indicated that up56 encodes a previously uncharacterized protein with homologous sequences in seven other lepidopteran species. Its computationally predicted three-dimensional structure revealed a high structural similarity to human exonuclease I. Exposure to dsRNA in O. furnacalis strongly up-regulated this gene's expression, and the protein could digest single-stranded RNA (ssRNA), dsRNA, and dsDNA both in vitro and in vivo Of note, we found that this up-regulation of up56 expression is faster than that of the gene encoding the key RNAi-associated nuclease Dicer. up56 knockdown in O. furnacalis significantly enhanced RNAi efficiency. Moreover, up56 overexpression in Drosophila melanogaster suppressed RNAi efficiency. Finally, up56 knockdown significantly increased the amount and diversity of small RNAs. Therefore, we renamed this protein RNAi efficiency-related nuclease (REase). In conclusion, we propose that REase may explain why lepidopterans are refractory to RNAi and that it represents a target for further research of RNAi efficiency in this insect order.","author":[{"dropping-particle":"","family":"Guan","given":"Ruo-Bing","non-dropping-particle":"","parse-names":false,"suffix":""},{"dropping-particle":"","family":"Li","given":"Hai-Chao","non-dropping-particle":"","parse-names":false,"suffix":""},{"dropping-particle":"","family":"Fan","given":"Yu-Jie","non-dropping-particle":"","parse-names":false,"suffix":""},{"dropping-particle":"","family":"Hu","given":"Shao-Ru","non-dropping-particle":"","parse-names":false,"suffix":""},{"dropping-particle":"","family":"Christiaens","given":"Olivier","non-dropping-particle":"","parse-names":false,"suffix":""},{"dropping-particle":"","family":"Smagghe","given":"Guy","non-dropping-particle":"","parse-names":false,"suffix":""},{"dropping-particle":"","family":"Miao","given":"Xue-Xia","non-dropping-particle":"","parse-names":false,"suffix":""}],"container-title":"Journal of Biological Chemistry","id":"ITEM-1","issue":"16","issued":{"date-parts":[["2018","4","20"]]},"page":"6011-6021","title":"A nuclease specific to lepidopteran insects suppresses RNAi","type":"article-journal","volume":"293"},"uris":["http://www.mendeley.com/documents/?uuid=a04f10d0-590a-3291-a879-f890d7289d7b"]},{"id":"ITEM-2","itemData":{"DOI":"10.1038/srep27587","ISSN":"2045-2322","abstract":"Distinct properties of proteases and nucleases in the gut, salivary gland and saliva of southern green stink bug, &lt;i&gt;Nezara viridula&lt;/i&gt;","author":[{"dropping-particle":"","family":"Lomate","given":"Purushottam R.","non-dropping-particle":"","parse-names":false,"suffix":""},{"dropping-particle":"","family":"Bonning","given":"Bryony C.","non-dropping-particle":"","parse-names":false,"suffix":""}],"container-title":"Scientific Reports","id":"ITEM-2","issue":"1","issued":{"date-parts":[["2016","9","10"]]},"page":"27587","publisher":"Nature Publishing Group","title":"Distinct properties of proteases and nucleases in the gut, salivary gland and saliva of southern green stink bug, Nezara viridula","type":"article-journal","volume":"6"},"uris":["http://www.mendeley.com/documents/?uuid=97ac4a7c-4741-3828-bd65-f318e3232cb0"]},{"id":"ITEM-3","itemData":{"DOI":"10.3389/fphys.2018.00624","ISSN":"1664-042X","abstract":"dsRNA degrading nuclease is responsible for the rapid degradation of dsRNA molecules, and thus accounts for variations in RNAi efficacy among insect species. Here, the biochemical properties and tissue-specific activities of dsRNA degrading nucleases in four insects (Spodoptera litura, Locusta migratoria, Periplaneta americana, and Zophobas atratus) from different orders were characterized using a modified assay method. The results revealed that all insect dsRNA degrading nucleases tested showed high activity in alkaline environments at optimal Mg2+ concentrations and elevated temperatures. We also found that enzymes from different insects varied in terms of their optimal reaction conditions and kinetic parameters. Whole body enzyme activity differed dramatically between insect species, although enzymes with higher substrate affinities (lower Km) were usually balanced by a smaller Vmax to maintain a proper level of degradative capacity. Furthermore, enzyme activities varied significantly between the four tested tissues (whole body, gut, hemolymph, and carcass) of the insect species. All the insects tested showed several hundred-fold higher dsRNA degrading activity in their gut than in other tissues. Reaction environment analysis demonstrated that physiological conditions in the prepared gut fluid and serum of different insects were not necessarily optimal for dsRNA degrading nuclease activity. Our data describe the biochemical characteristics and tissue distributions of dsRNA degrading activities in various insects, not only explaining why oral delivery of dsRNA often produces lower RNAi effects than injection of dsRNA, but also suggesting that dsRNA-degrading activities are regulated by physiological conditions. These results allow for a better understanding of the properties of dsRNA degrading nucleases, and will aid in the development of successful RNAi strategies in insects.","author":[{"dropping-particle":"","family":"Peng","given":"Yingchuan","non-dropping-particle":"","parse-names":false,"suffix":""},{"dropping-particle":"","family":"Wang","given":"Kangxu","non-dropping-particle":"","parse-names":false,"suffix":""},{"dropping-particle":"","family":"Fu","given":"Wenxi","non-dropping-particle":"","parse-names":false,"suffix":""},{"dropping-particle":"","family":"Sheng","given":"Chengwang","non-dropping-particle":"","parse-names":false,"suffix":""},{"dropping-particle":"","family":"Han","given":"Zhaojun","non-dropping-particle":"","parse-names":false,"suffix":""}],"container-title":"Frontiers in Physiology","id":"ITEM-3","issued":{"date-parts":[["2018","5","28"]]},"page":"624","publisher":"Frontiers","title":"Biochemical Comparison of dsRNA Degrading Nucleases in Four Different Insects","type":"article-journal","volume":"9"},"uris":["http://www.mendeley.com/documents/?uuid=085a2f8f-2e23-3b89-b9fe-2eeb3f9904f2"]}],"mendeley":{"formattedCitation":"(Lomate and Bonning, 2016; Guan &lt;i&gt;et al.&lt;/i&gt;, 2018; Peng &lt;i&gt;et al.&lt;/i&gt;, 2018)","plainTextFormattedCitation":"(Lomate and Bonning, 2016; Guan et al., 2018; Peng et al., 2018)","previouslyFormattedCitation":"(Lomate and Bonning, 2016; Guan &lt;i&gt;et al.&lt;/i&gt;, 2018; Peng &lt;i&gt;et al.&lt;/i&gt;, 2018)"},"properties":{"noteIndex":0},"schema":"https://github.com/citation-style-language/schema/raw/master/csl-citation.json"}</w:instrText>
      </w:r>
      <w:r w:rsidR="005C0E76">
        <w:fldChar w:fldCharType="separate"/>
      </w:r>
      <w:r w:rsidRPr="003F5183">
        <w:rPr>
          <w:noProof/>
        </w:rPr>
        <w:t xml:space="preserve">(Lomate and Bonning, 2016; Guan </w:t>
      </w:r>
      <w:r w:rsidRPr="003F5183">
        <w:rPr>
          <w:i/>
          <w:noProof/>
        </w:rPr>
        <w:t>et al.</w:t>
      </w:r>
      <w:r w:rsidRPr="003F5183">
        <w:rPr>
          <w:noProof/>
        </w:rPr>
        <w:t xml:space="preserve">, 2018; Peng </w:t>
      </w:r>
      <w:r w:rsidRPr="003F5183">
        <w:rPr>
          <w:i/>
          <w:noProof/>
        </w:rPr>
        <w:t>et al.</w:t>
      </w:r>
      <w:r w:rsidRPr="003F5183">
        <w:rPr>
          <w:noProof/>
        </w:rPr>
        <w:t>, 2018)</w:t>
      </w:r>
      <w:r w:rsidR="005C0E76">
        <w:fldChar w:fldCharType="end"/>
      </w:r>
      <w:r>
        <w:t xml:space="preserve">. For example, </w:t>
      </w:r>
      <w:r w:rsidRPr="005F4BC8">
        <w:t xml:space="preserve">stink bug saliva </w:t>
      </w:r>
      <w:r>
        <w:t>has been shown to have a high level of nuclease activity</w:t>
      </w:r>
      <w:r w:rsidRPr="005F4BC8">
        <w:t xml:space="preserve"> </w:t>
      </w:r>
      <w:r w:rsidR="005C0E76" w:rsidRPr="005F4BC8">
        <w:fldChar w:fldCharType="begin" w:fldLock="1"/>
      </w:r>
      <w:r w:rsidRPr="005F4BC8">
        <w:instrText>ADDIN CSL_CITATION {"citationItems":[{"id":"ITEM-1","itemData":{"DOI":"10.1038/srep27587","ISSN":"2045-2322","abstract":"Distinct properties of proteases and nucleases in the gut, salivary gland and saliva of southern green stink bug, &lt;i&gt;Nezara viridula&lt;/i&gt;","author":[{"dropping-particle":"","family":"Lomate","given":"Purushottam R.","non-dropping-particle":"","parse-names":false,"suffix":""},{"dropping-particle":"","family":"Bonning","given":"Bryony C.","non-dropping-particle":"","parse-names":false,"suffix":""}],"container-title":"Scientific Reports","id":"ITEM-1","issue":"1","issued":{"date-parts":[["2016","9","10"]]},"page":"27587","publisher":"Nature Publishing Group","title":"Distinct properties of proteases and nucleases in the gut, salivary gland and saliva of southern green stink bug, Nezara viridula","type":"article-journal","volume":"6"},"uris":["http://www.mendeley.com/documents/?uuid=97ac4a7c-4741-3828-bd65-f318e3232cb0"]}],"mendeley":{"formattedCitation":"(Lomate and Bonning, 2016)","plainTextFormattedCitation":"(Lomate and Bonning, 2016)","previouslyFormattedCitation":"(Lomate and Bonning, 2016)"},"properties":{"noteIndex":0},"schema":"https://github.com/citation-style-language/schema/raw/master/csl-citation.json"}</w:instrText>
      </w:r>
      <w:r w:rsidR="005C0E76" w:rsidRPr="005F4BC8">
        <w:fldChar w:fldCharType="separate"/>
      </w:r>
      <w:r w:rsidRPr="005F4BC8">
        <w:rPr>
          <w:noProof/>
        </w:rPr>
        <w:t>(Lomate and Bonning, 2016)</w:t>
      </w:r>
      <w:r w:rsidR="005C0E76" w:rsidRPr="005F4BC8">
        <w:fldChar w:fldCharType="end"/>
      </w:r>
      <w:r w:rsidRPr="005F4BC8">
        <w:t xml:space="preserve">. As phloem feeding insects, stink bugs pierce the surface of the fruit or vegetable they are feeding on with their </w:t>
      </w:r>
      <w:r>
        <w:t>stylet</w:t>
      </w:r>
      <w:r w:rsidRPr="005F4BC8">
        <w:t xml:space="preserve"> and inject saliva to pre-digest a small internal region of the fruit or vegetable body, before then drawing</w:t>
      </w:r>
      <w:r>
        <w:t xml:space="preserve"> up the partly digested fruit or vegetable pulp. This method of feeding is an advantage for studying the saliva and its constituent enzymes, as the insects readily express saliva, which can be collected. Stink bug salival nucleases were therefore chosen as the model with which to investigate if chemical modifications of the dsRNA could enhance dsRNA resistance to insect nucleases. Other degradation points such as degradation of dsRNA by nucleases present in soil </w:t>
      </w:r>
      <w:r w:rsidR="005C0E76">
        <w:fldChar w:fldCharType="begin" w:fldLock="1"/>
      </w:r>
      <w:r>
        <w:instrText>ADDIN CSL_CITATION {"citationItems":[{"id":"ITEM-1","itemData":{"DOI":"10.1371/journal.pone.0093155","ISSN":"1932-6203","abstract":"A laboratory soil degradation study was conducted to determine the biodegradation potential of a DvSnf7 dsRNA transcript derived from a Monsanto genetically modified (GM) maize product that confers resistance to corn rootworm (CRW; Diabrotica spp.). This study provides new information to improve the environmental assessment of dsRNAs that become pesticidal through an RNAi process. Three agricultural soils differing in their physicochemical characteristics were obtained from the U.S., Illinois (IL; silt loam), Missouri (MO; loamy sand) and North Dakota (ND; clay loam), and exposed to the target dsRNA by incorporating insect-protected maize biomass and purified (in vitro-transcribed) DvSnf7 RNA into soil. The GM and control (non-GM maize) materials were added to each soil and incubated at ca. 22°C for 48 hours (h). Samples were collected at 12 time intervals during the incubation period, extracted, and analyzed using QuantiGene molecular analysis and insect bioassay methods. The DT50 (half-life) values for DvSnf7 RNA in IL, MO, and ND soils were 19, 28, and 15 h based on QuantiGene, and 18, 29, and 14 h based on insect bioassay, respectively. Furthermore, the DT90 (time to 90% degradation) values for DvSnf7 RNA in all three soils were &lt;35 h. These results indicate that DvSnf7 RNA was degraded and biological activity was undetectable within approximately 2 days after application to soil, regardless of texture, pH, clay content and other soil differences. Furthermore, soil-incorporated DvSnf7 RNA was non-detectable in soil after 48 h, as measured by QuantiGene, at levels ranging more than two orders of magnitude (0.3, 1.5, 7.5 and 37.5 µg RNA/g soil). Results from this study indicate that the DvSnf7 dsRNA is unlikely to persist or accumulate in the environment. Furthermore, the rapid degradation of DvSnf7 dsRNA provides a basis to define relevant exposure scenarios for future RNA-based agricultural products.","author":[{"dropping-particle":"","family":"Dubelman","given":"Samuel","non-dropping-particle":"","parse-names":false,"suffix":""},{"dropping-particle":"","family":"Fischer","given":"Joshua","non-dropping-particle":"","parse-names":false,"suffix":""},{"dropping-particle":"","family":"Zapata","given":"Fatima","non-dropping-particle":"","parse-names":false,"suffix":""},{"dropping-particle":"","family":"Huizinga","given":"Kristin","non-dropping-particle":"","parse-names":false,"suffix":""},{"dropping-particle":"","family":"Jiang","given":"Changjian","non-dropping-particle":"","parse-names":false,"suffix":""},{"dropping-particle":"","family":"Uffman","given":"Joshua","non-dropping-particle":"","parse-names":false,"suffix":""},{"dropping-particle":"","family":"Levine","given":"Steven","non-dropping-particle":"","parse-names":false,"suffix":""},{"dropping-particle":"","family":"Carson","given":"David","non-dropping-particle":"","parse-names":false,"suffix":""}],"container-title":"PLoS ONE","editor":[{"dropping-particle":"","family":"Smagghe","given":"Guy","non-dropping-particle":"","parse-names":false,"suffix":""}],"id":"ITEM-1","issue":"3","issued":{"date-parts":[["2014","3","27"]]},"page":"e93155","publisher":"Public Library of Science","title":"Environmental Fate of Double-Stranded RNA in Agricultural Soils","type":"article-journal","volume":"9"},"uris":["http://www.mendeley.com/documents/?uuid=b3479b3f-460c-3c05-9dbb-56814777b613"]}],"mendeley":{"formattedCitation":"(Dubelman &lt;i&gt;et al.&lt;/i&gt;, 2014)","plainTextFormattedCitation":"(Dubelman et al., 2014)","previouslyFormattedCitation":"(Dubelman &lt;i&gt;et al.&lt;/i&gt;, 2014)"},"properties":{"noteIndex":0},"schema":"https://github.com/citation-style-language/schema/raw/master/csl-citation.json"}</w:instrText>
      </w:r>
      <w:r w:rsidR="005C0E76">
        <w:fldChar w:fldCharType="separate"/>
      </w:r>
      <w:r w:rsidRPr="00D06C99">
        <w:rPr>
          <w:noProof/>
        </w:rPr>
        <w:t xml:space="preserve">(Dubelman </w:t>
      </w:r>
      <w:r w:rsidRPr="00D06C99">
        <w:rPr>
          <w:i/>
          <w:noProof/>
        </w:rPr>
        <w:t>et al.</w:t>
      </w:r>
      <w:r w:rsidRPr="00D06C99">
        <w:rPr>
          <w:noProof/>
        </w:rPr>
        <w:t>, 2014)</w:t>
      </w:r>
      <w:r w:rsidR="005C0E76">
        <w:fldChar w:fldCharType="end"/>
      </w:r>
      <w:r>
        <w:t xml:space="preserve">, degradation by exposure to UV radiation from the sun </w:t>
      </w:r>
      <w:r w:rsidR="005C0E76">
        <w:fldChar w:fldCharType="begin" w:fldLock="1"/>
      </w:r>
      <w:r>
        <w:instrText>ADDIN CSL_CITATION {"citationItems":[{"id":"ITEM-1","itemData":{"DOI":"10.1002/ps.4056","ISSN":"1526498X","author":[{"dropping-particle":"","family":"San Miguel","given":"Keri","non-dropping-particle":"","parse-names":false,"suffix":""},{"dropping-particle":"","family":"Scott","given":"Jeffrey G","non-dropping-particle":"","parse-names":false,"suffix":""}],"container-title":"Pest Management Science","id":"ITEM-1","issue":"February","issued":{"date-parts":[["2015"]]},"page":"n/a-n/a","title":"The next generation of insecticides: dsRNA is stable as a foliar-applied insecticide","type":"article-journal"},"uris":["http://www.mendeley.com/documents/?uuid=0e666d3c-1776-452f-ae6b-c802a97ac443"]}],"mendeley":{"formattedCitation":"(San Miguel and Scott, 2015)","plainTextFormattedCitation":"(San Miguel and Scott, 2015)","previouslyFormattedCitation":"(San Miguel and Scott, 2015)"},"properties":{"noteIndex":0},"schema":"https://github.com/citation-style-language/schema/raw/master/csl-citation.json"}</w:instrText>
      </w:r>
      <w:r w:rsidR="005C0E76">
        <w:fldChar w:fldCharType="separate"/>
      </w:r>
      <w:r w:rsidRPr="00995CF9">
        <w:rPr>
          <w:noProof/>
        </w:rPr>
        <w:t>(San Miguel and Scott, 2015)</w:t>
      </w:r>
      <w:r w:rsidR="005C0E76">
        <w:fldChar w:fldCharType="end"/>
      </w:r>
      <w:r>
        <w:t xml:space="preserve"> and degradation by gut</w:t>
      </w:r>
      <w:r w:rsidR="00DA03E0">
        <w:t xml:space="preserve"> or hemolymph</w:t>
      </w:r>
      <w:r>
        <w:t xml:space="preserve"> nucleases </w:t>
      </w:r>
      <w:r w:rsidR="005C0E76">
        <w:fldChar w:fldCharType="begin" w:fldLock="1"/>
      </w:r>
      <w:r w:rsidR="00C57A7E">
        <w:instrText>ADDIN CSL_CITATION {"citationItems":[{"id":"ITEM-1","itemData":{"DOI":"10.1016/j.ibmb.2017.01.004","ISBN":"0201503311048","ISSN":"18790240","PMID":"28093313","abstract":"The responsiveness towards orally delivered dsRNA and the potency of a subsequent environmental RNA interference (RNAi) response strongly differs between different insect species. While some species are very sensitive to dsRNA delivery through the diet, others are not. The underlying reasons for this may vary, but degradation of dsRNA by nucleases in the gut lumen is believed to play a crucial role. The Colorado potato beetle, Leptinotarsa decemlineata, is a voracious defoliator of potato crops worldwide, and is currently under investigation for novel control methods based on dsRNA treatments. Here we describe the identification and characterization of two nuclease genes exclusively expressed in the gut of this pest species. Removal of nuclease activity in adults increased the sensitivity towards dsRNA and resulted in improved protection of potato plants. A similar strategy in the desert locust, Schistocerca gregaria, for which we show a far more potent nuclease activity in the gut juice, did however not lead to an improvement of the RNAi response. Possible reasons for this are discussed. Taken together, the present data confirm a negative effect of nucleases in the gut on the environmental RNAi response, and further suggest that interfering with this activity is a strategy worth pursuing for improving RNAi efficacy in insect pest control applications.","author":[{"dropping-particle":"","family":"Spit","given":"Jornt","non-dropping-particle":"","parse-names":false,"suffix":""},{"dropping-particle":"","family":"Philips","given":"Annelies","non-dropping-particle":"","parse-names":false,"suffix":""},{"dropping-particle":"","family":"Wynant","given":"Niels","non-dropping-particle":"","parse-names":false,"suffix":""},{"dropping-particle":"","family":"Santos","given":"Dulce","non-dropping-particle":"","parse-names":false,"suffix":""},{"dropping-particle":"","family":"Plaetinck","given":"Geert","non-dropping-particle":"","parse-names":false,"suffix":""},{"dropping-particle":"","family":"Broeck","given":"Jozef","non-dropping-particle":"Vanden","parse-names":false,"suffix":""}],"container-title":"Insect Biochemistry and Molecular Biology","id":"ITEM-1","issued":{"date-parts":[["2017"]]},"page":"103-116","publisher":"Elsevier Ltd","title":"Knockdown of nuclease activity in the gut enhances RNAi efficiency in the Colorado potato beetle, Leptinotarsa decemlineata, but not in the desert locust, Schistocerca gregaria","type":"article-journal","volume":"81"},"uris":["http://www.mendeley.com/documents/?uuid=ce535b3f-4ce5-4cb5-869a-c58abc873154"]}],"mendeley":{"formattedCitation":"(Spit &lt;i&gt;et al.&lt;/i&gt;, 2017a)","plainTextFormattedCitation":"(Spit et al., 2017a)","previouslyFormattedCitation":"(Spit &lt;i&gt;et al.&lt;/i&gt;, 2017)"},"properties":{"noteIndex":0},"schema":"https://github.com/citation-style-language/schema/raw/master/csl-citation.json"}</w:instrText>
      </w:r>
      <w:r w:rsidR="005C0E76">
        <w:fldChar w:fldCharType="separate"/>
      </w:r>
      <w:r w:rsidR="00C57A7E" w:rsidRPr="00C57A7E">
        <w:rPr>
          <w:noProof/>
        </w:rPr>
        <w:t xml:space="preserve">(Spit </w:t>
      </w:r>
      <w:r w:rsidR="00C57A7E" w:rsidRPr="00C57A7E">
        <w:rPr>
          <w:i/>
          <w:noProof/>
        </w:rPr>
        <w:t>et al.</w:t>
      </w:r>
      <w:r w:rsidR="00C57A7E" w:rsidRPr="00C57A7E">
        <w:rPr>
          <w:noProof/>
        </w:rPr>
        <w:t>, 2017a)</w:t>
      </w:r>
      <w:r w:rsidR="005C0E76">
        <w:fldChar w:fldCharType="end"/>
      </w:r>
      <w:r>
        <w:t xml:space="preserve"> are also factors in determining the amount of dsRNA which survives in order to be taken up by an insect and induce RNAi, however those factors have not been considered here.</w:t>
      </w:r>
    </w:p>
    <w:p w:rsidR="0073713C" w:rsidRDefault="0073713C" w:rsidP="0073713C">
      <w:pPr>
        <w:spacing w:line="360" w:lineRule="auto"/>
        <w:ind w:firstLine="284"/>
      </w:pPr>
      <w:r>
        <w:t>Where a chemical modification prevents or slows degradation of dsRNA by nucleases, thereby increasing the stability of the dsRNA and the potential amount of the dsRNA to induce RNAi, it may also prevent Dicer from processing the long dsRNA to active siRNAs. Therefore, overall RNAi activity of a chemically modified dsRNA will be due to a combination of factors. Several of the chemical modifications examined here are known to increase resistance to nuclease degradation</w:t>
      </w:r>
      <w:r>
        <w:rPr>
          <w:b/>
        </w:rPr>
        <w:t xml:space="preserve"> </w:t>
      </w:r>
      <w:r w:rsidRPr="00760C3F">
        <w:t xml:space="preserve">in mammalian </w:t>
      </w:r>
      <w:r>
        <w:t xml:space="preserve">or other </w:t>
      </w:r>
      <w:r w:rsidRPr="00760C3F">
        <w:t>systems</w:t>
      </w:r>
      <w:r>
        <w:t xml:space="preserve">, including: phosphorothioate modifications in chimeric </w:t>
      </w:r>
      <w:r>
        <w:lastRenderedPageBreak/>
        <w:t>oligo</w:t>
      </w:r>
      <w:r w:rsidRPr="00333A0D">
        <w:t xml:space="preserve">nucleotides </w:t>
      </w:r>
      <w:r w:rsidR="005C0E76" w:rsidRPr="00333A0D">
        <w:rPr>
          <w:b/>
        </w:rPr>
        <w:fldChar w:fldCharType="begin" w:fldLock="1"/>
      </w:r>
      <w:r w:rsidRPr="00333A0D">
        <w:instrText>ADDIN CSL_CITATION {"citationItems":[{"id":"ITEM-1","itemData":{"DOI":"10.1074/jbc.271.24.14533","ISSN":"0021-9258","PMID":"8662854","abstract":"We have previously described structure-activity studies on a 17-mer uniform phosphorothioate antisense sequence targeted to human Ha-ras. In an effort to further improve the pharmacological properties of antisense oligonucleotides, structure-activity studies on this 17-mer sequence were expanded to examine both the effects of replacing phosphorothioate backbone linkages with phosphodiester linkages and the effects of incorporating various 2'-sugar modifications into phosphorothioate and phosphodiester oligonucleotides on oligonucleotide stability against nucleases in vitro and on antisense activity in cells. Replacement of three or more phosphorothioate linkages with phosphodiester linkages greatly compromised both nuclease resistance and antisense activity, and these effects correlated directly with the number of phosphodiester linkages incorporated into the oligonucleotide. However, substantial nuclease resistance, sufficient for obtaining potent antisense effects in cells, was conferred to phosphodiester oligonucleotides by incorporation of appropriate 2'-alkoxy sugar modifications. Nuclease stability and antisense activity imparted by these sugar modifications in phosphodiester backbones correlated with the size of the 2'-alkoxy substituent (pentoxy &gt; propoxy &gt; methoxy &gt; deoxy). Furthermore, antisense activity mediated by oligonucleotides that exhibit partial resistance to nucleolytic degradation was dependent on both oligonucleotide concentration and the duration of oligonucleotide treatment.","author":[{"dropping-particle":"","family":"Monia","given":"B P","non-dropping-particle":"","parse-names":false,"suffix":""},{"dropping-particle":"","family":"Johnston","given":"J F","non-dropping-particle":"","parse-names":false,"suffix":""},{"dropping-particle":"","family":"Sasmor","given":"H","non-dropping-particle":"","parse-names":false,"suffix":""},{"dropping-particle":"","family":"Cummins","given":"L L","non-dropping-particle":"","parse-names":false,"suffix":""}],"container-title":"The Journal of biological chemistry","id":"ITEM-1","issue":"24","issued":{"date-parts":[["1996","6","14"]]},"page":"14533-40","publisher":"American Society for Biochemistry and Molecular Biology","title":"Nuclease resistance and antisense activity of modified oligonucleotides targeted to Ha-ras.","type":"article-journal","volume":"271"},"uris":["http://www.mendeley.com/documents/?uuid=54e89493-210c-307d-a0bf-95f2abcf1597"]}],"mendeley":{"formattedCitation":"(Monia &lt;i&gt;et al.&lt;/i&gt;, 1996)","plainTextFormattedCitation":"(Monia et al., 1996)","previouslyFormattedCitation":"(Monia &lt;i&gt;et al.&lt;/i&gt;, 1996)"},"properties":{"noteIndex":0},"schema":"https://github.com/citation-style-language/schema/raw/master/csl-citation.json"}</w:instrText>
      </w:r>
      <w:r w:rsidR="005C0E76" w:rsidRPr="00333A0D">
        <w:rPr>
          <w:b/>
        </w:rPr>
        <w:fldChar w:fldCharType="separate"/>
      </w:r>
      <w:r w:rsidRPr="00333A0D">
        <w:rPr>
          <w:noProof/>
        </w:rPr>
        <w:t xml:space="preserve">(Monia </w:t>
      </w:r>
      <w:r w:rsidRPr="00333A0D">
        <w:rPr>
          <w:i/>
          <w:noProof/>
        </w:rPr>
        <w:t>et al.</w:t>
      </w:r>
      <w:r w:rsidRPr="00333A0D">
        <w:rPr>
          <w:noProof/>
        </w:rPr>
        <w:t>, 1996)</w:t>
      </w:r>
      <w:r w:rsidR="005C0E76" w:rsidRPr="00333A0D">
        <w:rPr>
          <w:b/>
        </w:rPr>
        <w:fldChar w:fldCharType="end"/>
      </w:r>
      <w:r w:rsidRPr="00333A0D">
        <w:rPr>
          <w:b/>
        </w:rPr>
        <w:t xml:space="preserve">, </w:t>
      </w:r>
      <w:r w:rsidRPr="00333A0D">
        <w:t>phosphorothioate</w:t>
      </w:r>
      <w:r>
        <w:t xml:space="preserve"> modifications in siRNAs </w:t>
      </w:r>
      <w:r w:rsidR="005C0E76">
        <w:fldChar w:fldCharType="begin" w:fldLock="1"/>
      </w:r>
      <w:r w:rsidR="00C57A7E">
        <w:instrText>ADDIN CSL_CITATION {"citationItems":[{"id":"ITEM-1","itemData":{"DOI":"10.1038/ncomms7317","ISSN":"2041-1723","abstract":"Therapeutic oligonucleotides can be made more stable by substituting their achiral phosphodiester groups for chiral phosphorothioate linkages. Here, the authors present a synthesis of phosphorothioated RNAs, where the activator controls strand stereochemistry, and also the activity of assembled siRNA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Communications","id":"ITEM-1","issue":"1","issued":{"date-parts":[["2015","12","6"]]},"page":"6317","publisher":"Nature Publishing Group","title":"Stereochemical bias introduced during RNA synthesis modulates the activity of phosphorothioate siRNAs","type":"article-journal","volume":"6"},"uris":["http://www.mendeley.com/documents/?uuid=94ae2c08-2a07-3a78-8de6-1074a96ed422"]},{"id":"ITEM-2","itemData":{"DOI":"10.1261/rna.5103703","ISSN":"1355-8382","PMID":"12923253","abstract":"Various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M","non-dropping-particle":"","parse-names":false,"suffix":""}],"container-title":"RNA","id":"ITEM-2","issue":"9","issued":{"date-parts":[["2003","9","1"]]},"page":"1034-1048","title":"siRNA function in RNAi: A chemical modification analysis","type":"article-journal","volume":"9"},"uris":["http://www.mendeley.com/documents/?uuid=b575ef29-2702-31fc-b85c-c66c1af1e55b"]}],"mendeley":{"formattedCitation":"(Chiu and Rana, 2003; Jahns &lt;i&gt;et al.&lt;/i&gt;, 2015b)","plainTextFormattedCitation":"(Chiu and Rana, 2003; Jahns et al., 2015b)","previouslyFormattedCitation":"(Chiu and Rana, 2003; Jahns &lt;i&gt;et al.&lt;/i&gt;, 2015)"},"properties":{"noteIndex":0},"schema":"https://github.com/citation-style-language/schema/raw/master/csl-citation.json"}</w:instrText>
      </w:r>
      <w:r w:rsidR="005C0E76">
        <w:fldChar w:fldCharType="separate"/>
      </w:r>
      <w:r w:rsidR="00C57A7E" w:rsidRPr="00C57A7E">
        <w:rPr>
          <w:noProof/>
        </w:rPr>
        <w:t xml:space="preserve">(Chiu and Rana, 2003; Jahns </w:t>
      </w:r>
      <w:r w:rsidR="00C57A7E" w:rsidRPr="00C57A7E">
        <w:rPr>
          <w:i/>
          <w:noProof/>
        </w:rPr>
        <w:t>et al.</w:t>
      </w:r>
      <w:r w:rsidR="00C57A7E" w:rsidRPr="00C57A7E">
        <w:rPr>
          <w:noProof/>
        </w:rPr>
        <w:t>, 2015b)</w:t>
      </w:r>
      <w:r w:rsidR="005C0E76">
        <w:fldChar w:fldCharType="end"/>
      </w:r>
      <w:r>
        <w:t xml:space="preserve">; phosphorothioate modifications in antisense oligonucleotides </w:t>
      </w:r>
      <w:r w:rsidR="005C0E76">
        <w:fldChar w:fldCharType="begin" w:fldLock="1"/>
      </w:r>
      <w:r>
        <w:instrText>ADDIN CSL_CITATION {"citationItems":[{"id":"ITEM-1","itemData":{"DOI":"10.1016/0167-7799(96)20006-X","ISSN":"0167-7799","author":[{"dropping-particle":"","family":"Stein","given":"C.A.","non-dropping-particle":"","parse-names":false,"suffix":""}],"container-title":"Trends in Biotechnology","id":"ITEM-1","issue":"5","issued":{"date-parts":[["1996","5","1"]]},"page":"147-149","publisher":"Elsevier Current Trends","title":"Phosphorothioate antisense oligodeoxynucleotides: questions of specificity","type":"article-journal","volume":"14"},"uris":["http://www.mendeley.com/documents/?uuid=6dec4672-ac5f-3f4c-b5d0-979c38cf038f"]}],"mendeley":{"formattedCitation":"(Stein, 1996)","plainTextFormattedCitation":"(Stein, 1996)","previouslyFormattedCitation":"(Stein, 1996)"},"properties":{"noteIndex":0},"schema":"https://github.com/citation-style-language/schema/raw/master/csl-citation.json"}</w:instrText>
      </w:r>
      <w:r w:rsidR="005C0E76">
        <w:fldChar w:fldCharType="separate"/>
      </w:r>
      <w:r w:rsidRPr="00333A0D">
        <w:rPr>
          <w:noProof/>
        </w:rPr>
        <w:t>(Stein, 1996)</w:t>
      </w:r>
      <w:r w:rsidR="005C0E76">
        <w:fldChar w:fldCharType="end"/>
      </w:r>
      <w:r>
        <w:t>; 2’-fluoro modifications in siRNAs</w:t>
      </w:r>
      <w:r w:rsidR="00DA03E0">
        <w:t>,</w:t>
      </w:r>
      <w:r>
        <w:t xml:space="preserve"> and phosphorothioate modifications in antisense ss-siRNAs </w:t>
      </w:r>
      <w:r w:rsidR="005C0E76">
        <w:fldChar w:fldCharType="begin" w:fldLock="1"/>
      </w:r>
      <w:r>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analysis","type":"article-journal","volume":"9"},"uris":["http://www.mendeley.com/documents/?uuid=b575ef29-2702-31fc-b85c-c66c1af1e55b"]}],"mendeley":{"formattedCitation":"(Chiu and Rana, 2003)","plainTextFormattedCitation":"(Chiu and Rana, 2003)","previouslyFormattedCitation":"(Chiu and Rana, 2003)"},"properties":{"noteIndex":0},"schema":"https://github.com/citation-style-language/schema/raw/master/csl-citation.json"}</w:instrText>
      </w:r>
      <w:r w:rsidR="005C0E76">
        <w:fldChar w:fldCharType="separate"/>
      </w:r>
      <w:r w:rsidRPr="00333A0D">
        <w:rPr>
          <w:noProof/>
        </w:rPr>
        <w:t>(Chiu and Rana, 2003)</w:t>
      </w:r>
      <w:r w:rsidR="005C0E76">
        <w:fldChar w:fldCharType="end"/>
      </w:r>
      <w:r w:rsidRPr="00E0746B">
        <w:t>.</w:t>
      </w:r>
      <w:r>
        <w:t xml:space="preserve"> It was therefore proposed to study the effect of a number of </w:t>
      </w:r>
      <w:r w:rsidR="00DA03E0">
        <w:t>dsRNA chemical modifications</w:t>
      </w:r>
      <w:r>
        <w:t xml:space="preserve"> on the activity of insect nucleases in stink bug saliva using </w:t>
      </w:r>
      <w:r w:rsidRPr="0018146E">
        <w:rPr>
          <w:i/>
        </w:rPr>
        <w:t>in vitro</w:t>
      </w:r>
      <w:r>
        <w:t xml:space="preserve"> assays, to determine if such modifications result in increased resistance to these nucleases in comparison to unmodified dsRNA.</w:t>
      </w:r>
    </w:p>
    <w:p w:rsidR="0073713C" w:rsidRDefault="0073713C" w:rsidP="0073713C">
      <w:pPr>
        <w:spacing w:line="360" w:lineRule="auto"/>
        <w:ind w:firstLine="284"/>
      </w:pPr>
    </w:p>
    <w:p w:rsidR="0073713C" w:rsidRDefault="0073713C" w:rsidP="0073713C">
      <w:pPr>
        <w:spacing w:line="360" w:lineRule="auto"/>
        <w:ind w:firstLine="284"/>
      </w:pPr>
      <w:r>
        <w:t xml:space="preserve">Processing of long dsRNA into active siRNAs by Dicer is a key step in the insect Dicer-2/Argonaute-2 RNAi pathway related to insecticidal activity of dsRNA. As </w:t>
      </w:r>
      <w:r w:rsidRPr="000E25D8">
        <w:t>previously discussed (</w:t>
      </w:r>
      <w:r w:rsidR="000E25D8" w:rsidRPr="000E25D8">
        <w:t xml:space="preserve">see section 1.2.2), </w:t>
      </w:r>
      <w:r w:rsidRPr="000E25D8">
        <w:t>subtle variation exists in Dicer structure between different Dicer</w:t>
      </w:r>
      <w:r w:rsidR="00DA03E0">
        <w:t xml:space="preserve"> paralog</w:t>
      </w:r>
      <w:r w:rsidRPr="000E25D8">
        <w:t>s in a single species, the equivalent</w:t>
      </w:r>
      <w:r w:rsidR="00DA03E0">
        <w:t xml:space="preserve"> homologs of</w:t>
      </w:r>
      <w:r w:rsidRPr="000E25D8">
        <w:t xml:space="preserve"> Dicer in different insect species, and the equivalent Dicer between different classes of organism – for example insects, mammals and protozoans. This variation results in Dicer proteins collectively having a wide range of substrate and product specificity, as well as variation in specific sub-functions they carry out, due to a wide variety of domain architectures (see figure 4.1). The</w:t>
      </w:r>
      <w:r>
        <w:t xml:space="preserve"> activity of one Dicer enzyme upon a dsRNA substrate may be very different to another Dicer acting on the same substrate. Dicer also acts in concert with other RNAi pathway proteins </w:t>
      </w:r>
      <w:r w:rsidRPr="002C303D">
        <w:rPr>
          <w:i/>
        </w:rPr>
        <w:t>in vivo</w:t>
      </w:r>
      <w:r>
        <w:t xml:space="preserve"> in many species, therefore results of </w:t>
      </w:r>
      <w:r w:rsidRPr="002C303D">
        <w:rPr>
          <w:i/>
        </w:rPr>
        <w:t>in vitro</w:t>
      </w:r>
      <w:r>
        <w:t xml:space="preserve"> assays may not entirely reflect how a dsRNA is processed </w:t>
      </w:r>
      <w:r w:rsidRPr="002C303D">
        <w:rPr>
          <w:i/>
        </w:rPr>
        <w:t>in vivo</w:t>
      </w:r>
      <w:r>
        <w:t xml:space="preserve">. </w:t>
      </w:r>
    </w:p>
    <w:p w:rsidR="00402BCC" w:rsidRDefault="0073713C" w:rsidP="0073713C">
      <w:pPr>
        <w:spacing w:line="360" w:lineRule="auto"/>
        <w:ind w:firstLine="284"/>
      </w:pPr>
      <w:r>
        <w:t xml:space="preserve">Two commercially available, purified, non-insect Dicer/RNase III family enzymes were investigated for their ability to process chemically modified dsRNA. These consisted of the simple bacterial </w:t>
      </w:r>
      <w:r w:rsidRPr="000E25D8">
        <w:t xml:space="preserve">RNase III enzyme from </w:t>
      </w:r>
      <w:r w:rsidRPr="000E25D8">
        <w:rPr>
          <w:i/>
        </w:rPr>
        <w:t>E. coli</w:t>
      </w:r>
      <w:r w:rsidRPr="000E25D8">
        <w:t xml:space="preserve">, and a minimal Dicer from </w:t>
      </w:r>
      <w:r w:rsidRPr="000E25D8">
        <w:rPr>
          <w:i/>
        </w:rPr>
        <w:t>Giardia intestinalis</w:t>
      </w:r>
      <w:r w:rsidRPr="000E25D8">
        <w:t xml:space="preserve"> (an intestinal parasite). Bacterial RNase III comprises a single RNase III domain, and a non-sequence specific dsRNA binding domain (dsRBD) </w:t>
      </w:r>
      <w:r w:rsidR="005C0E76" w:rsidRPr="000E25D8">
        <w:fldChar w:fldCharType="begin" w:fldLock="1"/>
      </w:r>
      <w:r w:rsidRPr="000E25D8">
        <w:instrText>ADDIN CSL_CITATION {"citationItems":[{"id":"ITEM-1","itemData":{"DOI":"10.1111/j.1600-065X.2008.00722.x","ISSN":"1600-065X","PMID":"19120484","abstract":"Suppression of viral infection by RNA in a nucleotide sequence homology-dependent manner was first reported in plants in early 1990 s. Studies in the past 15 years have established a completely new RNA-based immune system against viruses that is mechanistically related to RNA silencing or RNA interference (RNAi). This viral immunity begins with recognition of viral double-stranded or structured RNA by the Dicer nuclease family of host immune receptors. In fungi, plants and invertebrates, the viral RNA trigger is processed into small interfering RNAs (siRNAs) to direct specific silencing of the homologous viral genomic and/or messenger RNAs by an RNaseH-like Argonaute protein. Deep sequencing of virus-derived siRNAs indicates that the immunity against viruses with a positive-strand RNA genome is induced by Dicer recognition of dsRNA formed during the initiation of viral progeny (+)RNA synthesis. The RNA-based immune pathway in these organisms overlaps the canonical dsRNA-siRNA pathway of RNAi and may require amplification of viral siRNAs by host RNA-dependent RNA polymerase in plants and nematodes. Production of virus-derived small RNAs is undetectable in mammalian cells infected with RNA viruses. However, infection of mammals with several nucleus-replicating DNA viruses induces production of virus-derived microRNAs capable of silencing host and viral mRNAs as found for viral siRNAs. Remarkably, recent studies indicate that prokaryotes also produce virus-derived small RNAs known as CRISPR RNAs to guide antiviral defense in a manner that has yet to be defined. In this article, we review the recent progress on the identification and mechanism of the key components including viral sensors, viral triggers, effectors, and amplifiers, of the small RNA-directed viral immunity. We also highlight some of the many unresolved questions.","author":[{"dropping-particle":"","family":"Aliyari","given":"Roghiyh","non-dropping-particle":"","parse-names":false,"suffix":""},{"dropping-particle":"","family":"Ding","given":"Shou-Wei","non-dropping-particle":"","parse-names":false,"suffix":""}],"container-title":"Immunological reviews","id":"ITEM-1","issue":"1","issued":{"date-parts":[["2009","1"]]},"page":"176-88","publisher":"NIH Public Access","title":"RNA-based viral immunity initiated by the Dicer family of host immune receptors.","type":"article-journal","volume":"227"},"uris":["http://www.mendeley.com/documents/?uuid=f675171b-f392-3c3e-be87-ef82254b2eaa"]},{"id":"ITEM-2","itemData":{"DOI":"10.1016/J.CELL.2005.11.034","ISSN":"0092-8674","abstract":"Members of the ribonuclease III (RNase III) family are double-stranded RNA (dsRNA) specific endoribonucleases characterized by a signature motif in their active centers and a two-base 3′ overhang in their products. While Dicer, which produces small interfering RNAs, is currently the focus of intense interest, the structurally simpler bacterial RNase III serves as a paradigm for the entire family. Here, we present the crystal structure of an RNase III-product complex, the first catalytic complex observed for the family. A 7 residue linker within the protein facilitates induced fit in protein-RNA recognition. A pattern of protein-RNA interactions, defined by four RNA binding motifs in RNase III and three protein-interacting boxes in dsRNA, is responsible for substrate specificity, while conserved amino acid residues and divalent cations are responsible for scissile-bond cleavage. The structure reveals a wealth of information about the mechanism of RNA hydrolysis that can be extrapolated to other RNase III family members.","author":[{"dropping-particle":"","family":"Gan","given":"Jianhua","non-dropping-particle":"","parse-names":false,"suffix":""},{"dropping-particle":"","family":"Tropea","given":"Joseph E.","non-dropping-particle":"","parse-names":false,"suffix":""},{"dropping-particle":"","family":"Austin","given":"Brian P.","non-dropping-particle":"","parse-names":false,"suffix":""},{"dropping-particle":"","family":"Court","given":"Donald L.","non-dropping-particle":"","parse-names":false,"suffix":""},{"dropping-particle":"","family":"Waugh","given":"David S.","non-dropping-particle":"","parse-names":false,"suffix":""},{"dropping-particle":"","family":"Ji","given":"Xinhua","non-dropping-particle":"","parse-names":false,"suffix":""}],"container-title":"Cell","id":"ITEM-2","issue":"2","issued":{"date-parts":[["2006","1","27"]]},"page":"355-366","publisher":"Cell Press","title":"Structural Insight into the Mechanism of Double-Stranded RNA Processing by Ribonuclease III","type":"article-journal","volume":"124"},"uris":["http://www.mendeley.com/documents/?uuid=07c9b95d-d24c-3652-8cdd-bb64a5a3b888"]}],"mendeley":{"formattedCitation":"(Gan &lt;i&gt;et al.&lt;/i&gt;, 2006; Aliyari and Ding, 2009)","plainTextFormattedCitation":"(Gan et al., 2006; Aliyari and Ding, 2009)","previouslyFormattedCitation":"(Gan &lt;i&gt;et al.&lt;/i&gt;, 2006; Aliyari and Ding, 2009)"},"properties":{"noteIndex":0},"schema":"https://github.com/citation-style-language/schema/raw/master/csl-citation.json"}</w:instrText>
      </w:r>
      <w:r w:rsidR="005C0E76" w:rsidRPr="000E25D8">
        <w:fldChar w:fldCharType="separate"/>
      </w:r>
      <w:r w:rsidRPr="000E25D8">
        <w:rPr>
          <w:noProof/>
        </w:rPr>
        <w:t xml:space="preserve">(Gan </w:t>
      </w:r>
      <w:r w:rsidRPr="000E25D8">
        <w:rPr>
          <w:i/>
          <w:noProof/>
        </w:rPr>
        <w:t>et al.</w:t>
      </w:r>
      <w:r w:rsidRPr="000E25D8">
        <w:rPr>
          <w:noProof/>
        </w:rPr>
        <w:t>, 2006; Aliyari and Ding, 2009)</w:t>
      </w:r>
      <w:r w:rsidR="005C0E76" w:rsidRPr="000E25D8">
        <w:fldChar w:fldCharType="end"/>
      </w:r>
      <w:r w:rsidRPr="000E25D8">
        <w:t xml:space="preserve"> (see figure 4.1 a). </w:t>
      </w:r>
      <w:r w:rsidRPr="000E25D8">
        <w:rPr>
          <w:i/>
        </w:rPr>
        <w:t>Giardia</w:t>
      </w:r>
      <w:r w:rsidRPr="000E25D8">
        <w:t xml:space="preserve"> Dicer consists of two RNase III domains and a Piwi-Argonaute-Zwille (PAZ) domain </w:t>
      </w:r>
      <w:r w:rsidR="005C0E76" w:rsidRPr="000E25D8">
        <w:fldChar w:fldCharType="begin" w:fldLock="1"/>
      </w:r>
      <w:r w:rsidRPr="000E25D8">
        <w:instrText>ADDIN CSL_CITATION {"citationItems":[{"id":"ITEM-1","itemData":{"DOI":"10.1126/science.1121638","ISSN":"1095-9203","PMID":"16410517","abstract":"The specialized ribonuclease Dicer initiates RNA interference by cleaving double-stranded RNA (dsRNA) substrates into small fragments about 25 nucleotides in length. In the crystal structure of an intact Dicer enzyme, the PAZ domain, a module that binds the end of dsRNA, is separated from the two catalytic ribonuclease III (RNase III) domains by a flat, positively charged surface. The 65 angstrom distance between the PAZ and RNase III domains matches the length spanned by 25 base pairs of RNA. Thus, Dicer itself is a molecular ruler that recognizes dsRNA and cleaves a specified distance from the helical end.","author":[{"dropping-particle":"","family":"Macrae","given":"Ian J","non-dropping-particle":"","parse-names":false,"suffix":""},{"dropping-particle":"","family":"Zhou","given":"Kaihong","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 (New York, N.Y.)","id":"ITEM-1","issue":"5758","issued":{"date-parts":[["2006","1","13"]]},"page":"195-8","publisher":"American Association for the Advancement of Science","title":"Structural basis for double-stranded RNA processing by Dicer.","type":"article-journal","volume":"311"},"uris":["http://www.mendeley.com/documents/?uuid=a71ae084-c315-3c68-8c30-3f383c4173d6"]}],"mendeley":{"formattedCitation":"(Macrae &lt;i&gt;et al.&lt;/i&gt;, 2006)","plainTextFormattedCitation":"(Macrae et al., 2006)","previouslyFormattedCitation":"(Macrae &lt;i&gt;et al.&lt;/i&gt;, 2006)"},"properties":{"noteIndex":0},"schema":"https://github.com/citation-style-language/schema/raw/master/csl-citation.json"}</w:instrText>
      </w:r>
      <w:r w:rsidR="005C0E76" w:rsidRPr="000E25D8">
        <w:fldChar w:fldCharType="separate"/>
      </w:r>
      <w:r w:rsidRPr="000E25D8">
        <w:rPr>
          <w:noProof/>
        </w:rPr>
        <w:t xml:space="preserve">(Macrae </w:t>
      </w:r>
      <w:r w:rsidRPr="000E25D8">
        <w:rPr>
          <w:i/>
          <w:noProof/>
        </w:rPr>
        <w:t>et al.</w:t>
      </w:r>
      <w:r w:rsidRPr="000E25D8">
        <w:rPr>
          <w:noProof/>
        </w:rPr>
        <w:t>, 2006)</w:t>
      </w:r>
      <w:r w:rsidR="005C0E76" w:rsidRPr="000E25D8">
        <w:fldChar w:fldCharType="end"/>
      </w:r>
      <w:r w:rsidRPr="000E25D8">
        <w:t xml:space="preserve"> (see figure 4.1 a). It shares all of these domains with human Dicer and insect Dicer-2. However, these have increased domain complexity, with a canonical N-terminus dsRBD, a further atypical dsRBD formerly termed domain of unknown function (DUF) 283, and a C-terminus Helicase domain </w:t>
      </w:r>
      <w:r w:rsidR="005C0E76" w:rsidRPr="000E25D8">
        <w:fldChar w:fldCharType="begin" w:fldLock="1"/>
      </w:r>
      <w:r w:rsidRPr="000E25D8">
        <w:instrText xml:space="preserve">ADDIN CSL_CITATION {"citationItems":[{"id":"ITEM-1","itemData":{"DOI":"10.1073/pnas.1612393113","ISSN":"1091-6490","PMID":"27872309","abstract":"The enzyme Dicer produces small silencing RNAs such as micro-RNAs (miRNAs) and small interfering RNAs (siRNAs). In Drosophila, Dicer-1 produces </w:instrText>
      </w:r>
      <w:r w:rsidRPr="000E25D8">
        <w:rPr>
          <w:rFonts w:ascii="Cambria Math" w:hAnsi="Cambria Math" w:cs="Cambria Math"/>
        </w:rPr>
        <w:instrText>∼</w:instrText>
      </w:r>
      <w:r w:rsidRPr="000E25D8">
        <w:rPr>
          <w:rFonts w:ascii="Calibri" w:hAnsi="Calibri" w:cs="Calibri"/>
        </w:rPr>
        <w:instrText>22-24-nt miRNAs from pre-miRNAs, whereas Dicer-2</w:instrText>
      </w:r>
      <w:r w:rsidRPr="000E25D8">
        <w:instrText xml:space="preserve"> makes 21-nt siRNAs from long double-stranded RNAs (dsRNAs). How Dicer-2 precisely makes 21-nt siRNAs with a remarkably high fidelity is unknown. Here we report that recognition of the 5'-monophosphate of a long dsRNA substrate by a phosphate-binding pocket in the Dicer-2 PAZ (Piwi, Argonaute, and Zwille/Pinhead) domain is crucial for the length fidelity, but not the efficiency, in 21-nt siRNA production. Loss of the length fidelity, meaning increased length heterogeneity of siRNAs, caused by point mutations in the phosphate-binding pocket of the Dicer-2 PAZ domain decreased RNA silencing activity in vivo, showing the importance of the high fidelity to make 21-nt siRNAs. We propose that the 5'-monophosphate of a long dsRNA substrate is anchored by the phosphate-binding pocket in the Dicer-2 PAZ domain and the distance between the pocket and the RNA cleavage active site in the RNaseIII domain corresponds to the 21-nt pitch in the A-form duplex of a long dsRNA substrate, resulting in high-fidelity 21-nt siRNA production. This study sheds light on the molecular mechanism by which Dicer-2 produces 21-nt siRNAs with a remarkably high fidelity for efficient RNA silencing.","author":[{"dropping-particle":"","family":"Kandasamy","given":"Suresh K","non-dropping-particle":"","parse-names":false,"suffix":""},{"dropping-particle":"","family":"Fukunaga","given":"Ryuya","non-dropping-particle":"","parse-names":false,"suffix":""}],"container-title":"Proceedings of the National Academy of Sciences of the United States of America","id":"ITEM-1","issue":"49","issued":{"date-parts":[["2016","12","6"]]},"page":"14031-14036","publisher":"National Academy of Sciences","title":"Phosphate-binding pocket in Dicer-2 PAZ domain for high-fidelity siRNA production.","type":"article-journal","volume":"113"},"uris":["http://www.mendeley.com/documents/?uuid=90bef9ed-5b73-3b06-9f4a-a167e60a5f1d"]}],"mendeley":{"formattedCitation":"(Kandasamy and Fukunaga, 2016)","plainTextFormattedCitation":"(Kandasamy and Fukunaga, 2016)","previouslyFormattedCitation":"(Kandasamy and Fukunaga, 2016)"},"properties":{"noteIndex":0},"schema":"https://github.com/citation-style-language/schema/raw/master/csl-citation.json"}</w:instrText>
      </w:r>
      <w:r w:rsidR="005C0E76" w:rsidRPr="000E25D8">
        <w:fldChar w:fldCharType="separate"/>
      </w:r>
      <w:r w:rsidRPr="000E25D8">
        <w:rPr>
          <w:noProof/>
        </w:rPr>
        <w:t>(Kandasamy and Fukunaga, 2016)</w:t>
      </w:r>
      <w:r w:rsidR="005C0E76" w:rsidRPr="000E25D8">
        <w:fldChar w:fldCharType="end"/>
      </w:r>
      <w:r w:rsidRPr="000E25D8">
        <w:t xml:space="preserve"> (see figure 4.1 a). PAZ domains are responsible for binding the two nucleotide overhang of dsRNA substrates </w:t>
      </w:r>
      <w:r w:rsidR="005C0E76" w:rsidRPr="000E25D8">
        <w:fldChar w:fldCharType="begin" w:fldLock="1"/>
      </w:r>
      <w:r w:rsidRPr="000E25D8">
        <w:instrText>ADDIN CSL_CITATION {"citationItems":[{"id":"ITEM-1","itemData":{"DOI":"10.1038/nsb1016","abstract":"The presence of double-stranded RNA (dsRNA) in a eukaryotic cell can trigger an evolutionarily conserved gene silencing mechanism known as RNA interference or RNAi 1. This pathway generally responds to exogenously introduced dsRNAs by targeting homo-logous, endogenous RNAs for sequence-specific degradation 2. There are also numerous endogenous noncoding RNAs known as miRNAs, and at least some of these enter either the same or related silencing pathways, regulating gene expression at the level of either mRNA stability or protein synthesis 3. In many systems, the RNAi machinery has been linked to the metabolism of repetitive genomic sequences. For example, in Schizosaccharomyces pombe, an RNAi-related machinery is essential for regulating repetitive elements at the centromeres and mating type loci through effects on heterochromatin formation 4,5. A close relationship between these seemingly distinct processes is suggested by their sharing not only a common structure of the proposed silencing trigger, namely dsRNA, but also by the presence of certain common features that indicate related biochemical mechanisms. SiRNAs are a central element of RNAi-related pathways. These comprise a dsRNA of 19-24 nucleotides in which the double helix is bounded by two-nucleotide 3′ overhangs 6. Terminal phosphate groups at the 5′ ends of each strand have also been implicated as essential features for the incorporation of such small RNAs into the silencing pathway 7. SiRNAs are produced through the action of a specific RNase III family nuclease known as Dicer 8. This enzyme cleaves either dsRNAs or short hairpin miRNA precursors to generate the active forms of these silencing triggers 1. In the current working model of the RNAi mechanism, each of these structures enters an effector complex (or a series of related complexes) known as RISC, which contains as a signature component a member of the Argo-naute family of proteins 9,10. Argonaute proteins are evolutionarily conserved and are composed of two distinguishing domains, PAZ and PIWI 11,12. Whereas the PIWI domain is restricted to Argonautes, the PAZ domain is found also in Dicer family proteins 8. To better understand the biochemical function of Argonaute proteins, we have determined the crystal structure of the PAZ domain of Drosophila melanogaster Argonaute2 (Ago2-PAZ) and, based on this structural information, suggest a model for how this domain functions in Dicer and RISC. RESULTS Overall structure of Ago2-PAZ The cr…","author":[{"dropping-particle":"","family":"Song","given":"Ji-Joon","non-dropping-particle":"","parse-names":false,"suffix":""},{"dropping-particle":"","family":"Liu","given":"Jidong","non-dropping-particle":"","parse-names":false,"suffix":""},{"dropping-particle":"","family":"Tolia","given":"Niraj H","non-dropping-particle":"","parse-names":false,"suffix":""},{"dropping-particle":"","family":"Schneiderman","given":"Jonathan","non-dropping-particle":"","parse-names":false,"suffix":""},{"dropping-particle":"","family":"Smith","given":"Stephanie K","non-dropping-particle":"","parse-names":false,"suffix":""},{"dropping-particle":"","family":"Martienssen","given":"Robert A","non-dropping-particle":"","parse-names":false,"suffix":""},{"dropping-particle":"","family":"Hannon","given":"Gregory J","non-dropping-particle":"","parse-names":false,"suffix":""},{"dropping-particle":"","family":"Leemor Joshua-Tor","given":"&amp;","non-dropping-particle":"","parse-names":false,"suffix":""}],"container-title":"NATURE STRUCTURAL BIOLOGY","id":"ITEM-1","issued":{"date-parts":[["2003"]]},"title":"The crystal structure of the Argonaute2 PAZ domain reveals an RNA binding motif in RNAi effector complexes","type":"article-journal","volume":"10"},"uris":["http://www.mendeley.com/documents/?uuid=9c1be7c9-3082-385e-9b7f-de631d3157ea"]}],"mendeley":{"formattedCitation":"(Song &lt;i&gt;et al.&lt;/i&gt;, 2003)","plainTextFormattedCitation":"(Song et al., 2003)","previouslyFormattedCitation":"(Song &lt;i&gt;et al.&lt;/i&gt;, 2003)"},"properties":{"noteIndex":0},"schema":"https://github.com/citation-style-language/schema/raw/master/csl-citation.json"}</w:instrText>
      </w:r>
      <w:r w:rsidR="005C0E76" w:rsidRPr="000E25D8">
        <w:fldChar w:fldCharType="separate"/>
      </w:r>
      <w:r w:rsidRPr="000E25D8">
        <w:rPr>
          <w:noProof/>
        </w:rPr>
        <w:t xml:space="preserve">(Song </w:t>
      </w:r>
      <w:r w:rsidRPr="000E25D8">
        <w:rPr>
          <w:i/>
          <w:noProof/>
        </w:rPr>
        <w:t>et al.</w:t>
      </w:r>
      <w:r w:rsidRPr="000E25D8">
        <w:rPr>
          <w:noProof/>
        </w:rPr>
        <w:t>, 2003)</w:t>
      </w:r>
      <w:r w:rsidR="005C0E76" w:rsidRPr="000E25D8">
        <w:fldChar w:fldCharType="end"/>
      </w:r>
      <w:r w:rsidRPr="000E25D8">
        <w:t xml:space="preserve">, dsRBD domains bind dsRNA mid-molecule across a minor-major-minor groove stretch of helix </w:t>
      </w:r>
      <w:r w:rsidR="005C0E76" w:rsidRPr="000E25D8">
        <w:fldChar w:fldCharType="begin" w:fldLock="1"/>
      </w:r>
      <w:r w:rsidRPr="000E25D8">
        <w:instrText>ADDIN CSL_CITATION {"citationItems":[{"id":"ITEM-1","itemData":{"DOI":"10.1007/s00018-012-1119-x","ISSN":"1420-9071","PMID":"22918483","abstract":"The double-stranded RNA binding domain (dsRBD) is a small protein domain of 65-70 amino acids adopting an αβββα fold, whose central property is to bind to double-stranded RNA (dsRNA). This domain is present in proteins implicated in many aspects of cellular life, including antiviral response, RNA editing, RNA processing, RNA transport and, last but not least, RNA silencing. Even though proteins containing dsRBDs can bind to very specific dsRNA targets in vivo, the binding of dsRBDs to dsRNA is commonly believed to be shape-dependent rather than sequence-specific. Interestingly, recent structural information on dsRNA recognition by dsRBDs opens the possibility that this domain performs a direct readout of RNA sequence in the minor groove, allowing a global reconsideration of the principles describing dsRNA recognition by dsRBDs. We review in this article the current structural and molecular knowledge on dsRBDs, emphasizing the intricate relationship between the amino acid sequence, the structure of the domain and its RNA recognition capacity. We especially focus on the molecular determinants of dsRNA recognition and describe how sequence discrimination can be achieved by this type of domain.","author":[{"dropping-particle":"","family":"Masliah","given":"Grégoire","non-dropping-particle":"","parse-names":false,"suffix":""},{"dropping-particle":"","family":"Barraud","given":"Pierre","non-dropping-particle":"","parse-names":false,"suffix":""},{"dropping-particle":"","family":"Allain","given":"Frédéric H-T","non-dropping-particle":"","parse-names":false,"suffix":""}],"container-title":"Cellular and molecular life sciences : CMLS","id":"ITEM-1","issue":"11","issued":{"date-parts":[["2013","6"]]},"page":"1875-95","publisher":"Inserm","title":"RNA recognition by double-stranded RNA binding domains: a matter of shape and sequence.","type":"article-journal","volume":"70"},"uris":["http://www.mendeley.com/documents/?uuid=1d6be4d6-608d-34c3-a444-24a4280f5824"]}],"mendeley":{"formattedCitation":"(Masliah, Barraud and Allain, 2013)","plainTextFormattedCitation":"(Masliah, Barraud and Allain, 2013)","previouslyFormattedCitation":"(Masliah, Barraud and Allain, 2013)"},"properties":{"noteIndex":0},"schema":"https://github.com/citation-style-language/schema/raw/master/csl-citation.json"}</w:instrText>
      </w:r>
      <w:r w:rsidR="005C0E76" w:rsidRPr="000E25D8">
        <w:fldChar w:fldCharType="separate"/>
      </w:r>
      <w:r w:rsidRPr="000E25D8">
        <w:rPr>
          <w:noProof/>
        </w:rPr>
        <w:t>(Masliah, Barraud and Allain, 2013)</w:t>
      </w:r>
      <w:r w:rsidR="005C0E76" w:rsidRPr="000E25D8">
        <w:fldChar w:fldCharType="end"/>
      </w:r>
      <w:r>
        <w:t xml:space="preserve">, RNase III domains act in pairs to cleave the dsRNA to form a new terminus with a two nucleotide overhang </w:t>
      </w:r>
      <w:r w:rsidR="005C0E76">
        <w:fldChar w:fldCharType="begin" w:fldLock="1"/>
      </w:r>
      <w:r>
        <w:instrText>ADDIN CSL_CITATION {"citationItems":[{"id":"ITEM-1","itemData":{"DOI":"10.1126/science.1121638","ISSN":"1095-9203","PMID":"16410517","abstract":"The specialized ribonuclease Dicer initiates RNA interference by cleaving double-stranded RNA (dsRNA) substrates into small fragments about 25 nucleotides in length. In the crystal structure of an intact Dicer enzyme, the PAZ domain, a module that binds the end of dsRNA, is separated from the two catalytic ribonuclease III (RNase III) domains by a flat, positively charged surface. The 65 angstrom distance between the PAZ and RNase III domains matches the length spanned by 25 base pairs of RNA. Thus, Dicer itself is a molecular ruler that recognizes dsRNA and cleaves a specified distance from the helical end.","author":[{"dropping-particle":"","family":"Macrae","given":"Ian J","non-dropping-particle":"","parse-names":false,"suffix":""},{"dropping-particle":"","family":"Zhou","given":"Kaihong","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 (New York, N.Y.)","id":"ITEM-1","issue":"5758","issued":{"date-parts":[["2006","1","13"]]},"page":"195-8","publisher":"American Association for the Advancement of Science","title":"Structural basis for double-stranded RNA processing by Dicer.","type":"article-journal","volume":"311"},"uris":["http://www.mendeley.com/documents/?uuid=a71ae084-c315-3c68-8c30-3f383c4173d6"]}],"mendeley":{"formattedCitation":"(Macrae &lt;i&gt;et al.&lt;/i&gt;, 2006)","plainTextFormattedCitation":"(Macrae et al., 2006)","previouslyFormattedCitation":"(Macrae &lt;i&gt;et al.&lt;/i&gt;, 2006)"},"properties":{"noteIndex":0},"schema":"https://github.com/citation-style-language/schema/raw/master/csl-citation.json"}</w:instrText>
      </w:r>
      <w:r w:rsidR="005C0E76">
        <w:fldChar w:fldCharType="separate"/>
      </w:r>
      <w:r w:rsidRPr="00760C3F">
        <w:rPr>
          <w:noProof/>
        </w:rPr>
        <w:t xml:space="preserve">(Macrae </w:t>
      </w:r>
      <w:r w:rsidRPr="00760C3F">
        <w:rPr>
          <w:i/>
          <w:noProof/>
        </w:rPr>
        <w:t>et al.</w:t>
      </w:r>
      <w:r w:rsidRPr="00760C3F">
        <w:rPr>
          <w:noProof/>
        </w:rPr>
        <w:t>, 2006)</w:t>
      </w:r>
      <w:r w:rsidR="005C0E76">
        <w:fldChar w:fldCharType="end"/>
      </w:r>
      <w:r>
        <w:t xml:space="preserve">, and the helicase domain has various roles in different species, including </w:t>
      </w:r>
      <w:r w:rsidR="00402BCC">
        <w:t xml:space="preserve"> </w:t>
      </w:r>
      <w:r>
        <w:t>successive</w:t>
      </w:r>
      <w:r w:rsidR="00402BCC">
        <w:t xml:space="preserve"> </w:t>
      </w:r>
      <w:r>
        <w:t xml:space="preserve"> processing </w:t>
      </w:r>
      <w:r w:rsidR="00402BCC">
        <w:t xml:space="preserve"> </w:t>
      </w:r>
      <w:r>
        <w:t xml:space="preserve">of </w:t>
      </w:r>
      <w:r w:rsidR="00402BCC">
        <w:t xml:space="preserve"> </w:t>
      </w:r>
      <w:r>
        <w:t xml:space="preserve">a </w:t>
      </w:r>
      <w:r w:rsidR="00402BCC">
        <w:t xml:space="preserve"> </w:t>
      </w:r>
      <w:r>
        <w:t xml:space="preserve">dsRNA </w:t>
      </w:r>
      <w:r w:rsidR="00402BCC">
        <w:t xml:space="preserve"> </w:t>
      </w:r>
      <w:r>
        <w:t xml:space="preserve">into </w:t>
      </w:r>
      <w:r w:rsidR="00402BCC">
        <w:t xml:space="preserve"> </w:t>
      </w:r>
      <w:r>
        <w:t xml:space="preserve">multiple </w:t>
      </w:r>
      <w:r w:rsidR="00402BCC">
        <w:t xml:space="preserve"> </w:t>
      </w:r>
      <w:r>
        <w:t xml:space="preserve">siRNAs </w:t>
      </w:r>
      <w:r w:rsidR="00402BCC">
        <w:t xml:space="preserve"> </w:t>
      </w:r>
      <w:r>
        <w:t xml:space="preserve">without </w:t>
      </w:r>
      <w:r w:rsidR="00402BCC">
        <w:t xml:space="preserve"> </w:t>
      </w:r>
      <w:r>
        <w:t xml:space="preserve">dissociation </w:t>
      </w:r>
      <w:r w:rsidR="00402BCC">
        <w:t xml:space="preserve"> </w:t>
      </w:r>
      <w:r>
        <w:t xml:space="preserve">of </w:t>
      </w:r>
      <w:r w:rsidR="00402BCC">
        <w:t xml:space="preserve">  </w:t>
      </w:r>
      <w:r>
        <w:t xml:space="preserve">Dicer </w:t>
      </w:r>
    </w:p>
    <w:p w:rsidR="00402BCC" w:rsidRDefault="00402BCC" w:rsidP="00402BCC">
      <w:pPr>
        <w:keepNext/>
        <w:spacing w:after="200"/>
        <w:jc w:val="left"/>
      </w:pPr>
      <w:r w:rsidRPr="00402BCC">
        <w:rPr>
          <w:noProof/>
          <w:lang w:eastAsia="en-GB"/>
        </w:rPr>
        <w:lastRenderedPageBreak/>
        <w:drawing>
          <wp:inline distT="0" distB="0" distL="0" distR="0">
            <wp:extent cx="5731510" cy="4912198"/>
            <wp:effectExtent l="0" t="0" r="0" b="0"/>
            <wp:docPr id="33" name="Objec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6924" cy="7128792"/>
                      <a:chOff x="804156" y="1252228"/>
                      <a:chExt cx="8316924" cy="7128792"/>
                    </a:xfrm>
                  </a:grpSpPr>
                  <a:grpSp>
                    <a:nvGrpSpPr>
                      <a:cNvPr id="164" name="Group 163"/>
                      <a:cNvGrpSpPr/>
                    </a:nvGrpSpPr>
                    <a:grpSpPr>
                      <a:xfrm>
                        <a:off x="804156" y="2656384"/>
                        <a:ext cx="6552728" cy="246221"/>
                        <a:chOff x="516124" y="2440360"/>
                        <a:chExt cx="6552728" cy="246221"/>
                      </a:xfrm>
                    </a:grpSpPr>
                    <a:cxnSp>
                      <a:nvCxnSpPr>
                        <a:cNvPr id="165" name="Straight Connector 164"/>
                        <a:cNvCxnSpPr/>
                      </a:nvCxnSpPr>
                      <a:spPr>
                        <a:xfrm flipV="1">
                          <a:off x="516124" y="2548372"/>
                          <a:ext cx="6552728" cy="3600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66" name="TextBox 165"/>
                        <a:cNvSpPr txBox="1"/>
                      </a:nvSpPr>
                      <a:spPr>
                        <a:xfrm>
                          <a:off x="6528792" y="2440360"/>
                          <a:ext cx="540060" cy="246221"/>
                        </a:xfrm>
                        <a:prstGeom prst="rect">
                          <a:avLst/>
                        </a:prstGeom>
                        <a:solidFill>
                          <a:schemeClr val="accent4"/>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dsRBD</a:t>
                            </a:r>
                            <a:endParaRPr lang="en-GB" sz="1000" dirty="0"/>
                          </a:p>
                        </a:txBody>
                        <a:useSpRect/>
                      </a:txSp>
                    </a:sp>
                    <a:sp>
                      <a:nvSpPr>
                        <a:cNvPr id="167" name="TextBox 166"/>
                        <a:cNvSpPr txBox="1"/>
                      </a:nvSpPr>
                      <a:spPr>
                        <a:xfrm>
                          <a:off x="5232648" y="2440360"/>
                          <a:ext cx="1044116" cy="246221"/>
                        </a:xfrm>
                        <a:prstGeom prst="rect">
                          <a:avLst/>
                        </a:prstGeom>
                        <a:solidFill>
                          <a:srgbClr val="D70000"/>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RNase III b</a:t>
                            </a:r>
                            <a:endParaRPr lang="en-GB" sz="1000" dirty="0"/>
                          </a:p>
                        </a:txBody>
                        <a:useSpRect/>
                      </a:txSp>
                    </a:sp>
                    <a:sp>
                      <a:nvSpPr>
                        <a:cNvPr id="168" name="TextBox 167"/>
                        <a:cNvSpPr txBox="1"/>
                      </a:nvSpPr>
                      <a:spPr>
                        <a:xfrm>
                          <a:off x="4116524" y="2440360"/>
                          <a:ext cx="1044116" cy="246221"/>
                        </a:xfrm>
                        <a:prstGeom prst="rect">
                          <a:avLst/>
                        </a:prstGeom>
                        <a:solidFill>
                          <a:srgbClr val="D70000"/>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RNase III a</a:t>
                            </a:r>
                            <a:endParaRPr lang="en-GB" sz="1000" dirty="0"/>
                          </a:p>
                        </a:txBody>
                        <a:useSpRect/>
                      </a:txSp>
                    </a:sp>
                    <a:sp>
                      <a:nvSpPr>
                        <a:cNvPr id="169" name="TextBox 168"/>
                        <a:cNvSpPr txBox="1"/>
                      </a:nvSpPr>
                      <a:spPr>
                        <a:xfrm>
                          <a:off x="2856384" y="2440360"/>
                          <a:ext cx="828092" cy="246221"/>
                        </a:xfrm>
                        <a:prstGeom prst="rect">
                          <a:avLst/>
                        </a:prstGeom>
                        <a:solidFill>
                          <a:schemeClr val="accent6"/>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PAZ domain</a:t>
                            </a:r>
                            <a:endParaRPr lang="en-GB" sz="1000" dirty="0"/>
                          </a:p>
                        </a:txBody>
                        <a:useSpRect/>
                      </a:txSp>
                    </a:sp>
                    <a:sp>
                      <a:nvSpPr>
                        <a:cNvPr id="170" name="TextBox 169"/>
                        <a:cNvSpPr txBox="1"/>
                      </a:nvSpPr>
                      <a:spPr>
                        <a:xfrm>
                          <a:off x="624136" y="2440360"/>
                          <a:ext cx="1260140" cy="246221"/>
                        </a:xfrm>
                        <a:prstGeom prst="rect">
                          <a:avLst/>
                        </a:prstGeom>
                        <a:solidFill>
                          <a:schemeClr val="accent5"/>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Helicase domain</a:t>
                            </a:r>
                            <a:endParaRPr lang="en-GB" sz="1000" dirty="0"/>
                          </a:p>
                        </a:txBody>
                        <a:useSpRect/>
                      </a:txSp>
                    </a:sp>
                    <a:sp>
                      <a:nvSpPr>
                        <a:cNvPr id="171" name="TextBox 170"/>
                        <a:cNvSpPr txBox="1"/>
                      </a:nvSpPr>
                      <a:spPr>
                        <a:xfrm>
                          <a:off x="1956284" y="2440360"/>
                          <a:ext cx="612068" cy="246221"/>
                        </a:xfrm>
                        <a:prstGeom prst="rect">
                          <a:avLst/>
                        </a:prstGeom>
                        <a:solidFill>
                          <a:schemeClr val="bg1">
                            <a:lumMod val="75000"/>
                          </a:schemeClr>
                        </a:solidFill>
                        <a:ln w="9525">
                          <a:solidFill>
                            <a:schemeClr val="tx1"/>
                          </a:solidFill>
                          <a:prstDash val="dash"/>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DUF283</a:t>
                            </a:r>
                            <a:endParaRPr lang="en-GB" sz="1000" dirty="0"/>
                          </a:p>
                        </a:txBody>
                        <a:useSpRect/>
                      </a:txSp>
                    </a:sp>
                  </a:grpSp>
                  <a:cxnSp>
                    <a:nvCxnSpPr>
                      <a:cNvPr id="173" name="Straight Connector 172"/>
                      <a:cNvCxnSpPr/>
                    </a:nvCxnSpPr>
                    <a:spPr>
                      <a:xfrm>
                        <a:off x="3036404" y="2368352"/>
                        <a:ext cx="432048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75" name="TextBox 174"/>
                      <a:cNvSpPr txBox="1"/>
                    </a:nvSpPr>
                    <a:spPr>
                      <a:xfrm>
                        <a:off x="5520680" y="2260340"/>
                        <a:ext cx="1044116" cy="246221"/>
                      </a:xfrm>
                      <a:prstGeom prst="rect">
                        <a:avLst/>
                      </a:prstGeom>
                      <a:solidFill>
                        <a:srgbClr val="D70000"/>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RNase III b</a:t>
                          </a:r>
                          <a:endParaRPr lang="en-GB" sz="1000" dirty="0"/>
                        </a:p>
                      </a:txBody>
                      <a:useSpRect/>
                    </a:txSp>
                  </a:sp>
                  <a:sp>
                    <a:nvSpPr>
                      <a:cNvPr id="176" name="TextBox 175"/>
                      <a:cNvSpPr txBox="1"/>
                    </a:nvSpPr>
                    <a:spPr>
                      <a:xfrm>
                        <a:off x="4404556" y="2260340"/>
                        <a:ext cx="1044116" cy="246221"/>
                      </a:xfrm>
                      <a:prstGeom prst="rect">
                        <a:avLst/>
                      </a:prstGeom>
                      <a:solidFill>
                        <a:srgbClr val="D70000"/>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RNase III a</a:t>
                          </a:r>
                          <a:endParaRPr lang="en-GB" sz="1000" dirty="0"/>
                        </a:p>
                      </a:txBody>
                      <a:useSpRect/>
                    </a:txSp>
                  </a:sp>
                  <a:sp>
                    <a:nvSpPr>
                      <a:cNvPr id="177" name="TextBox 176"/>
                      <a:cNvSpPr txBox="1"/>
                    </a:nvSpPr>
                    <a:spPr>
                      <a:xfrm>
                        <a:off x="3144416" y="2260340"/>
                        <a:ext cx="828092" cy="246221"/>
                      </a:xfrm>
                      <a:prstGeom prst="rect">
                        <a:avLst/>
                      </a:prstGeom>
                      <a:solidFill>
                        <a:schemeClr val="accent6"/>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PAZ domain</a:t>
                          </a:r>
                          <a:endParaRPr lang="en-GB" sz="1000" dirty="0"/>
                        </a:p>
                      </a:txBody>
                      <a:useSpRect/>
                    </a:txSp>
                  </a:sp>
                  <a:cxnSp>
                    <a:nvCxnSpPr>
                      <a:cNvPr id="183" name="Straight Connector 182"/>
                      <a:cNvCxnSpPr/>
                    </a:nvCxnSpPr>
                    <a:spPr>
                      <a:xfrm>
                        <a:off x="5304656" y="2008312"/>
                        <a:ext cx="2052228"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84" name="TextBox 183"/>
                      <a:cNvSpPr txBox="1"/>
                    </a:nvSpPr>
                    <a:spPr>
                      <a:xfrm>
                        <a:off x="6816824" y="1900300"/>
                        <a:ext cx="540060" cy="246221"/>
                      </a:xfrm>
                      <a:prstGeom prst="rect">
                        <a:avLst/>
                      </a:prstGeom>
                      <a:solidFill>
                        <a:schemeClr val="accent4"/>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dsRBD</a:t>
                          </a:r>
                          <a:endParaRPr lang="en-GB" sz="1000" dirty="0"/>
                        </a:p>
                      </a:txBody>
                      <a:useSpRect/>
                    </a:txSp>
                  </a:sp>
                  <a:sp>
                    <a:nvSpPr>
                      <a:cNvPr id="185" name="TextBox 184"/>
                      <a:cNvSpPr txBox="1"/>
                    </a:nvSpPr>
                    <a:spPr>
                      <a:xfrm>
                        <a:off x="5520680" y="1900300"/>
                        <a:ext cx="1044116" cy="246221"/>
                      </a:xfrm>
                      <a:prstGeom prst="rect">
                        <a:avLst/>
                      </a:prstGeom>
                      <a:solidFill>
                        <a:srgbClr val="D70000"/>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RNase III </a:t>
                          </a:r>
                          <a:endParaRPr lang="en-GB" sz="1000" dirty="0"/>
                        </a:p>
                      </a:txBody>
                      <a:useSpRect/>
                    </a:txSp>
                  </a:sp>
                  <a:sp>
                    <a:nvSpPr>
                      <a:cNvPr id="109" name="TextBox 108"/>
                      <a:cNvSpPr txBox="1"/>
                    </a:nvSpPr>
                    <a:spPr>
                      <a:xfrm>
                        <a:off x="7500900" y="1906107"/>
                        <a:ext cx="140415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RNase III (</a:t>
                          </a:r>
                          <a:r>
                            <a:rPr lang="en-GB" sz="1000" b="1" i="1" dirty="0" smtClean="0"/>
                            <a:t>E. coli</a:t>
                          </a:r>
                          <a:r>
                            <a:rPr lang="en-GB" sz="1000" b="1" dirty="0" smtClean="0"/>
                            <a:t>)</a:t>
                          </a:r>
                          <a:endParaRPr lang="en-GB" sz="1000" b="1" dirty="0"/>
                        </a:p>
                      </a:txBody>
                      <a:useSpRect/>
                    </a:txSp>
                  </a:sp>
                  <a:sp>
                    <a:nvSpPr>
                      <a:cNvPr id="110" name="TextBox 109"/>
                      <a:cNvSpPr txBox="1"/>
                    </a:nvSpPr>
                    <a:spPr>
                      <a:xfrm>
                        <a:off x="7500900" y="2230143"/>
                        <a:ext cx="162018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Dicer (</a:t>
                          </a:r>
                          <a:r>
                            <a:rPr lang="en-GB" sz="1000" b="1" i="1" dirty="0" smtClean="0"/>
                            <a:t>Giardia </a:t>
                          </a:r>
                          <a:r>
                            <a:rPr lang="en-GB" sz="1000" b="1" i="1" dirty="0" err="1" smtClean="0"/>
                            <a:t>intestinalis</a:t>
                          </a:r>
                          <a:r>
                            <a:rPr lang="en-GB" sz="1000" b="1" dirty="0" smtClean="0"/>
                            <a:t>)</a:t>
                          </a:r>
                          <a:endParaRPr lang="en-GB" sz="1000" b="1" dirty="0"/>
                        </a:p>
                      </a:txBody>
                      <a:useSpRect/>
                    </a:txSp>
                  </a:sp>
                  <a:sp>
                    <a:nvSpPr>
                      <a:cNvPr id="111" name="TextBox 110"/>
                      <a:cNvSpPr txBox="1"/>
                    </a:nvSpPr>
                    <a:spPr>
                      <a:xfrm>
                        <a:off x="7500900" y="2656384"/>
                        <a:ext cx="162018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Dicer (</a:t>
                          </a:r>
                          <a:r>
                            <a:rPr lang="en-GB" sz="1000" b="1" i="1" dirty="0" smtClean="0"/>
                            <a:t>H. sapiens</a:t>
                          </a:r>
                          <a:r>
                            <a:rPr lang="en-GB" sz="1000" b="1" dirty="0" smtClean="0"/>
                            <a:t>)</a:t>
                          </a:r>
                          <a:endParaRPr lang="en-GB" sz="1000" b="1" dirty="0"/>
                        </a:p>
                      </a:txBody>
                      <a:useSpRect/>
                    </a:txSp>
                  </a:sp>
                  <a:sp>
                    <a:nvSpPr>
                      <a:cNvPr id="112" name="TextBox 111"/>
                      <a:cNvSpPr txBox="1"/>
                    </a:nvSpPr>
                    <a:spPr>
                      <a:xfrm>
                        <a:off x="7500900" y="2980420"/>
                        <a:ext cx="1620180"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Dicer -2 (</a:t>
                          </a:r>
                          <a:r>
                            <a:rPr lang="en-GB" sz="1000" b="1" i="1" dirty="0" smtClean="0"/>
                            <a:t>Drosophila melanogaster</a:t>
                          </a:r>
                          <a:r>
                            <a:rPr lang="en-GB" sz="1000" b="1" dirty="0" smtClean="0"/>
                            <a:t>/insects)</a:t>
                          </a:r>
                          <a:endParaRPr lang="en-GB" sz="1000" b="1" dirty="0"/>
                        </a:p>
                      </a:txBody>
                      <a:useSpRect/>
                    </a:txSp>
                  </a:sp>
                  <a:grpSp>
                    <a:nvGrpSpPr>
                      <a:cNvPr id="113" name="Group 112"/>
                      <a:cNvGrpSpPr/>
                    </a:nvGrpSpPr>
                    <a:grpSpPr>
                      <a:xfrm>
                        <a:off x="804156" y="3052428"/>
                        <a:ext cx="6552728" cy="246221"/>
                        <a:chOff x="516124" y="2440360"/>
                        <a:chExt cx="6552728" cy="246221"/>
                      </a:xfrm>
                    </a:grpSpPr>
                    <a:cxnSp>
                      <a:nvCxnSpPr>
                        <a:cNvPr id="114" name="Straight Connector 113"/>
                        <a:cNvCxnSpPr/>
                      </a:nvCxnSpPr>
                      <a:spPr>
                        <a:xfrm flipV="1">
                          <a:off x="516124" y="2548372"/>
                          <a:ext cx="6552728" cy="3600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15" name="TextBox 114"/>
                        <a:cNvSpPr txBox="1"/>
                      </a:nvSpPr>
                      <a:spPr>
                        <a:xfrm>
                          <a:off x="6528792" y="2440360"/>
                          <a:ext cx="540060" cy="246221"/>
                        </a:xfrm>
                        <a:prstGeom prst="rect">
                          <a:avLst/>
                        </a:prstGeom>
                        <a:solidFill>
                          <a:schemeClr val="accent4"/>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dsRBD</a:t>
                            </a:r>
                            <a:endParaRPr lang="en-GB" sz="1000" dirty="0"/>
                          </a:p>
                        </a:txBody>
                        <a:useSpRect/>
                      </a:txSp>
                    </a:sp>
                    <a:sp>
                      <a:nvSpPr>
                        <a:cNvPr id="116" name="TextBox 115"/>
                        <a:cNvSpPr txBox="1"/>
                      </a:nvSpPr>
                      <a:spPr>
                        <a:xfrm>
                          <a:off x="5232648" y="2440360"/>
                          <a:ext cx="1044116" cy="246221"/>
                        </a:xfrm>
                        <a:prstGeom prst="rect">
                          <a:avLst/>
                        </a:prstGeom>
                        <a:solidFill>
                          <a:srgbClr val="D70000"/>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RNase III b</a:t>
                            </a:r>
                            <a:endParaRPr lang="en-GB" sz="1000" dirty="0"/>
                          </a:p>
                        </a:txBody>
                        <a:useSpRect/>
                      </a:txSp>
                    </a:sp>
                    <a:sp>
                      <a:nvSpPr>
                        <a:cNvPr id="118" name="TextBox 117"/>
                        <a:cNvSpPr txBox="1"/>
                      </a:nvSpPr>
                      <a:spPr>
                        <a:xfrm>
                          <a:off x="4116524" y="2440360"/>
                          <a:ext cx="1044116" cy="246221"/>
                        </a:xfrm>
                        <a:prstGeom prst="rect">
                          <a:avLst/>
                        </a:prstGeom>
                        <a:solidFill>
                          <a:srgbClr val="D70000"/>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RNase III a</a:t>
                            </a:r>
                            <a:endParaRPr lang="en-GB" sz="1000" dirty="0"/>
                          </a:p>
                        </a:txBody>
                        <a:useSpRect/>
                      </a:txSp>
                    </a:sp>
                    <a:sp>
                      <a:nvSpPr>
                        <a:cNvPr id="122" name="TextBox 121"/>
                        <a:cNvSpPr txBox="1"/>
                      </a:nvSpPr>
                      <a:spPr>
                        <a:xfrm>
                          <a:off x="2856384" y="2440360"/>
                          <a:ext cx="828092" cy="246221"/>
                        </a:xfrm>
                        <a:prstGeom prst="rect">
                          <a:avLst/>
                        </a:prstGeom>
                        <a:solidFill>
                          <a:schemeClr val="accent6"/>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PAZ domain</a:t>
                            </a:r>
                            <a:endParaRPr lang="en-GB" sz="1000" dirty="0"/>
                          </a:p>
                        </a:txBody>
                        <a:useSpRect/>
                      </a:txSp>
                    </a:sp>
                    <a:sp>
                      <a:nvSpPr>
                        <a:cNvPr id="123" name="TextBox 122"/>
                        <a:cNvSpPr txBox="1"/>
                      </a:nvSpPr>
                      <a:spPr>
                        <a:xfrm>
                          <a:off x="624136" y="2440360"/>
                          <a:ext cx="1260140" cy="246221"/>
                        </a:xfrm>
                        <a:prstGeom prst="rect">
                          <a:avLst/>
                        </a:prstGeom>
                        <a:solidFill>
                          <a:schemeClr val="accent5"/>
                        </a:solidFill>
                        <a:ln w="9525">
                          <a:solidFill>
                            <a:schemeClr val="tx1"/>
                          </a:solidFill>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Helicase domain</a:t>
                            </a:r>
                            <a:endParaRPr lang="en-GB" sz="1000" dirty="0"/>
                          </a:p>
                        </a:txBody>
                        <a:useSpRect/>
                      </a:txSp>
                    </a:sp>
                    <a:sp>
                      <a:nvSpPr>
                        <a:cNvPr id="127" name="TextBox 126"/>
                        <a:cNvSpPr txBox="1"/>
                      </a:nvSpPr>
                      <a:spPr>
                        <a:xfrm>
                          <a:off x="1956284" y="2440360"/>
                          <a:ext cx="612068" cy="246221"/>
                        </a:xfrm>
                        <a:prstGeom prst="rect">
                          <a:avLst/>
                        </a:prstGeom>
                        <a:solidFill>
                          <a:schemeClr val="bg1">
                            <a:lumMod val="75000"/>
                          </a:schemeClr>
                        </a:solidFill>
                        <a:ln w="9525">
                          <a:solidFill>
                            <a:schemeClr val="tx1"/>
                          </a:solidFill>
                          <a:prstDash val="dash"/>
                        </a:ln>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DUF283</a:t>
                            </a:r>
                            <a:endParaRPr lang="en-GB" sz="1000" dirty="0"/>
                          </a:p>
                        </a:txBody>
                        <a:useSpRect/>
                      </a:txSp>
                    </a:sp>
                  </a:grpSp>
                  <a:grpSp>
                    <a:nvGrpSpPr>
                      <a:cNvPr id="340" name="Group 339"/>
                      <a:cNvGrpSpPr/>
                    </a:nvGrpSpPr>
                    <a:grpSpPr>
                      <a:xfrm>
                        <a:off x="1812268" y="7683464"/>
                        <a:ext cx="7092788" cy="697556"/>
                        <a:chOff x="1524236" y="7683464"/>
                        <a:chExt cx="7092788" cy="697556"/>
                      </a:xfrm>
                    </a:grpSpPr>
                    <a:grpSp>
                      <a:nvGrpSpPr>
                        <a:cNvPr id="30" name="Group 333"/>
                        <a:cNvGrpSpPr/>
                      </a:nvGrpSpPr>
                      <a:grpSpPr>
                        <a:xfrm>
                          <a:off x="1524236" y="7683464"/>
                          <a:ext cx="5004557" cy="697556"/>
                          <a:chOff x="1524236" y="7029585"/>
                          <a:chExt cx="5004557" cy="697556"/>
                        </a:xfrm>
                      </a:grpSpPr>
                      <a:sp>
                        <a:nvSpPr>
                          <a:cNvPr id="318" name="TextBox 317"/>
                          <a:cNvSpPr txBox="1"/>
                        </a:nvSpPr>
                        <a:spPr>
                          <a:xfrm>
                            <a:off x="6204757" y="7131790"/>
                            <a:ext cx="32403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3’</a:t>
                              </a:r>
                              <a:endParaRPr lang="en-GB" sz="1000" dirty="0"/>
                            </a:p>
                          </a:txBody>
                          <a:useSpRect/>
                        </a:txSp>
                      </a:sp>
                      <a:sp>
                        <a:nvSpPr>
                          <a:cNvPr id="249" name="TextBox 248"/>
                          <a:cNvSpPr txBox="1"/>
                        </a:nvSpPr>
                        <a:spPr>
                          <a:xfrm>
                            <a:off x="1596245" y="7029585"/>
                            <a:ext cx="936104"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Long dsRNA</a:t>
                              </a:r>
                              <a:endParaRPr lang="en-GB" sz="1000" dirty="0"/>
                            </a:p>
                          </a:txBody>
                          <a:useSpRect/>
                        </a:txSp>
                      </a:sp>
                      <a:sp>
                        <a:nvSpPr>
                          <a:cNvPr id="320" name="Arc 319"/>
                          <a:cNvSpPr/>
                        </a:nvSpPr>
                        <a:spPr>
                          <a:xfrm rot="14773181">
                            <a:off x="2962648" y="7290605"/>
                            <a:ext cx="256492" cy="310802"/>
                          </a:xfrm>
                          <a:prstGeom prst="arc">
                            <a:avLst>
                              <a:gd name="adj1" fmla="val 11118818"/>
                              <a:gd name="adj2" fmla="val 3621308"/>
                            </a:avLst>
                          </a:prstGeom>
                          <a:ln w="38100">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321" name="Oval 320"/>
                          <a:cNvSpPr/>
                        </a:nvSpPr>
                        <a:spPr>
                          <a:xfrm rot="10800000">
                            <a:off x="3069135" y="7382728"/>
                            <a:ext cx="1802382" cy="305488"/>
                          </a:xfrm>
                          <a:prstGeom prst="ellipse">
                            <a:avLst/>
                          </a:prstGeom>
                          <a:solidFill>
                            <a:srgbClr val="D70000"/>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23" name="TextBox 322"/>
                          <a:cNvSpPr txBox="1"/>
                        </a:nvSpPr>
                        <a:spPr>
                          <a:xfrm>
                            <a:off x="3288432" y="7480920"/>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dirty="0" smtClean="0"/>
                                <a:t>RNase III</a:t>
                              </a:r>
                              <a:endParaRPr lang="en-GB" sz="1000" dirty="0"/>
                            </a:p>
                          </a:txBody>
                          <a:useSpRect/>
                        </a:txSp>
                      </a:sp>
                      <a:sp>
                        <a:nvSpPr>
                          <a:cNvPr id="326" name="Arc 325"/>
                          <a:cNvSpPr/>
                        </a:nvSpPr>
                        <a:spPr>
                          <a:xfrm rot="3973181">
                            <a:off x="4760789" y="7172776"/>
                            <a:ext cx="256492" cy="310802"/>
                          </a:xfrm>
                          <a:prstGeom prst="arc">
                            <a:avLst>
                              <a:gd name="adj1" fmla="val 11118818"/>
                              <a:gd name="adj2" fmla="val 3621308"/>
                            </a:avLst>
                          </a:prstGeom>
                          <a:ln w="38100">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327" name="Oval 326"/>
                          <a:cNvSpPr/>
                        </a:nvSpPr>
                        <a:spPr>
                          <a:xfrm>
                            <a:off x="3108412" y="7085967"/>
                            <a:ext cx="1802382" cy="305488"/>
                          </a:xfrm>
                          <a:prstGeom prst="ellipse">
                            <a:avLst/>
                          </a:prstGeom>
                          <a:solidFill>
                            <a:srgbClr val="D70000"/>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39" name="Group 329"/>
                          <a:cNvGrpSpPr/>
                        </a:nvGrpSpPr>
                        <a:grpSpPr>
                          <a:xfrm>
                            <a:off x="1524236" y="7305264"/>
                            <a:ext cx="4788533" cy="324775"/>
                            <a:chOff x="1524236" y="7305264"/>
                            <a:chExt cx="4788533" cy="324775"/>
                          </a:xfrm>
                        </a:grpSpPr>
                        <a:cxnSp>
                          <a:nvCxnSpPr>
                            <a:cNvPr id="256" name="Straight Connector 255"/>
                            <a:cNvCxnSpPr/>
                          </a:nvCxnSpPr>
                          <a:spPr>
                            <a:xfrm>
                              <a:off x="1524236" y="7305264"/>
                              <a:ext cx="4735071" cy="0"/>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7" name="Straight Connector 256"/>
                            <a:cNvCxnSpPr/>
                          </a:nvCxnSpPr>
                          <a:spPr>
                            <a:xfrm>
                              <a:off x="1524236" y="7458008"/>
                              <a:ext cx="4521230" cy="0"/>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8" name="Straight Connector 257"/>
                            <a:cNvCxnSpPr/>
                          </a:nvCxnSpPr>
                          <a:spPr>
                            <a:xfrm>
                              <a:off x="6228759" y="7305264"/>
                              <a:ext cx="0" cy="91647"/>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9" name="Straight Connector 258"/>
                            <a:cNvCxnSpPr/>
                          </a:nvCxnSpPr>
                          <a:spPr>
                            <a:xfrm>
                              <a:off x="6137112" y="7305264"/>
                              <a:ext cx="0" cy="91647"/>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0" name="Straight Connector 259"/>
                            <a:cNvCxnSpPr/>
                          </a:nvCxnSpPr>
                          <a:spPr>
                            <a:xfrm>
                              <a:off x="6014917"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1" name="Straight Connector 260"/>
                            <a:cNvCxnSpPr/>
                          </a:nvCxnSpPr>
                          <a:spPr>
                            <a:xfrm>
                              <a:off x="5923270"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2" name="Straight Connector 261"/>
                            <a:cNvCxnSpPr/>
                          </a:nvCxnSpPr>
                          <a:spPr>
                            <a:xfrm>
                              <a:off x="5831624"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3" name="Straight Connector 262"/>
                            <a:cNvCxnSpPr/>
                          </a:nvCxnSpPr>
                          <a:spPr>
                            <a:xfrm>
                              <a:off x="5739977"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4" name="Straight Connector 263"/>
                            <a:cNvCxnSpPr/>
                          </a:nvCxnSpPr>
                          <a:spPr>
                            <a:xfrm>
                              <a:off x="5648331"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5" name="Straight Connector 264"/>
                            <a:cNvCxnSpPr/>
                          </a:nvCxnSpPr>
                          <a:spPr>
                            <a:xfrm>
                              <a:off x="5556684"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6" name="Straight Connector 265"/>
                            <a:cNvCxnSpPr/>
                          </a:nvCxnSpPr>
                          <a:spPr>
                            <a:xfrm>
                              <a:off x="5465037"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7" name="Straight Connector 266"/>
                            <a:cNvCxnSpPr/>
                          </a:nvCxnSpPr>
                          <a:spPr>
                            <a:xfrm>
                              <a:off x="5373391"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8" name="Straight Connector 267"/>
                            <a:cNvCxnSpPr/>
                          </a:nvCxnSpPr>
                          <a:spPr>
                            <a:xfrm>
                              <a:off x="5281744"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9" name="Straight Connector 268"/>
                            <a:cNvCxnSpPr/>
                          </a:nvCxnSpPr>
                          <a:spPr>
                            <a:xfrm>
                              <a:off x="5190098"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0" name="Straight Connector 269"/>
                            <a:cNvCxnSpPr/>
                          </a:nvCxnSpPr>
                          <a:spPr>
                            <a:xfrm>
                              <a:off x="5098451"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1" name="Straight Connector 270"/>
                            <a:cNvCxnSpPr/>
                          </a:nvCxnSpPr>
                          <a:spPr>
                            <a:xfrm>
                              <a:off x="5006805"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2" name="Straight Connector 271"/>
                            <a:cNvCxnSpPr/>
                          </a:nvCxnSpPr>
                          <a:spPr>
                            <a:xfrm>
                              <a:off x="4915158"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3" name="Straight Connector 272"/>
                            <a:cNvCxnSpPr/>
                          </a:nvCxnSpPr>
                          <a:spPr>
                            <a:xfrm>
                              <a:off x="4823512"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4" name="Straight Connector 273"/>
                            <a:cNvCxnSpPr/>
                          </a:nvCxnSpPr>
                          <a:spPr>
                            <a:xfrm>
                              <a:off x="4731865"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5" name="Straight Connector 274"/>
                            <a:cNvCxnSpPr/>
                          </a:nvCxnSpPr>
                          <a:spPr>
                            <a:xfrm>
                              <a:off x="4640219"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6" name="Straight Connector 275"/>
                            <a:cNvCxnSpPr/>
                          </a:nvCxnSpPr>
                          <a:spPr>
                            <a:xfrm>
                              <a:off x="4548572"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7" name="Straight Connector 276"/>
                            <a:cNvCxnSpPr/>
                          </a:nvCxnSpPr>
                          <a:spPr>
                            <a:xfrm>
                              <a:off x="4456925"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8" name="Straight Connector 277"/>
                            <a:cNvCxnSpPr/>
                          </a:nvCxnSpPr>
                          <a:spPr>
                            <a:xfrm>
                              <a:off x="4365279"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9" name="Straight Connector 278"/>
                            <a:cNvCxnSpPr/>
                          </a:nvCxnSpPr>
                          <a:spPr>
                            <a:xfrm>
                              <a:off x="4273632"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0" name="Straight Connector 279"/>
                            <a:cNvCxnSpPr/>
                          </a:nvCxnSpPr>
                          <a:spPr>
                            <a:xfrm>
                              <a:off x="4181986"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1" name="Straight Connector 280"/>
                            <a:cNvCxnSpPr/>
                          </a:nvCxnSpPr>
                          <a:spPr>
                            <a:xfrm>
                              <a:off x="4090339"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2" name="Straight Connector 281"/>
                            <a:cNvCxnSpPr/>
                          </a:nvCxnSpPr>
                          <a:spPr>
                            <a:xfrm>
                              <a:off x="3998693"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3" name="Straight Connector 282"/>
                            <a:cNvCxnSpPr/>
                          </a:nvCxnSpPr>
                          <a:spPr>
                            <a:xfrm>
                              <a:off x="3907046"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4" name="Straight Connector 283"/>
                            <a:cNvCxnSpPr/>
                          </a:nvCxnSpPr>
                          <a:spPr>
                            <a:xfrm>
                              <a:off x="3815400"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5" name="Straight Connector 284"/>
                            <a:cNvCxnSpPr/>
                          </a:nvCxnSpPr>
                          <a:spPr>
                            <a:xfrm>
                              <a:off x="3723753"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6" name="Straight Connector 285"/>
                            <a:cNvCxnSpPr/>
                          </a:nvCxnSpPr>
                          <a:spPr>
                            <a:xfrm>
                              <a:off x="3632107"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7" name="Straight Connector 286"/>
                            <a:cNvCxnSpPr/>
                          </a:nvCxnSpPr>
                          <a:spPr>
                            <a:xfrm>
                              <a:off x="3540460"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8" name="Straight Connector 287"/>
                            <a:cNvCxnSpPr/>
                          </a:nvCxnSpPr>
                          <a:spPr>
                            <a:xfrm>
                              <a:off x="3448813"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9" name="Straight Connector 288"/>
                            <a:cNvCxnSpPr/>
                          </a:nvCxnSpPr>
                          <a:spPr>
                            <a:xfrm>
                              <a:off x="3357167"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0" name="Straight Connector 289"/>
                            <a:cNvCxnSpPr/>
                          </a:nvCxnSpPr>
                          <a:spPr>
                            <a:xfrm>
                              <a:off x="3265520"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1" name="Straight Connector 290"/>
                            <a:cNvCxnSpPr/>
                          </a:nvCxnSpPr>
                          <a:spPr>
                            <a:xfrm>
                              <a:off x="3173874"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2" name="Straight Connector 291"/>
                            <a:cNvCxnSpPr/>
                          </a:nvCxnSpPr>
                          <a:spPr>
                            <a:xfrm>
                              <a:off x="3082227"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3" name="Straight Connector 292"/>
                            <a:cNvCxnSpPr/>
                          </a:nvCxnSpPr>
                          <a:spPr>
                            <a:xfrm>
                              <a:off x="2990581"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4" name="Straight Connector 293"/>
                            <a:cNvCxnSpPr/>
                          </a:nvCxnSpPr>
                          <a:spPr>
                            <a:xfrm>
                              <a:off x="2898934"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5" name="Straight Connector 294"/>
                            <a:cNvCxnSpPr/>
                          </a:nvCxnSpPr>
                          <a:spPr>
                            <a:xfrm>
                              <a:off x="2807288"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6" name="Straight Connector 295"/>
                            <a:cNvCxnSpPr/>
                          </a:nvCxnSpPr>
                          <a:spPr>
                            <a:xfrm>
                              <a:off x="2715641"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7" name="Straight Connector 296"/>
                            <a:cNvCxnSpPr/>
                          </a:nvCxnSpPr>
                          <a:spPr>
                            <a:xfrm>
                              <a:off x="2623995"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8" name="Straight Connector 297"/>
                            <a:cNvCxnSpPr/>
                          </a:nvCxnSpPr>
                          <a:spPr>
                            <a:xfrm>
                              <a:off x="2532348"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9" name="Straight Connector 298"/>
                            <a:cNvCxnSpPr/>
                          </a:nvCxnSpPr>
                          <a:spPr>
                            <a:xfrm>
                              <a:off x="2440701"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0" name="Straight Connector 299"/>
                            <a:cNvCxnSpPr/>
                          </a:nvCxnSpPr>
                          <a:spPr>
                            <a:xfrm>
                              <a:off x="2349055"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1" name="Straight Connector 300"/>
                            <a:cNvCxnSpPr/>
                          </a:nvCxnSpPr>
                          <a:spPr>
                            <a:xfrm>
                              <a:off x="2257408"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2" name="Straight Connector 301"/>
                            <a:cNvCxnSpPr/>
                          </a:nvCxnSpPr>
                          <a:spPr>
                            <a:xfrm>
                              <a:off x="2165762"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3" name="Straight Connector 302"/>
                            <a:cNvCxnSpPr/>
                          </a:nvCxnSpPr>
                          <a:spPr>
                            <a:xfrm>
                              <a:off x="2074115"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4" name="Straight Connector 303"/>
                            <a:cNvCxnSpPr/>
                          </a:nvCxnSpPr>
                          <a:spPr>
                            <a:xfrm>
                              <a:off x="1982469"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5" name="Straight Connector 304"/>
                            <a:cNvCxnSpPr/>
                          </a:nvCxnSpPr>
                          <a:spPr>
                            <a:xfrm>
                              <a:off x="1890822"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6" name="Straight Connector 305"/>
                            <a:cNvCxnSpPr/>
                          </a:nvCxnSpPr>
                          <a:spPr>
                            <a:xfrm>
                              <a:off x="1799176"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7" name="Straight Connector 306"/>
                            <a:cNvCxnSpPr/>
                          </a:nvCxnSpPr>
                          <a:spPr>
                            <a:xfrm>
                              <a:off x="1707529"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8" name="Straight Connector 307"/>
                            <a:cNvCxnSpPr/>
                          </a:nvCxnSpPr>
                          <a:spPr>
                            <a:xfrm>
                              <a:off x="1615883"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9" name="Straight Connector 308"/>
                            <a:cNvCxnSpPr/>
                          </a:nvCxnSpPr>
                          <a:spPr>
                            <a:xfrm>
                              <a:off x="1524236" y="7305264"/>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sp>
                          <a:nvSpPr>
                            <a:cNvPr id="319" name="TextBox 318"/>
                            <a:cNvSpPr txBox="1"/>
                          </a:nvSpPr>
                          <a:spPr>
                            <a:xfrm>
                              <a:off x="5988733" y="7383818"/>
                              <a:ext cx="32403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5’</a:t>
                                </a:r>
                                <a:endParaRPr lang="en-GB" sz="1000" dirty="0"/>
                              </a:p>
                            </a:txBody>
                            <a:useSpRect/>
                          </a:txSp>
                        </a:sp>
                      </a:grpSp>
                      <a:sp>
                        <a:nvSpPr>
                          <a:cNvPr id="328" name="Oval 327"/>
                          <a:cNvSpPr/>
                        </a:nvSpPr>
                        <a:spPr>
                          <a:xfrm>
                            <a:off x="4132889" y="7224528"/>
                            <a:ext cx="702624" cy="427684"/>
                          </a:xfrm>
                          <a:prstGeom prst="ellipse">
                            <a:avLst/>
                          </a:prstGeom>
                          <a:solidFill>
                            <a:schemeClr val="accent4"/>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22" name="Oval 321"/>
                          <a:cNvSpPr/>
                        </a:nvSpPr>
                        <a:spPr>
                          <a:xfrm rot="10800000">
                            <a:off x="3144416" y="7121971"/>
                            <a:ext cx="702624" cy="427684"/>
                          </a:xfrm>
                          <a:prstGeom prst="ellipse">
                            <a:avLst/>
                          </a:prstGeom>
                          <a:solidFill>
                            <a:schemeClr val="accent4"/>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11" name="Straight Arrow Connector 310"/>
                          <a:cNvCxnSpPr/>
                        </a:nvCxnSpPr>
                        <a:spPr>
                          <a:xfrm>
                            <a:off x="4044516" y="7120880"/>
                            <a:ext cx="0" cy="152744"/>
                          </a:xfrm>
                          <a:prstGeom prst="straightConnector1">
                            <a:avLst/>
                          </a:prstGeom>
                          <a:ln w="6350">
                            <a:solidFill>
                              <a:schemeClr val="bg1"/>
                            </a:solidFill>
                            <a:tailEnd type="arrow"/>
                          </a:ln>
                        </a:spPr>
                        <a:style>
                          <a:lnRef idx="1">
                            <a:schemeClr val="accent1"/>
                          </a:lnRef>
                          <a:fillRef idx="0">
                            <a:schemeClr val="accent1"/>
                          </a:fillRef>
                          <a:effectRef idx="0">
                            <a:schemeClr val="accent1"/>
                          </a:effectRef>
                          <a:fontRef idx="minor">
                            <a:schemeClr val="tx1"/>
                          </a:fontRef>
                        </a:style>
                      </a:cxnSp>
                      <a:cxnSp>
                        <a:nvCxnSpPr>
                          <a:cNvPr id="312" name="Straight Arrow Connector 311"/>
                          <a:cNvCxnSpPr/>
                        </a:nvCxnSpPr>
                        <a:spPr>
                          <a:xfrm flipV="1">
                            <a:off x="3864496" y="7480920"/>
                            <a:ext cx="0" cy="152744"/>
                          </a:xfrm>
                          <a:prstGeom prst="straightConnector1">
                            <a:avLst/>
                          </a:prstGeom>
                          <a:ln w="6350">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313" name="TextBox 312"/>
                          <a:cNvSpPr txBox="1"/>
                        </a:nvSpPr>
                        <a:spPr>
                          <a:xfrm>
                            <a:off x="4044516" y="7048872"/>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dirty="0" smtClean="0"/>
                                <a:t>RNase III</a:t>
                              </a:r>
                              <a:endParaRPr lang="en-GB" sz="1000" dirty="0"/>
                            </a:p>
                          </a:txBody>
                          <a:useSpRect/>
                        </a:txSp>
                      </a:sp>
                      <a:sp>
                        <a:nvSpPr>
                          <a:cNvPr id="324" name="TextBox 323"/>
                          <a:cNvSpPr txBox="1"/>
                        </a:nvSpPr>
                        <a:spPr>
                          <a:xfrm>
                            <a:off x="4152528" y="7300900"/>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dsRBD</a:t>
                              </a:r>
                              <a:endParaRPr lang="en-GB" sz="1000" dirty="0"/>
                            </a:p>
                          </a:txBody>
                          <a:useSpRect/>
                        </a:txSp>
                      </a:sp>
                      <a:sp>
                        <a:nvSpPr>
                          <a:cNvPr id="331" name="TextBox 330"/>
                          <a:cNvSpPr txBox="1"/>
                        </a:nvSpPr>
                        <a:spPr>
                          <a:xfrm>
                            <a:off x="3180420" y="7192888"/>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dsRBD</a:t>
                              </a:r>
                              <a:endParaRPr lang="en-GB" sz="1000" dirty="0"/>
                            </a:p>
                          </a:txBody>
                          <a:useSpRect/>
                        </a:txSp>
                      </a:sp>
                    </a:grpSp>
                    <a:sp>
                      <a:nvSpPr>
                        <a:cNvPr id="336" name="TextBox 335"/>
                        <a:cNvSpPr txBox="1"/>
                      </a:nvSpPr>
                      <a:spPr>
                        <a:xfrm>
                          <a:off x="7212868" y="7912968"/>
                          <a:ext cx="140415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RNase III (</a:t>
                            </a:r>
                            <a:r>
                              <a:rPr lang="en-GB" sz="1000" b="1" i="1" dirty="0" smtClean="0"/>
                              <a:t>E. coli</a:t>
                            </a:r>
                            <a:r>
                              <a:rPr lang="en-GB" sz="1000" b="1" dirty="0" smtClean="0"/>
                              <a:t>)</a:t>
                            </a:r>
                            <a:endParaRPr lang="en-GB" sz="1000" b="1" dirty="0"/>
                          </a:p>
                        </a:txBody>
                        <a:useSpRect/>
                      </a:txSp>
                    </a:sp>
                  </a:grpSp>
                  <a:grpSp>
                    <a:nvGrpSpPr>
                      <a:cNvPr id="342" name="Group 341"/>
                      <a:cNvGrpSpPr/>
                    </a:nvGrpSpPr>
                    <a:grpSpPr>
                      <a:xfrm>
                        <a:off x="1812267" y="3808512"/>
                        <a:ext cx="7308813" cy="1512168"/>
                        <a:chOff x="1524235" y="3808512"/>
                        <a:chExt cx="7308813" cy="1512168"/>
                      </a:xfrm>
                    </a:grpSpPr>
                    <a:grpSp>
                      <a:nvGrpSpPr>
                        <a:cNvPr id="103" name="Group 334"/>
                        <a:cNvGrpSpPr/>
                      </a:nvGrpSpPr>
                      <a:grpSpPr>
                        <a:xfrm>
                          <a:off x="1524235" y="3808512"/>
                          <a:ext cx="5437695" cy="1512168"/>
                          <a:chOff x="1524235" y="3808512"/>
                          <a:chExt cx="5437695" cy="1512168"/>
                        </a:xfrm>
                      </a:grpSpPr>
                      <a:grpSp>
                        <a:nvGrpSpPr>
                          <a:cNvPr id="106" name="Group 145"/>
                          <a:cNvGrpSpPr/>
                        </a:nvGrpSpPr>
                        <a:grpSpPr>
                          <a:xfrm>
                            <a:off x="3828492" y="3808512"/>
                            <a:ext cx="2736304" cy="436114"/>
                            <a:chOff x="3828492" y="3264386"/>
                            <a:chExt cx="2736304" cy="436114"/>
                          </a:xfrm>
                        </a:grpSpPr>
                        <a:cxnSp>
                          <a:nvCxnSpPr>
                            <a:cNvPr id="104" name="Straight Arrow Connector 103"/>
                            <a:cNvCxnSpPr/>
                          </a:nvCxnSpPr>
                          <a:spPr>
                            <a:xfrm>
                              <a:off x="4365278" y="3700500"/>
                              <a:ext cx="1649638" cy="0"/>
                            </a:xfrm>
                            <a:prstGeom prst="straightConnector1">
                              <a:avLst/>
                            </a:prstGeom>
                            <a:ln w="635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2" name="Straight Arrow Connector 105"/>
                            <a:cNvCxnSpPr/>
                          </a:nvCxnSpPr>
                          <a:spPr>
                            <a:xfrm flipH="1">
                              <a:off x="4090338" y="3700500"/>
                              <a:ext cx="274940" cy="0"/>
                            </a:xfrm>
                            <a:prstGeom prst="straightConnector1">
                              <a:avLst/>
                            </a:prstGeom>
                            <a:ln w="635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3" name="Straight Arrow Connector 106"/>
                            <a:cNvCxnSpPr/>
                          </a:nvCxnSpPr>
                          <a:spPr>
                            <a:xfrm flipH="1">
                              <a:off x="6014916" y="3700500"/>
                              <a:ext cx="244391" cy="0"/>
                            </a:xfrm>
                            <a:prstGeom prst="straightConnector1">
                              <a:avLst/>
                            </a:prstGeom>
                            <a:ln w="635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grpSp>
                          <a:nvGrpSpPr>
                            <a:cNvPr id="186" name="Group 144"/>
                            <a:cNvGrpSpPr/>
                          </a:nvGrpSpPr>
                          <a:grpSpPr>
                            <a:xfrm>
                              <a:off x="3828492" y="3264386"/>
                              <a:ext cx="2736304" cy="400110"/>
                              <a:chOff x="3828492" y="3268452"/>
                              <a:chExt cx="2736304" cy="400110"/>
                            </a:xfrm>
                          </a:grpSpPr>
                          <a:sp>
                            <a:nvSpPr>
                              <a:cNvPr id="142" name="TextBox 141"/>
                              <a:cNvSpPr txBox="1"/>
                            </a:nvSpPr>
                            <a:spPr>
                              <a:xfrm>
                                <a:off x="4728592" y="3340460"/>
                                <a:ext cx="972108"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19 bp</a:t>
                                  </a:r>
                                  <a:endParaRPr lang="en-GB" sz="1000" dirty="0"/>
                                </a:p>
                              </a:txBody>
                              <a:useSpRect/>
                            </a:txSp>
                          </a:sp>
                          <a:sp>
                            <a:nvSpPr>
                              <a:cNvPr id="143" name="TextBox 142"/>
                              <a:cNvSpPr txBox="1"/>
                            </a:nvSpPr>
                            <a:spPr>
                              <a:xfrm>
                                <a:off x="3828492" y="3268452"/>
                                <a:ext cx="828092"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2 </a:t>
                                  </a:r>
                                  <a:r>
                                    <a:rPr lang="en-GB" sz="1000" dirty="0" err="1" smtClean="0"/>
                                    <a:t>nt</a:t>
                                  </a:r>
                                  <a:r>
                                    <a:rPr lang="en-GB" sz="1000" dirty="0" smtClean="0"/>
                                    <a:t>  3’ overhang</a:t>
                                  </a:r>
                                  <a:endParaRPr lang="en-GB" sz="1000" dirty="0"/>
                                </a:p>
                              </a:txBody>
                              <a:useSpRect/>
                            </a:txSp>
                          </a:sp>
                          <a:sp>
                            <a:nvSpPr>
                              <a:cNvPr id="144" name="TextBox 143"/>
                              <a:cNvSpPr txBox="1"/>
                            </a:nvSpPr>
                            <a:spPr>
                              <a:xfrm>
                                <a:off x="5736704" y="3268452"/>
                                <a:ext cx="828092"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2 </a:t>
                                  </a:r>
                                  <a:r>
                                    <a:rPr lang="en-GB" sz="1000" dirty="0" err="1" smtClean="0"/>
                                    <a:t>nt</a:t>
                                  </a:r>
                                  <a:r>
                                    <a:rPr lang="en-GB" sz="1000" dirty="0" smtClean="0"/>
                                    <a:t>  3’ overhang</a:t>
                                  </a:r>
                                  <a:endParaRPr lang="en-GB" sz="1000" dirty="0"/>
                                </a:p>
                              </a:txBody>
                              <a:useSpRect/>
                            </a:txSp>
                          </a:sp>
                        </a:grpSp>
                      </a:grpSp>
                      <a:grpSp>
                        <a:nvGrpSpPr>
                          <a:cNvPr id="107" name="Group 148"/>
                          <a:cNvGrpSpPr/>
                        </a:nvGrpSpPr>
                        <a:grpSpPr>
                          <a:xfrm>
                            <a:off x="1524235" y="4373666"/>
                            <a:ext cx="5437695" cy="947014"/>
                            <a:chOff x="1524235" y="3761598"/>
                            <a:chExt cx="5437695" cy="947014"/>
                          </a:xfrm>
                        </a:grpSpPr>
                        <a:grpSp>
                          <a:nvGrpSpPr>
                            <a:cNvPr id="108" name="Group 146"/>
                            <a:cNvGrpSpPr/>
                          </a:nvGrpSpPr>
                          <a:grpSpPr>
                            <a:xfrm>
                              <a:off x="1524235" y="3761598"/>
                              <a:ext cx="5437695" cy="947014"/>
                              <a:chOff x="1524235" y="3761598"/>
                              <a:chExt cx="5437695" cy="947014"/>
                            </a:xfrm>
                          </a:grpSpPr>
                          <a:sp>
                            <a:nvSpPr>
                              <a:cNvPr id="126" name="Arc 125"/>
                              <a:cNvSpPr/>
                            </a:nvSpPr>
                            <a:spPr>
                              <a:xfrm rot="784260">
                                <a:off x="4660468" y="4156483"/>
                                <a:ext cx="548127" cy="241886"/>
                              </a:xfrm>
                              <a:prstGeom prst="arc">
                                <a:avLst>
                                  <a:gd name="adj1" fmla="val 11118818"/>
                                  <a:gd name="adj2" fmla="val 18944712"/>
                                </a:avLst>
                              </a:prstGeom>
                              <a:ln w="38100">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125" name="Arc 124"/>
                              <a:cNvSpPr/>
                            </a:nvSpPr>
                            <a:spPr>
                              <a:xfrm rot="16807140">
                                <a:off x="2871648" y="4288466"/>
                                <a:ext cx="310261" cy="243465"/>
                              </a:xfrm>
                              <a:prstGeom prst="arc">
                                <a:avLst>
                                  <a:gd name="adj1" fmla="val 9841327"/>
                                  <a:gd name="adj2" fmla="val 0"/>
                                </a:avLst>
                              </a:prstGeom>
                              <a:ln w="38100">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124" name="Oval 123"/>
                              <a:cNvSpPr/>
                            </a:nvSpPr>
                            <a:spPr>
                              <a:xfrm>
                                <a:off x="2960031" y="4403124"/>
                                <a:ext cx="2016224" cy="305488"/>
                              </a:xfrm>
                              <a:prstGeom prst="ellipse">
                                <a:avLst/>
                              </a:prstGeom>
                              <a:solidFill>
                                <a:srgbClr val="D70000"/>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1" name="Oval 120"/>
                              <a:cNvSpPr/>
                            </a:nvSpPr>
                            <a:spPr>
                              <a:xfrm>
                                <a:off x="2990580" y="4097635"/>
                                <a:ext cx="1802382" cy="305488"/>
                              </a:xfrm>
                              <a:prstGeom prst="ellipse">
                                <a:avLst/>
                              </a:prstGeom>
                              <a:solidFill>
                                <a:srgbClr val="D70000"/>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9" name="Oval 118"/>
                              <a:cNvSpPr/>
                            </a:nvSpPr>
                            <a:spPr>
                              <a:xfrm>
                                <a:off x="4915157" y="4128184"/>
                                <a:ext cx="702624" cy="427684"/>
                              </a:xfrm>
                              <a:prstGeom prst="ellipse">
                                <a:avLst/>
                              </a:prstGeom>
                              <a:solidFill>
                                <a:schemeClr val="accent4"/>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7" name="Rounded Rectangle 116"/>
                              <a:cNvSpPr/>
                            </a:nvSpPr>
                            <a:spPr>
                              <a:xfrm>
                                <a:off x="5648330" y="4158733"/>
                                <a:ext cx="1313600" cy="549879"/>
                              </a:xfrm>
                              <a:prstGeom prst="roundRect">
                                <a:avLst/>
                              </a:prstGeom>
                              <a:solidFill>
                                <a:schemeClr val="accent6"/>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6" name="Straight Connector 35"/>
                              <a:cNvCxnSpPr/>
                            </a:nvCxnSpPr>
                            <a:spPr>
                              <a:xfrm>
                                <a:off x="1524235" y="4342026"/>
                                <a:ext cx="4735071" cy="0"/>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 name="Straight Connector 36"/>
                              <a:cNvCxnSpPr/>
                            </a:nvCxnSpPr>
                            <a:spPr>
                              <a:xfrm>
                                <a:off x="1524235" y="4494770"/>
                                <a:ext cx="4521230" cy="0"/>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 name="Straight Connector 46"/>
                              <a:cNvCxnSpPr/>
                            </a:nvCxnSpPr>
                            <a:spPr>
                              <a:xfrm>
                                <a:off x="6228758" y="4342026"/>
                                <a:ext cx="0" cy="91647"/>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 name="Straight Connector 47"/>
                              <a:cNvCxnSpPr/>
                            </a:nvCxnSpPr>
                            <a:spPr>
                              <a:xfrm>
                                <a:off x="6137111" y="4342026"/>
                                <a:ext cx="0" cy="91647"/>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 name="Straight Connector 48"/>
                              <a:cNvCxnSpPr/>
                            </a:nvCxnSpPr>
                            <a:spPr>
                              <a:xfrm>
                                <a:off x="601491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0" name="Straight Connector 49"/>
                              <a:cNvCxnSpPr/>
                            </a:nvCxnSpPr>
                            <a:spPr>
                              <a:xfrm>
                                <a:off x="592326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4" name="Straight Connector 53"/>
                              <a:cNvCxnSpPr/>
                            </a:nvCxnSpPr>
                            <a:spPr>
                              <a:xfrm>
                                <a:off x="583162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5" name="Straight Connector 54"/>
                              <a:cNvCxnSpPr/>
                            </a:nvCxnSpPr>
                            <a:spPr>
                              <a:xfrm>
                                <a:off x="573997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6" name="Straight Connector 55"/>
                              <a:cNvCxnSpPr/>
                            </a:nvCxnSpPr>
                            <a:spPr>
                              <a:xfrm>
                                <a:off x="564833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7" name="Straight Connector 56"/>
                              <a:cNvCxnSpPr/>
                            </a:nvCxnSpPr>
                            <a:spPr>
                              <a:xfrm>
                                <a:off x="555668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8" name="Straight Connector 57"/>
                              <a:cNvCxnSpPr/>
                            </a:nvCxnSpPr>
                            <a:spPr>
                              <a:xfrm>
                                <a:off x="546503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9" name="Straight Connector 58"/>
                              <a:cNvCxnSpPr/>
                            </a:nvCxnSpPr>
                            <a:spPr>
                              <a:xfrm>
                                <a:off x="537339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0" name="Straight Connector 59"/>
                              <a:cNvCxnSpPr/>
                            </a:nvCxnSpPr>
                            <a:spPr>
                              <a:xfrm>
                                <a:off x="528174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1" name="Straight Connector 60"/>
                              <a:cNvCxnSpPr/>
                            </a:nvCxnSpPr>
                            <a:spPr>
                              <a:xfrm>
                                <a:off x="519009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 name="Straight Connector 61"/>
                              <a:cNvCxnSpPr/>
                            </a:nvCxnSpPr>
                            <a:spPr>
                              <a:xfrm>
                                <a:off x="509845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3" name="Straight Connector 62"/>
                              <a:cNvCxnSpPr/>
                            </a:nvCxnSpPr>
                            <a:spPr>
                              <a:xfrm>
                                <a:off x="500680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4" name="Straight Connector 63"/>
                              <a:cNvCxnSpPr/>
                            </a:nvCxnSpPr>
                            <a:spPr>
                              <a:xfrm>
                                <a:off x="491515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 name="Straight Connector 64"/>
                              <a:cNvCxnSpPr/>
                            </a:nvCxnSpPr>
                            <a:spPr>
                              <a:xfrm>
                                <a:off x="482351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 name="Straight Connector 65"/>
                              <a:cNvCxnSpPr/>
                            </a:nvCxnSpPr>
                            <a:spPr>
                              <a:xfrm>
                                <a:off x="473186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 name="Straight Connector 66"/>
                              <a:cNvCxnSpPr/>
                            </a:nvCxnSpPr>
                            <a:spPr>
                              <a:xfrm>
                                <a:off x="464021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 name="Straight Connector 67"/>
                              <a:cNvCxnSpPr/>
                            </a:nvCxnSpPr>
                            <a:spPr>
                              <a:xfrm>
                                <a:off x="454857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 name="Straight Connector 68"/>
                              <a:cNvCxnSpPr/>
                            </a:nvCxnSpPr>
                            <a:spPr>
                              <a:xfrm>
                                <a:off x="445692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 name="Straight Connector 69"/>
                              <a:cNvCxnSpPr/>
                            </a:nvCxnSpPr>
                            <a:spPr>
                              <a:xfrm>
                                <a:off x="436527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 name="Straight Connector 70"/>
                              <a:cNvCxnSpPr/>
                            </a:nvCxnSpPr>
                            <a:spPr>
                              <a:xfrm>
                                <a:off x="427363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 name="Straight Connector 71"/>
                              <a:cNvCxnSpPr/>
                            </a:nvCxnSpPr>
                            <a:spPr>
                              <a:xfrm>
                                <a:off x="418198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 name="Straight Connector 72"/>
                              <a:cNvCxnSpPr/>
                            </a:nvCxnSpPr>
                            <a:spPr>
                              <a:xfrm>
                                <a:off x="409033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4" name="Straight Connector 73"/>
                              <a:cNvCxnSpPr/>
                            </a:nvCxnSpPr>
                            <a:spPr>
                              <a:xfrm>
                                <a:off x="399869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5" name="Straight Connector 74"/>
                              <a:cNvCxnSpPr/>
                            </a:nvCxnSpPr>
                            <a:spPr>
                              <a:xfrm>
                                <a:off x="390704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6" name="Straight Connector 75"/>
                              <a:cNvCxnSpPr/>
                            </a:nvCxnSpPr>
                            <a:spPr>
                              <a:xfrm>
                                <a:off x="381539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7" name="Straight Connector 76"/>
                              <a:cNvCxnSpPr/>
                            </a:nvCxnSpPr>
                            <a:spPr>
                              <a:xfrm>
                                <a:off x="372375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8" name="Straight Connector 77"/>
                              <a:cNvCxnSpPr/>
                            </a:nvCxnSpPr>
                            <a:spPr>
                              <a:xfrm>
                                <a:off x="363210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9" name="Straight Connector 78"/>
                              <a:cNvCxnSpPr/>
                            </a:nvCxnSpPr>
                            <a:spPr>
                              <a:xfrm>
                                <a:off x="354045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0" name="Straight Connector 79"/>
                              <a:cNvCxnSpPr/>
                            </a:nvCxnSpPr>
                            <a:spPr>
                              <a:xfrm>
                                <a:off x="344881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1" name="Straight Connector 80"/>
                              <a:cNvCxnSpPr/>
                            </a:nvCxnSpPr>
                            <a:spPr>
                              <a:xfrm>
                                <a:off x="335716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 name="Straight Connector 81"/>
                              <a:cNvCxnSpPr/>
                            </a:nvCxnSpPr>
                            <a:spPr>
                              <a:xfrm>
                                <a:off x="326551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3" name="Straight Connector 82"/>
                              <a:cNvCxnSpPr/>
                            </a:nvCxnSpPr>
                            <a:spPr>
                              <a:xfrm>
                                <a:off x="317387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4" name="Straight Connector 83"/>
                              <a:cNvCxnSpPr/>
                            </a:nvCxnSpPr>
                            <a:spPr>
                              <a:xfrm>
                                <a:off x="308222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 name="Straight Connector 84"/>
                              <a:cNvCxnSpPr/>
                            </a:nvCxnSpPr>
                            <a:spPr>
                              <a:xfrm>
                                <a:off x="299058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 name="Straight Connector 85"/>
                              <a:cNvCxnSpPr/>
                            </a:nvCxnSpPr>
                            <a:spPr>
                              <a:xfrm>
                                <a:off x="289893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 name="Straight Connector 86"/>
                              <a:cNvCxnSpPr/>
                            </a:nvCxnSpPr>
                            <a:spPr>
                              <a:xfrm>
                                <a:off x="280728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 name="Straight Connector 87"/>
                              <a:cNvCxnSpPr/>
                            </a:nvCxnSpPr>
                            <a:spPr>
                              <a:xfrm>
                                <a:off x="271564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 name="Straight Connector 88"/>
                              <a:cNvCxnSpPr/>
                            </a:nvCxnSpPr>
                            <a:spPr>
                              <a:xfrm>
                                <a:off x="262399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 name="Straight Connector 89"/>
                              <a:cNvCxnSpPr/>
                            </a:nvCxnSpPr>
                            <a:spPr>
                              <a:xfrm>
                                <a:off x="253234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 name="Straight Connector 90"/>
                              <a:cNvCxnSpPr/>
                            </a:nvCxnSpPr>
                            <a:spPr>
                              <a:xfrm>
                                <a:off x="244070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 name="Straight Connector 91"/>
                              <a:cNvCxnSpPr/>
                            </a:nvCxnSpPr>
                            <a:spPr>
                              <a:xfrm>
                                <a:off x="234905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 name="Straight Connector 92"/>
                              <a:cNvCxnSpPr/>
                            </a:nvCxnSpPr>
                            <a:spPr>
                              <a:xfrm>
                                <a:off x="225740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4" name="Straight Connector 93"/>
                              <a:cNvCxnSpPr/>
                            </a:nvCxnSpPr>
                            <a:spPr>
                              <a:xfrm>
                                <a:off x="216576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5" name="Straight Connector 94"/>
                              <a:cNvCxnSpPr/>
                            </a:nvCxnSpPr>
                            <a:spPr>
                              <a:xfrm>
                                <a:off x="207411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6" name="Straight Connector 95"/>
                              <a:cNvCxnSpPr/>
                            </a:nvCxnSpPr>
                            <a:spPr>
                              <a:xfrm>
                                <a:off x="198246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7" name="Straight Connector 96"/>
                              <a:cNvCxnSpPr/>
                            </a:nvCxnSpPr>
                            <a:spPr>
                              <a:xfrm>
                                <a:off x="189082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8" name="Straight Connector 97"/>
                              <a:cNvCxnSpPr/>
                            </a:nvCxnSpPr>
                            <a:spPr>
                              <a:xfrm>
                                <a:off x="179917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9" name="Straight Connector 98"/>
                              <a:cNvCxnSpPr/>
                            </a:nvCxnSpPr>
                            <a:spPr>
                              <a:xfrm>
                                <a:off x="170752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0" name="Straight Connector 99"/>
                              <a:cNvCxnSpPr/>
                            </a:nvCxnSpPr>
                            <a:spPr>
                              <a:xfrm>
                                <a:off x="161588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1" name="Straight Connector 100"/>
                              <a:cNvCxnSpPr/>
                            </a:nvCxnSpPr>
                            <a:spPr>
                              <a:xfrm>
                                <a:off x="152423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sp>
                            <a:nvSpPr>
                              <a:cNvPr id="120" name="Oval 119"/>
                              <a:cNvSpPr/>
                            </a:nvSpPr>
                            <a:spPr>
                              <a:xfrm>
                                <a:off x="5251194" y="3761598"/>
                                <a:ext cx="702624" cy="427684"/>
                              </a:xfrm>
                              <a:prstGeom prst="ellipse">
                                <a:avLst/>
                              </a:prstGeom>
                              <a:solidFill>
                                <a:schemeClr val="accent5"/>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29" name="Straight Arrow Connector 128"/>
                              <a:cNvCxnSpPr/>
                            </a:nvCxnSpPr>
                            <a:spPr>
                              <a:xfrm>
                                <a:off x="4304180" y="4158733"/>
                                <a:ext cx="0" cy="152744"/>
                              </a:xfrm>
                              <a:prstGeom prst="straightConnector1">
                                <a:avLst/>
                              </a:prstGeom>
                              <a:ln w="6350">
                                <a:solidFill>
                                  <a:schemeClr val="bg1"/>
                                </a:solidFill>
                                <a:tailEnd type="arrow"/>
                              </a:ln>
                            </a:spPr>
                            <a:style>
                              <a:lnRef idx="1">
                                <a:schemeClr val="accent1"/>
                              </a:lnRef>
                              <a:fillRef idx="0">
                                <a:schemeClr val="accent1"/>
                              </a:fillRef>
                              <a:effectRef idx="0">
                                <a:schemeClr val="accent1"/>
                              </a:effectRef>
                              <a:fontRef idx="minor">
                                <a:schemeClr val="tx1"/>
                              </a:fontRef>
                            </a:style>
                          </a:cxnSp>
                          <a:cxnSp>
                            <a:nvCxnSpPr>
                              <a:cNvPr id="133" name="Straight Arrow Connector 132"/>
                              <a:cNvCxnSpPr/>
                            </a:nvCxnSpPr>
                            <a:spPr>
                              <a:xfrm flipV="1">
                                <a:off x="4151436" y="4494770"/>
                                <a:ext cx="0" cy="152744"/>
                              </a:xfrm>
                              <a:prstGeom prst="straightConnector1">
                                <a:avLst/>
                              </a:prstGeom>
                              <a:ln w="6350">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135" name="TextBox 134"/>
                              <a:cNvSpPr txBox="1"/>
                            </a:nvSpPr>
                            <a:spPr>
                              <a:xfrm>
                                <a:off x="3540460" y="4102351"/>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dirty="0" smtClean="0"/>
                                    <a:t>RNase III</a:t>
                                  </a:r>
                                  <a:endParaRPr lang="en-GB" sz="1000" dirty="0"/>
                                </a:p>
                              </a:txBody>
                              <a:useSpRect/>
                            </a:txSp>
                          </a:sp>
                          <a:sp>
                            <a:nvSpPr>
                              <a:cNvPr id="136" name="TextBox 135"/>
                              <a:cNvSpPr txBox="1"/>
                            </a:nvSpPr>
                            <a:spPr>
                              <a:xfrm>
                                <a:off x="3540460" y="4456584"/>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dirty="0" smtClean="0"/>
                                    <a:t>RNase III</a:t>
                                  </a:r>
                                  <a:endParaRPr lang="en-GB" sz="1000" dirty="0"/>
                                </a:p>
                              </a:txBody>
                              <a:useSpRect/>
                            </a:txSp>
                          </a:sp>
                          <a:sp>
                            <a:nvSpPr>
                              <a:cNvPr id="137" name="TextBox 136"/>
                              <a:cNvSpPr txBox="1"/>
                            </a:nvSpPr>
                            <a:spPr>
                              <a:xfrm>
                                <a:off x="4944616" y="4138355"/>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dsRBD</a:t>
                                  </a:r>
                                  <a:endParaRPr lang="en-GB" sz="1000" dirty="0"/>
                                </a:p>
                              </a:txBody>
                              <a:useSpRect/>
                            </a:txSp>
                          </a:sp>
                          <a:sp>
                            <a:nvSpPr>
                              <a:cNvPr id="138" name="TextBox 137"/>
                              <a:cNvSpPr txBox="1"/>
                            </a:nvSpPr>
                            <a:spPr>
                              <a:xfrm>
                                <a:off x="5268652" y="3772508"/>
                                <a:ext cx="684076"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Helicase domain</a:t>
                                  </a:r>
                                  <a:endParaRPr lang="en-GB" sz="1000" dirty="0"/>
                                </a:p>
                              </a:txBody>
                              <a:useSpRect/>
                            </a:txSp>
                          </a:sp>
                          <a:sp>
                            <a:nvSpPr>
                              <a:cNvPr id="139" name="TextBox 138"/>
                              <a:cNvSpPr txBox="1"/>
                            </a:nvSpPr>
                            <a:spPr>
                              <a:xfrm>
                                <a:off x="6384776" y="4240560"/>
                                <a:ext cx="576064"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PAZ domain</a:t>
                                  </a:r>
                                  <a:endParaRPr lang="en-GB" sz="1000" dirty="0"/>
                                </a:p>
                              </a:txBody>
                              <a:useSpRect/>
                            </a:txSp>
                          </a:sp>
                          <a:sp>
                            <a:nvSpPr>
                              <a:cNvPr id="140" name="TextBox 139"/>
                              <a:cNvSpPr txBox="1"/>
                            </a:nvSpPr>
                            <a:spPr>
                              <a:xfrm>
                                <a:off x="6204756" y="4168552"/>
                                <a:ext cx="32403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3’</a:t>
                                  </a:r>
                                  <a:endParaRPr lang="en-GB" sz="1000" dirty="0"/>
                                </a:p>
                              </a:txBody>
                              <a:useSpRect/>
                            </a:txSp>
                          </a:sp>
                          <a:sp>
                            <a:nvSpPr>
                              <a:cNvPr id="141" name="TextBox 140"/>
                              <a:cNvSpPr txBox="1"/>
                            </a:nvSpPr>
                            <a:spPr>
                              <a:xfrm>
                                <a:off x="5988732" y="4420580"/>
                                <a:ext cx="32403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5’</a:t>
                                  </a:r>
                                  <a:endParaRPr lang="en-GB" sz="1000" dirty="0"/>
                                </a:p>
                              </a:txBody>
                              <a:useSpRect/>
                            </a:txSp>
                          </a:sp>
                        </a:grpSp>
                        <a:sp>
                          <a:nvSpPr>
                            <a:cNvPr id="148" name="TextBox 147"/>
                            <a:cNvSpPr txBox="1"/>
                          </a:nvSpPr>
                          <a:spPr>
                            <a:xfrm>
                              <a:off x="1596244" y="4066347"/>
                              <a:ext cx="936104"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Long dsRNA</a:t>
                                </a:r>
                                <a:endParaRPr lang="en-GB" sz="1000" dirty="0"/>
                              </a:p>
                            </a:txBody>
                            <a:useSpRect/>
                          </a:txSp>
                        </a:sp>
                      </a:grpSp>
                    </a:grpSp>
                    <a:sp>
                      <a:nvSpPr>
                        <a:cNvPr id="338" name="TextBox 337"/>
                        <a:cNvSpPr txBox="1"/>
                      </a:nvSpPr>
                      <a:spPr>
                        <a:xfrm>
                          <a:off x="7212868" y="4744616"/>
                          <a:ext cx="162018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Dicer (</a:t>
                            </a:r>
                            <a:r>
                              <a:rPr lang="en-GB" sz="1000" b="1" i="1" dirty="0" smtClean="0"/>
                              <a:t>H. sapiens</a:t>
                            </a:r>
                            <a:r>
                              <a:rPr lang="en-GB" sz="1000" b="1" dirty="0" smtClean="0"/>
                              <a:t>)</a:t>
                            </a:r>
                            <a:endParaRPr lang="en-GB" sz="1000" b="1" dirty="0"/>
                          </a:p>
                        </a:txBody>
                        <a:useSpRect/>
                      </a:txSp>
                    </a:sp>
                    <a:sp>
                      <a:nvSpPr>
                        <a:cNvPr id="339" name="TextBox 338"/>
                        <a:cNvSpPr txBox="1"/>
                      </a:nvSpPr>
                      <a:spPr>
                        <a:xfrm>
                          <a:off x="7212868" y="4918829"/>
                          <a:ext cx="1620180"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Dicer -2 (</a:t>
                            </a:r>
                            <a:r>
                              <a:rPr lang="en-GB" sz="1000" b="1" i="1" dirty="0" smtClean="0"/>
                              <a:t>Drosophila melanogaster</a:t>
                            </a:r>
                            <a:r>
                              <a:rPr lang="en-GB" sz="1000" b="1" dirty="0" smtClean="0"/>
                              <a:t>/insects)</a:t>
                            </a:r>
                            <a:endParaRPr lang="en-GB" sz="1000" b="1" dirty="0"/>
                          </a:p>
                        </a:txBody>
                        <a:useSpRect/>
                      </a:txSp>
                    </a:sp>
                  </a:grpSp>
                  <a:sp>
                    <a:nvSpPr>
                      <a:cNvPr id="310" name="TextBox 309"/>
                      <a:cNvSpPr txBox="1"/>
                    </a:nvSpPr>
                    <a:spPr>
                      <a:xfrm>
                        <a:off x="804156" y="1252228"/>
                        <a:ext cx="349776" cy="492443"/>
                      </a:xfrm>
                      <a:prstGeom prst="rect">
                        <a:avLst/>
                      </a:prstGeom>
                      <a:noFill/>
                    </a:spPr>
                    <a:txSp>
                      <a:txBody>
                        <a:bodyPr wrap="non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314" name="TextBox 313"/>
                      <a:cNvSpPr txBox="1"/>
                    </a:nvSpPr>
                    <a:spPr>
                      <a:xfrm>
                        <a:off x="804156" y="3556484"/>
                        <a:ext cx="364202" cy="492443"/>
                      </a:xfrm>
                      <a:prstGeom prst="rect">
                        <a:avLst/>
                      </a:prstGeom>
                      <a:noFill/>
                    </a:spPr>
                    <a:txSp>
                      <a:txBody>
                        <a:bodyPr wrap="non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grpSp>
                    <a:nvGrpSpPr>
                      <a:cNvPr id="341" name="Group 340"/>
                      <a:cNvGrpSpPr/>
                    </a:nvGrpSpPr>
                    <a:grpSpPr>
                      <a:xfrm>
                        <a:off x="1812268" y="5500700"/>
                        <a:ext cx="7308812" cy="1440160"/>
                        <a:chOff x="1524236" y="5500700"/>
                        <a:chExt cx="7308812" cy="1440160"/>
                      </a:xfrm>
                    </a:grpSpPr>
                    <a:grpSp>
                      <a:nvGrpSpPr>
                        <a:cNvPr id="190" name="Group 146"/>
                        <a:cNvGrpSpPr/>
                      </a:nvGrpSpPr>
                      <a:grpSpPr>
                        <a:xfrm>
                          <a:off x="1524236" y="6329883"/>
                          <a:ext cx="5437695" cy="610977"/>
                          <a:chOff x="1524235" y="4097635"/>
                          <a:chExt cx="5437695" cy="610977"/>
                        </a:xfrm>
                      </a:grpSpPr>
                      <a:sp>
                        <a:nvSpPr>
                          <a:cNvPr id="134" name="Arc 133"/>
                          <a:cNvSpPr/>
                        </a:nvSpPr>
                        <a:spPr>
                          <a:xfrm rot="784260">
                            <a:off x="4664223" y="4123705"/>
                            <a:ext cx="1624537" cy="398411"/>
                          </a:xfrm>
                          <a:prstGeom prst="arc">
                            <a:avLst>
                              <a:gd name="adj1" fmla="val 10555140"/>
                              <a:gd name="adj2" fmla="val 18944712"/>
                            </a:avLst>
                          </a:prstGeom>
                          <a:ln w="38100">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153" name="Arc 152"/>
                          <a:cNvSpPr/>
                        </a:nvSpPr>
                        <a:spPr>
                          <a:xfrm rot="16807140">
                            <a:off x="2871648" y="4288466"/>
                            <a:ext cx="310261" cy="243465"/>
                          </a:xfrm>
                          <a:prstGeom prst="arc">
                            <a:avLst>
                              <a:gd name="adj1" fmla="val 9841327"/>
                              <a:gd name="adj2" fmla="val 0"/>
                            </a:avLst>
                          </a:prstGeom>
                          <a:ln w="38100">
                            <a:solidFill>
                              <a:schemeClr val="tx1"/>
                            </a:solidFill>
                          </a:ln>
                        </a:spPr>
                        <a:txSp>
                          <a:txBody>
                            <a:bodyPr rtlCol="0" anchor="ct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159" name="Oval 158"/>
                          <a:cNvSpPr/>
                        </a:nvSpPr>
                        <a:spPr>
                          <a:xfrm>
                            <a:off x="2960031" y="4403124"/>
                            <a:ext cx="2016224" cy="305488"/>
                          </a:xfrm>
                          <a:prstGeom prst="ellipse">
                            <a:avLst/>
                          </a:prstGeom>
                          <a:solidFill>
                            <a:srgbClr val="D70000"/>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61" name="Oval 160"/>
                          <a:cNvSpPr/>
                        </a:nvSpPr>
                        <a:spPr>
                          <a:xfrm>
                            <a:off x="2990580" y="4097635"/>
                            <a:ext cx="1802382" cy="305488"/>
                          </a:xfrm>
                          <a:prstGeom prst="ellipse">
                            <a:avLst/>
                          </a:prstGeom>
                          <a:solidFill>
                            <a:srgbClr val="D70000"/>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4" name="Rounded Rectangle 173"/>
                          <a:cNvSpPr/>
                        </a:nvSpPr>
                        <a:spPr>
                          <a:xfrm>
                            <a:off x="5648330" y="4158733"/>
                            <a:ext cx="1313600" cy="549879"/>
                          </a:xfrm>
                          <a:prstGeom prst="roundRect">
                            <a:avLst/>
                          </a:prstGeom>
                          <a:solidFill>
                            <a:schemeClr val="accent6"/>
                          </a:solidFill>
                          <a:ln w="6350">
                            <a:solidFill>
                              <a:schemeClr val="tx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8" name="Straight Connector 177"/>
                          <a:cNvCxnSpPr/>
                        </a:nvCxnSpPr>
                        <a:spPr>
                          <a:xfrm>
                            <a:off x="1524235" y="4342026"/>
                            <a:ext cx="4735071" cy="0"/>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9" name="Straight Connector 178"/>
                          <a:cNvCxnSpPr/>
                        </a:nvCxnSpPr>
                        <a:spPr>
                          <a:xfrm>
                            <a:off x="1524235" y="4494770"/>
                            <a:ext cx="4521230" cy="0"/>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0" name="Straight Connector 179"/>
                          <a:cNvCxnSpPr/>
                        </a:nvCxnSpPr>
                        <a:spPr>
                          <a:xfrm>
                            <a:off x="6228758" y="4342026"/>
                            <a:ext cx="0" cy="91647"/>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1" name="Straight Connector 180"/>
                          <a:cNvCxnSpPr/>
                        </a:nvCxnSpPr>
                        <a:spPr>
                          <a:xfrm>
                            <a:off x="6137111" y="4342026"/>
                            <a:ext cx="0" cy="91647"/>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2" name="Straight Connector 181"/>
                          <a:cNvCxnSpPr/>
                        </a:nvCxnSpPr>
                        <a:spPr>
                          <a:xfrm>
                            <a:off x="601491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 name="Straight Connector 185"/>
                          <a:cNvCxnSpPr/>
                        </a:nvCxnSpPr>
                        <a:spPr>
                          <a:xfrm>
                            <a:off x="592326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7" name="Straight Connector 186"/>
                          <a:cNvCxnSpPr/>
                        </a:nvCxnSpPr>
                        <a:spPr>
                          <a:xfrm>
                            <a:off x="583162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8" name="Straight Connector 187"/>
                          <a:cNvCxnSpPr/>
                        </a:nvCxnSpPr>
                        <a:spPr>
                          <a:xfrm>
                            <a:off x="573997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9" name="Straight Connector 188"/>
                          <a:cNvCxnSpPr/>
                        </a:nvCxnSpPr>
                        <a:spPr>
                          <a:xfrm>
                            <a:off x="564833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 name="Straight Connector 189"/>
                          <a:cNvCxnSpPr/>
                        </a:nvCxnSpPr>
                        <a:spPr>
                          <a:xfrm>
                            <a:off x="555668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1" name="Straight Connector 190"/>
                          <a:cNvCxnSpPr/>
                        </a:nvCxnSpPr>
                        <a:spPr>
                          <a:xfrm>
                            <a:off x="546503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2" name="Straight Connector 191"/>
                          <a:cNvCxnSpPr/>
                        </a:nvCxnSpPr>
                        <a:spPr>
                          <a:xfrm>
                            <a:off x="537339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3" name="Straight Connector 192"/>
                          <a:cNvCxnSpPr/>
                        </a:nvCxnSpPr>
                        <a:spPr>
                          <a:xfrm>
                            <a:off x="528174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4" name="Straight Connector 193"/>
                          <a:cNvCxnSpPr/>
                        </a:nvCxnSpPr>
                        <a:spPr>
                          <a:xfrm>
                            <a:off x="519009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5" name="Straight Connector 194"/>
                          <a:cNvCxnSpPr/>
                        </a:nvCxnSpPr>
                        <a:spPr>
                          <a:xfrm>
                            <a:off x="509845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6" name="Straight Connector 195"/>
                          <a:cNvCxnSpPr/>
                        </a:nvCxnSpPr>
                        <a:spPr>
                          <a:xfrm>
                            <a:off x="500680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7" name="Straight Connector 196"/>
                          <a:cNvCxnSpPr/>
                        </a:nvCxnSpPr>
                        <a:spPr>
                          <a:xfrm>
                            <a:off x="491515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8" name="Straight Connector 197"/>
                          <a:cNvCxnSpPr/>
                        </a:nvCxnSpPr>
                        <a:spPr>
                          <a:xfrm>
                            <a:off x="482351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9" name="Straight Connector 198"/>
                          <a:cNvCxnSpPr/>
                        </a:nvCxnSpPr>
                        <a:spPr>
                          <a:xfrm>
                            <a:off x="473186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0" name="Straight Connector 199"/>
                          <a:cNvCxnSpPr/>
                        </a:nvCxnSpPr>
                        <a:spPr>
                          <a:xfrm>
                            <a:off x="464021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1" name="Straight Connector 200"/>
                          <a:cNvCxnSpPr/>
                        </a:nvCxnSpPr>
                        <a:spPr>
                          <a:xfrm>
                            <a:off x="454857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2" name="Straight Connector 201"/>
                          <a:cNvCxnSpPr/>
                        </a:nvCxnSpPr>
                        <a:spPr>
                          <a:xfrm>
                            <a:off x="445692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3" name="Straight Connector 202"/>
                          <a:cNvCxnSpPr/>
                        </a:nvCxnSpPr>
                        <a:spPr>
                          <a:xfrm>
                            <a:off x="436527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4" name="Straight Connector 203"/>
                          <a:cNvCxnSpPr/>
                        </a:nvCxnSpPr>
                        <a:spPr>
                          <a:xfrm>
                            <a:off x="427363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5" name="Straight Connector 204"/>
                          <a:cNvCxnSpPr/>
                        </a:nvCxnSpPr>
                        <a:spPr>
                          <a:xfrm>
                            <a:off x="418198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6" name="Straight Connector 205"/>
                          <a:cNvCxnSpPr/>
                        </a:nvCxnSpPr>
                        <a:spPr>
                          <a:xfrm>
                            <a:off x="409033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7" name="Straight Connector 206"/>
                          <a:cNvCxnSpPr/>
                        </a:nvCxnSpPr>
                        <a:spPr>
                          <a:xfrm>
                            <a:off x="399869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8" name="Straight Connector 207"/>
                          <a:cNvCxnSpPr/>
                        </a:nvCxnSpPr>
                        <a:spPr>
                          <a:xfrm>
                            <a:off x="390704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9" name="Straight Connector 208"/>
                          <a:cNvCxnSpPr/>
                        </a:nvCxnSpPr>
                        <a:spPr>
                          <a:xfrm>
                            <a:off x="381539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0" name="Straight Connector 209"/>
                          <a:cNvCxnSpPr/>
                        </a:nvCxnSpPr>
                        <a:spPr>
                          <a:xfrm>
                            <a:off x="372375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1" name="Straight Connector 210"/>
                          <a:cNvCxnSpPr/>
                        </a:nvCxnSpPr>
                        <a:spPr>
                          <a:xfrm>
                            <a:off x="363210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2" name="Straight Connector 211"/>
                          <a:cNvCxnSpPr/>
                        </a:nvCxnSpPr>
                        <a:spPr>
                          <a:xfrm>
                            <a:off x="354045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3" name="Straight Connector 212"/>
                          <a:cNvCxnSpPr/>
                        </a:nvCxnSpPr>
                        <a:spPr>
                          <a:xfrm>
                            <a:off x="344881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4" name="Straight Connector 213"/>
                          <a:cNvCxnSpPr/>
                        </a:nvCxnSpPr>
                        <a:spPr>
                          <a:xfrm>
                            <a:off x="335716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5" name="Straight Connector 214"/>
                          <a:cNvCxnSpPr/>
                        </a:nvCxnSpPr>
                        <a:spPr>
                          <a:xfrm>
                            <a:off x="3265519"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6" name="Straight Connector 215"/>
                          <a:cNvCxnSpPr/>
                        </a:nvCxnSpPr>
                        <a:spPr>
                          <a:xfrm>
                            <a:off x="317387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7" name="Straight Connector 216"/>
                          <a:cNvCxnSpPr/>
                        </a:nvCxnSpPr>
                        <a:spPr>
                          <a:xfrm>
                            <a:off x="3082226"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8" name="Straight Connector 217"/>
                          <a:cNvCxnSpPr/>
                        </a:nvCxnSpPr>
                        <a:spPr>
                          <a:xfrm>
                            <a:off x="299058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9" name="Straight Connector 218"/>
                          <a:cNvCxnSpPr/>
                        </a:nvCxnSpPr>
                        <a:spPr>
                          <a:xfrm>
                            <a:off x="2898933"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0" name="Straight Connector 219"/>
                          <a:cNvCxnSpPr/>
                        </a:nvCxnSpPr>
                        <a:spPr>
                          <a:xfrm>
                            <a:off x="280728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1" name="Straight Connector 220"/>
                          <a:cNvCxnSpPr/>
                        </a:nvCxnSpPr>
                        <a:spPr>
                          <a:xfrm>
                            <a:off x="271564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2" name="Straight Connector 221"/>
                          <a:cNvCxnSpPr/>
                        </a:nvCxnSpPr>
                        <a:spPr>
                          <a:xfrm>
                            <a:off x="262399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3" name="Straight Connector 222"/>
                          <a:cNvCxnSpPr/>
                        </a:nvCxnSpPr>
                        <a:spPr>
                          <a:xfrm>
                            <a:off x="253234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4" name="Straight Connector 223"/>
                          <a:cNvCxnSpPr/>
                        </a:nvCxnSpPr>
                        <a:spPr>
                          <a:xfrm>
                            <a:off x="2440700"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5" name="Straight Connector 224"/>
                          <a:cNvCxnSpPr/>
                        </a:nvCxnSpPr>
                        <a:spPr>
                          <a:xfrm>
                            <a:off x="234905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6" name="Straight Connector 225"/>
                          <a:cNvCxnSpPr/>
                        </a:nvCxnSpPr>
                        <a:spPr>
                          <a:xfrm>
                            <a:off x="2257407"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7" name="Straight Connector 226"/>
                          <a:cNvCxnSpPr/>
                        </a:nvCxnSpPr>
                        <a:spPr>
                          <a:xfrm>
                            <a:off x="216576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8" name="Straight Connector 227"/>
                          <a:cNvCxnSpPr/>
                        </a:nvCxnSpPr>
                        <a:spPr>
                          <a:xfrm>
                            <a:off x="2074114"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9" name="Straight Connector 228"/>
                          <a:cNvCxnSpPr/>
                        </a:nvCxnSpPr>
                        <a:spPr>
                          <a:xfrm>
                            <a:off x="198246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0" name="Straight Connector 229"/>
                          <a:cNvCxnSpPr/>
                        </a:nvCxnSpPr>
                        <a:spPr>
                          <a:xfrm>
                            <a:off x="1890821"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1" name="Straight Connector 230"/>
                          <a:cNvCxnSpPr/>
                        </a:nvCxnSpPr>
                        <a:spPr>
                          <a:xfrm>
                            <a:off x="179917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2" name="Straight Connector 231"/>
                          <a:cNvCxnSpPr/>
                        </a:nvCxnSpPr>
                        <a:spPr>
                          <a:xfrm>
                            <a:off x="1707528"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3" name="Straight Connector 232"/>
                          <a:cNvCxnSpPr/>
                        </a:nvCxnSpPr>
                        <a:spPr>
                          <a:xfrm>
                            <a:off x="1615882"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4" name="Straight Connector 233"/>
                          <a:cNvCxnSpPr/>
                        </a:nvCxnSpPr>
                        <a:spPr>
                          <a:xfrm>
                            <a:off x="1524235" y="4342026"/>
                            <a:ext cx="0" cy="152744"/>
                          </a:xfrm>
                          <a:prstGeom prst="line">
                            <a:avLst/>
                          </a:prstGeom>
                          <a:ln w="63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6" name="Straight Arrow Connector 235"/>
                          <a:cNvCxnSpPr/>
                        </a:nvCxnSpPr>
                        <a:spPr>
                          <a:xfrm>
                            <a:off x="4304180" y="4158733"/>
                            <a:ext cx="0" cy="152744"/>
                          </a:xfrm>
                          <a:prstGeom prst="straightConnector1">
                            <a:avLst/>
                          </a:prstGeom>
                          <a:ln w="6350">
                            <a:solidFill>
                              <a:schemeClr val="bg1"/>
                            </a:solidFill>
                            <a:tailEnd type="arrow"/>
                          </a:ln>
                        </a:spPr>
                        <a:style>
                          <a:lnRef idx="1">
                            <a:schemeClr val="accent1"/>
                          </a:lnRef>
                          <a:fillRef idx="0">
                            <a:schemeClr val="accent1"/>
                          </a:fillRef>
                          <a:effectRef idx="0">
                            <a:schemeClr val="accent1"/>
                          </a:effectRef>
                          <a:fontRef idx="minor">
                            <a:schemeClr val="tx1"/>
                          </a:fontRef>
                        </a:style>
                      </a:cxnSp>
                      <a:cxnSp>
                        <a:nvCxnSpPr>
                          <a:cNvPr id="237" name="Straight Arrow Connector 236"/>
                          <a:cNvCxnSpPr/>
                        </a:nvCxnSpPr>
                        <a:spPr>
                          <a:xfrm flipV="1">
                            <a:off x="4151436" y="4494770"/>
                            <a:ext cx="0" cy="152744"/>
                          </a:xfrm>
                          <a:prstGeom prst="straightConnector1">
                            <a:avLst/>
                          </a:prstGeom>
                          <a:ln w="6350">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238" name="TextBox 237"/>
                          <a:cNvSpPr txBox="1"/>
                        </a:nvSpPr>
                        <a:spPr>
                          <a:xfrm>
                            <a:off x="3540460" y="4102351"/>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dirty="0" smtClean="0"/>
                                <a:t>RNase III</a:t>
                              </a:r>
                              <a:endParaRPr lang="en-GB" sz="1000" dirty="0"/>
                            </a:p>
                          </a:txBody>
                          <a:useSpRect/>
                        </a:txSp>
                      </a:sp>
                      <a:sp>
                        <a:nvSpPr>
                          <a:cNvPr id="239" name="TextBox 238"/>
                          <a:cNvSpPr txBox="1"/>
                        </a:nvSpPr>
                        <a:spPr>
                          <a:xfrm>
                            <a:off x="3540460" y="4456584"/>
                            <a:ext cx="648072"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dirty="0" smtClean="0"/>
                                <a:t>RNase III</a:t>
                              </a:r>
                              <a:endParaRPr lang="en-GB" sz="1000" dirty="0"/>
                            </a:p>
                          </a:txBody>
                          <a:useSpRect/>
                        </a:txSp>
                      </a:sp>
                      <a:sp>
                        <a:nvSpPr>
                          <a:cNvPr id="242" name="TextBox 241"/>
                          <a:cNvSpPr txBox="1"/>
                        </a:nvSpPr>
                        <a:spPr>
                          <a:xfrm>
                            <a:off x="6384776" y="4240560"/>
                            <a:ext cx="576064"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PAZ domain</a:t>
                              </a:r>
                              <a:endParaRPr lang="en-GB" sz="1000" dirty="0"/>
                            </a:p>
                          </a:txBody>
                          <a:useSpRect/>
                        </a:txSp>
                      </a:sp>
                      <a:sp>
                        <a:nvSpPr>
                          <a:cNvPr id="243" name="TextBox 242"/>
                          <a:cNvSpPr txBox="1"/>
                        </a:nvSpPr>
                        <a:spPr>
                          <a:xfrm>
                            <a:off x="6204756" y="4168552"/>
                            <a:ext cx="32403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3’</a:t>
                              </a:r>
                              <a:endParaRPr lang="en-GB" sz="1000" dirty="0"/>
                            </a:p>
                          </a:txBody>
                          <a:useSpRect/>
                        </a:txSp>
                      </a:sp>
                      <a:sp>
                        <a:nvSpPr>
                          <a:cNvPr id="244" name="TextBox 243"/>
                          <a:cNvSpPr txBox="1"/>
                        </a:nvSpPr>
                        <a:spPr>
                          <a:xfrm>
                            <a:off x="5988732" y="4420580"/>
                            <a:ext cx="324036"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5’</a:t>
                              </a:r>
                              <a:endParaRPr lang="en-GB" sz="1000" dirty="0"/>
                            </a:p>
                          </a:txBody>
                          <a:useSpRect/>
                        </a:txSp>
                      </a:sp>
                    </a:grpSp>
                    <a:sp>
                      <a:nvSpPr>
                        <a:cNvPr id="132" name="TextBox 131"/>
                        <a:cNvSpPr txBox="1"/>
                      </a:nvSpPr>
                      <a:spPr>
                        <a:xfrm>
                          <a:off x="1596245" y="6298595"/>
                          <a:ext cx="936104"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Long dsRNA</a:t>
                            </a:r>
                            <a:endParaRPr lang="en-GB" sz="1000" dirty="0"/>
                          </a:p>
                        </a:txBody>
                        <a:useSpRect/>
                      </a:txSp>
                    </a:sp>
                    <a:sp>
                      <a:nvSpPr>
                        <a:cNvPr id="245" name="TextBox 244"/>
                        <a:cNvSpPr txBox="1"/>
                      </a:nvSpPr>
                      <a:spPr>
                        <a:xfrm>
                          <a:off x="4512568" y="5892678"/>
                          <a:ext cx="1512168"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Connector helix &amp; platform domain</a:t>
                            </a:r>
                            <a:endParaRPr lang="en-GB" sz="1000" dirty="0"/>
                          </a:p>
                        </a:txBody>
                        <a:useSpRect/>
                      </a:txSp>
                    </a:sp>
                    <a:sp>
                      <a:nvSpPr>
                        <a:cNvPr id="246" name="TextBox 245"/>
                        <a:cNvSpPr txBox="1"/>
                      </a:nvSpPr>
                      <a:spPr>
                        <a:xfrm>
                          <a:off x="2064296" y="6076764"/>
                          <a:ext cx="1512168"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Bridging domain</a:t>
                            </a:r>
                            <a:endParaRPr lang="en-GB" sz="1000" dirty="0"/>
                          </a:p>
                        </a:txBody>
                        <a:useSpRect/>
                      </a:txSp>
                    </a:sp>
                    <a:cxnSp>
                      <a:nvCxnSpPr>
                        <a:cNvPr id="333" name="Straight Arrow Connector 332"/>
                        <a:cNvCxnSpPr>
                          <a:stCxn id="246" idx="2"/>
                        </a:cNvCxnSpPr>
                      </a:nvCxnSpPr>
                      <a:spPr>
                        <a:xfrm>
                          <a:off x="2820380" y="6322985"/>
                          <a:ext cx="108012" cy="185827"/>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37" name="TextBox 336"/>
                        <a:cNvSpPr txBox="1"/>
                      </a:nvSpPr>
                      <a:spPr>
                        <a:xfrm>
                          <a:off x="7212868" y="6508812"/>
                          <a:ext cx="1620180"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000" b="1" dirty="0" smtClean="0"/>
                              <a:t>Dicer (</a:t>
                            </a:r>
                            <a:r>
                              <a:rPr lang="en-GB" sz="1000" b="1" i="1" dirty="0" smtClean="0"/>
                              <a:t>Giardia </a:t>
                            </a:r>
                            <a:r>
                              <a:rPr lang="en-GB" sz="1000" b="1" i="1" dirty="0" err="1" smtClean="0"/>
                              <a:t>intestinalis</a:t>
                            </a:r>
                            <a:r>
                              <a:rPr lang="en-GB" sz="1000" b="1" dirty="0" smtClean="0"/>
                              <a:t>)</a:t>
                            </a:r>
                            <a:endParaRPr lang="en-GB" sz="1000" b="1" dirty="0"/>
                          </a:p>
                        </a:txBody>
                        <a:useSpRect/>
                      </a:txSp>
                    </a:sp>
                    <a:cxnSp>
                      <a:nvCxnSpPr>
                        <a:cNvPr id="315" name="Straight Arrow Connector 314"/>
                        <a:cNvCxnSpPr/>
                      </a:nvCxnSpPr>
                      <a:spPr>
                        <a:xfrm>
                          <a:off x="4401282" y="5936814"/>
                          <a:ext cx="1649638" cy="0"/>
                        </a:xfrm>
                        <a:prstGeom prst="straightConnector1">
                          <a:avLst/>
                        </a:prstGeom>
                        <a:ln w="635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316" name="Straight Arrow Connector 315"/>
                        <a:cNvCxnSpPr/>
                      </a:nvCxnSpPr>
                      <a:spPr>
                        <a:xfrm flipH="1">
                          <a:off x="4126342" y="5936814"/>
                          <a:ext cx="274940" cy="0"/>
                        </a:xfrm>
                        <a:prstGeom prst="straightConnector1">
                          <a:avLst/>
                        </a:prstGeom>
                        <a:ln w="635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317" name="Straight Arrow Connector 316"/>
                        <a:cNvCxnSpPr/>
                      </a:nvCxnSpPr>
                      <a:spPr>
                        <a:xfrm flipH="1">
                          <a:off x="6050920" y="5936814"/>
                          <a:ext cx="244391" cy="0"/>
                        </a:xfrm>
                        <a:prstGeom prst="straightConnector1">
                          <a:avLst/>
                        </a:prstGeom>
                        <a:ln w="635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325" name="TextBox 324"/>
                        <a:cNvSpPr txBox="1"/>
                      </a:nvSpPr>
                      <a:spPr>
                        <a:xfrm>
                          <a:off x="4764596" y="5572708"/>
                          <a:ext cx="972108" cy="246221"/>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~23 bp</a:t>
                            </a:r>
                            <a:endParaRPr lang="en-GB" sz="1000" dirty="0"/>
                          </a:p>
                        </a:txBody>
                        <a:useSpRect/>
                      </a:txSp>
                    </a:sp>
                    <a:sp>
                      <a:nvSpPr>
                        <a:cNvPr id="329" name="TextBox 328"/>
                        <a:cNvSpPr txBox="1"/>
                      </a:nvSpPr>
                      <a:spPr>
                        <a:xfrm>
                          <a:off x="3864496" y="5500700"/>
                          <a:ext cx="828092"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2 </a:t>
                            </a:r>
                            <a:r>
                              <a:rPr lang="en-GB" sz="1000" dirty="0" err="1" smtClean="0"/>
                              <a:t>nt</a:t>
                            </a:r>
                            <a:r>
                              <a:rPr lang="en-GB" sz="1000" dirty="0" smtClean="0"/>
                              <a:t>  3’ overhang</a:t>
                            </a:r>
                            <a:endParaRPr lang="en-GB" sz="1000" dirty="0"/>
                          </a:p>
                        </a:txBody>
                        <a:useSpRect/>
                      </a:txSp>
                    </a:sp>
                    <a:sp>
                      <a:nvSpPr>
                        <a:cNvPr id="332" name="TextBox 331"/>
                        <a:cNvSpPr txBox="1"/>
                      </a:nvSpPr>
                      <a:spPr>
                        <a:xfrm>
                          <a:off x="5772708" y="5500700"/>
                          <a:ext cx="828092" cy="400110"/>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000" dirty="0" smtClean="0"/>
                              <a:t>2 </a:t>
                            </a:r>
                            <a:r>
                              <a:rPr lang="en-GB" sz="1000" dirty="0" err="1" smtClean="0"/>
                              <a:t>nt</a:t>
                            </a:r>
                            <a:r>
                              <a:rPr lang="en-GB" sz="1000" dirty="0" smtClean="0"/>
                              <a:t>  3’ overhang</a:t>
                            </a:r>
                            <a:endParaRPr lang="en-GB" sz="1000" dirty="0"/>
                          </a:p>
                        </a:txBody>
                        <a:useSpRect/>
                      </a:txSp>
                    </a:sp>
                  </a:grpSp>
                </lc:lockedCanvas>
              </a:graphicData>
            </a:graphic>
          </wp:inline>
        </w:drawing>
      </w:r>
    </w:p>
    <w:p w:rsidR="006973D5" w:rsidRDefault="00402BCC" w:rsidP="006973D5">
      <w:pPr>
        <w:pStyle w:val="Caption"/>
        <w:spacing w:after="120"/>
        <w:rPr>
          <w:color w:val="auto"/>
        </w:rPr>
      </w:pPr>
      <w:bookmarkStart w:id="136" w:name="_Toc20411642"/>
      <w:r w:rsidRPr="00402BCC">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w:t>
      </w:r>
      <w:r w:rsidR="005C0E76">
        <w:rPr>
          <w:color w:val="auto"/>
        </w:rPr>
        <w:fldChar w:fldCharType="end"/>
      </w:r>
      <w:r w:rsidRPr="00402BCC">
        <w:rPr>
          <w:color w:val="auto"/>
        </w:rPr>
        <w:t xml:space="preserve"> </w:t>
      </w:r>
      <w:r>
        <w:rPr>
          <w:color w:val="auto"/>
        </w:rPr>
        <w:t xml:space="preserve"> </w:t>
      </w:r>
      <w:r w:rsidRPr="00402BCC">
        <w:rPr>
          <w:color w:val="auto"/>
        </w:rPr>
        <w:t xml:space="preserve">Schematic </w:t>
      </w:r>
      <w:r>
        <w:rPr>
          <w:color w:val="auto"/>
        </w:rPr>
        <w:t xml:space="preserve"> </w:t>
      </w:r>
      <w:r w:rsidRPr="00402BCC">
        <w:rPr>
          <w:color w:val="auto"/>
        </w:rPr>
        <w:t xml:space="preserve">illustration </w:t>
      </w:r>
      <w:r>
        <w:rPr>
          <w:color w:val="auto"/>
        </w:rPr>
        <w:t xml:space="preserve"> </w:t>
      </w:r>
      <w:r w:rsidRPr="00402BCC">
        <w:rPr>
          <w:color w:val="auto"/>
        </w:rPr>
        <w:t xml:space="preserve">of </w:t>
      </w:r>
      <w:r>
        <w:rPr>
          <w:color w:val="auto"/>
        </w:rPr>
        <w:t xml:space="preserve"> </w:t>
      </w:r>
      <w:r w:rsidRPr="00402BCC">
        <w:rPr>
          <w:color w:val="auto"/>
        </w:rPr>
        <w:t xml:space="preserve">the </w:t>
      </w:r>
      <w:r>
        <w:rPr>
          <w:color w:val="auto"/>
        </w:rPr>
        <w:t xml:space="preserve"> </w:t>
      </w:r>
      <w:r w:rsidRPr="00402BCC">
        <w:rPr>
          <w:color w:val="auto"/>
        </w:rPr>
        <w:t xml:space="preserve">domain </w:t>
      </w:r>
      <w:r>
        <w:rPr>
          <w:color w:val="auto"/>
        </w:rPr>
        <w:t xml:space="preserve"> </w:t>
      </w:r>
      <w:r w:rsidRPr="00402BCC">
        <w:rPr>
          <w:color w:val="auto"/>
        </w:rPr>
        <w:t xml:space="preserve">architecture </w:t>
      </w:r>
      <w:r>
        <w:rPr>
          <w:color w:val="auto"/>
        </w:rPr>
        <w:t xml:space="preserve"> </w:t>
      </w:r>
      <w:r w:rsidRPr="00402BCC">
        <w:rPr>
          <w:color w:val="auto"/>
        </w:rPr>
        <w:t xml:space="preserve">and </w:t>
      </w:r>
      <w:r>
        <w:rPr>
          <w:color w:val="auto"/>
        </w:rPr>
        <w:t xml:space="preserve"> </w:t>
      </w:r>
      <w:r w:rsidRPr="00402BCC">
        <w:rPr>
          <w:color w:val="auto"/>
        </w:rPr>
        <w:t>mechanism</w:t>
      </w:r>
      <w:r>
        <w:rPr>
          <w:color w:val="auto"/>
        </w:rPr>
        <w:t xml:space="preserve"> </w:t>
      </w:r>
      <w:r w:rsidRPr="00402BCC">
        <w:rPr>
          <w:color w:val="auto"/>
        </w:rPr>
        <w:t xml:space="preserve"> of </w:t>
      </w:r>
      <w:r>
        <w:rPr>
          <w:color w:val="auto"/>
        </w:rPr>
        <w:t xml:space="preserve"> </w:t>
      </w:r>
      <w:r w:rsidRPr="00402BCC">
        <w:rPr>
          <w:color w:val="auto"/>
        </w:rPr>
        <w:t xml:space="preserve">Dicer and </w:t>
      </w:r>
      <w:r>
        <w:rPr>
          <w:color w:val="auto"/>
        </w:rPr>
        <w:t xml:space="preserve"> </w:t>
      </w:r>
      <w:r w:rsidRPr="00402BCC">
        <w:rPr>
          <w:color w:val="auto"/>
        </w:rPr>
        <w:t>RNase III family enzymes.</w:t>
      </w:r>
      <w:bookmarkEnd w:id="136"/>
    </w:p>
    <w:p w:rsidR="00402BCC" w:rsidRPr="00402BCC" w:rsidRDefault="00402BCC" w:rsidP="006973D5">
      <w:pPr>
        <w:pStyle w:val="Caption"/>
        <w:spacing w:after="120"/>
        <w:rPr>
          <w:b w:val="0"/>
          <w:color w:val="auto"/>
        </w:rPr>
      </w:pPr>
      <w:r w:rsidRPr="00402BCC">
        <w:rPr>
          <w:color w:val="auto"/>
        </w:rPr>
        <w:t xml:space="preserve"> </w:t>
      </w:r>
      <w:r w:rsidRPr="00402BCC">
        <w:rPr>
          <w:b w:val="0"/>
          <w:color w:val="auto"/>
        </w:rPr>
        <w:t xml:space="preserve">(a) Domain architecture of bacterial, </w:t>
      </w:r>
      <w:r w:rsidRPr="00402BCC">
        <w:rPr>
          <w:b w:val="0"/>
          <w:i/>
          <w:iCs/>
          <w:color w:val="auto"/>
        </w:rPr>
        <w:t>Giardia</w:t>
      </w:r>
      <w:r w:rsidRPr="00402BCC">
        <w:rPr>
          <w:b w:val="0"/>
          <w:color w:val="auto"/>
        </w:rPr>
        <w:t xml:space="preserve">, human and insect Dicer/RNase III family enzymes. DUF283 (Domain of unknown function 283) is known to be an atypical dsRNA binding domain. Human, </w:t>
      </w:r>
      <w:r w:rsidRPr="00402BCC">
        <w:rPr>
          <w:b w:val="0"/>
          <w:i/>
          <w:iCs/>
          <w:color w:val="auto"/>
        </w:rPr>
        <w:t>Drosophila</w:t>
      </w:r>
      <w:r w:rsidRPr="00402BCC">
        <w:rPr>
          <w:b w:val="0"/>
          <w:color w:val="auto"/>
        </w:rPr>
        <w:t xml:space="preserve"> and other insects’ Dicers have similar domain architecture, however the size and sequence of the main functional domains, linking domains, and overall enzyme are different for each (domain sizes not to scale). (b) Cleavage mechanism of human/insect, </w:t>
      </w:r>
      <w:r w:rsidRPr="00402BCC">
        <w:rPr>
          <w:b w:val="0"/>
          <w:i/>
          <w:iCs/>
          <w:color w:val="auto"/>
        </w:rPr>
        <w:t>Giardia</w:t>
      </w:r>
      <w:r w:rsidRPr="00402BCC">
        <w:rPr>
          <w:b w:val="0"/>
          <w:color w:val="auto"/>
        </w:rPr>
        <w:t>, and bacterial Dicer/RNase III family enzymes. Dicer enzymes form internal psuedo-dimers between the RNase III domains to cut both dsRNA strands, whereas two separate bacterial RNase III monomers form a true dimer to cut both strands. Cut sites indicated by white arrows. Not to scale.</w:t>
      </w:r>
    </w:p>
    <w:p w:rsidR="00402BCC" w:rsidRDefault="00402BCC" w:rsidP="0073713C">
      <w:pPr>
        <w:spacing w:line="360" w:lineRule="auto"/>
        <w:ind w:firstLine="284"/>
      </w:pPr>
    </w:p>
    <w:p w:rsidR="0073713C" w:rsidRDefault="0073713C" w:rsidP="00402BCC">
      <w:pPr>
        <w:spacing w:line="360" w:lineRule="auto"/>
      </w:pPr>
      <w:r>
        <w:t xml:space="preserve">between steps </w:t>
      </w:r>
      <w:r w:rsidR="005C0E76">
        <w:fldChar w:fldCharType="begin" w:fldLock="1"/>
      </w:r>
      <w:r>
        <w:instrText>ADDIN CSL_CITATION {"citationItems":[{"id":"ITEM-1","itemData":{"DOI":"10.1016/j.molcel.2011.03.002","ISSN":"1097-4164","PMID":"21419681","abstract":"Drosophila Dicer-2 generates small interfering RNAs (siRNAs) from long double-stranded RNA (dsRNA), whereas Dicer-1 produces microRNAs (miRNAs) from pre-miRNA. What makes the two Dicers specific for their biological substrates? We find that purified Dicer-2 can efficiently cleave pre-miRNA, but that inorganic phosphate and the Dicer-2 partner protein R2D2 inhibit pre-miRNA cleavage. Dicer-2 contains C-terminal RNase III domains that mediate RNA cleavage and an N-terminal helicase motif, whose function is unclear. We show that Dicer-2 is a dsRNA-stimulated ATPase that hydrolyzes ATP to ADP; ATP hydrolysis is required for Dicer-2 to process long dsRNA, but not pre-miRNA. Wild-type Dicer-2, but not a mutant defective in ATP hydrolysis, can generate siRNAs faster than it can dissociate from a long dsRNA substrate. We propose that the Dicer-2 helicase domain uses ATP to generate many siRNAs from a single molecule of dsRNA before dissociating from its substrate.","author":[{"dropping-particle":"","family":"Cenik","given":"Elif Sarinay","non-dropping-particle":"","parse-names":false,"suffix":""},{"dropping-particle":"","family":"Fukunaga","given":"Ryuya","non-dropping-particle":"","parse-names":false,"suffix":""},{"dropping-particle":"","family":"Lu","given":"Gang","non-dropping-particle":"","parse-names":false,"suffix":""},{"dropping-particle":"","family":"Dutcher","given":"Robert","non-dropping-particle":"","parse-names":false,"suffix":""},{"dropping-particle":"","family":"Wang","given":"Yeming","non-dropping-particle":"","parse-names":false,"suffix":""},{"dropping-particle":"","family":"Tanaka Hall","given":"Traci M","non-dropping-particle":"","parse-names":false,"suffix":""},{"dropping-particle":"","family":"Zamore","given":"Phillip D","non-dropping-particle":"","parse-names":false,"suffix":""}],"container-title":"Molecular cell","id":"ITEM-1","issue":"2","issued":{"date-parts":[["2011","4","22"]]},"page":"172-84","publisher":"Elsevier","title":"Phosphate and R2D2 restrict the substrate specificity of Dicer-2, an ATP-driven ribonuclease.","type":"article-journal","volume":"42"},"uris":["http://www.mendeley.com/documents/?uuid=9d55794c-6a4e-30fa-8ded-6d5c63ee8913"]}],"mendeley":{"formattedCitation":"(Cenik &lt;i&gt;et al.&lt;/i&gt;, 2011)","plainTextFormattedCitation":"(Cenik et al., 2011)","previouslyFormattedCitation":"(Cenik &lt;i&gt;et al.&lt;/i&gt;, 2011)"},"properties":{"noteIndex":0},"schema":"https://github.com/citation-style-language/schema/raw/master/csl-citation.json"}</w:instrText>
      </w:r>
      <w:r w:rsidR="005C0E76">
        <w:fldChar w:fldCharType="separate"/>
      </w:r>
      <w:r w:rsidRPr="006E7E31">
        <w:rPr>
          <w:noProof/>
        </w:rPr>
        <w:t xml:space="preserve">(Cenik </w:t>
      </w:r>
      <w:r w:rsidRPr="006E7E31">
        <w:rPr>
          <w:i/>
          <w:noProof/>
        </w:rPr>
        <w:t>et al.</w:t>
      </w:r>
      <w:r w:rsidRPr="006E7E31">
        <w:rPr>
          <w:noProof/>
        </w:rPr>
        <w:t>, 2011)</w:t>
      </w:r>
      <w:r w:rsidR="005C0E76">
        <w:fldChar w:fldCharType="end"/>
      </w:r>
      <w:r>
        <w:t xml:space="preserve">, recognition of substrates other than long dsRNA such as pre-miRNA hairpins </w:t>
      </w:r>
      <w:r w:rsidR="005C0E76">
        <w:fldChar w:fldCharType="begin" w:fldLock="1"/>
      </w:r>
      <w:r>
        <w:instrText>ADDIN CSL_CITATION {"citationItems":[{"id":"ITEM-1","itemData":{"DOI":"10.1016/j.jmb.2012.06.009","ISSN":"00222836","PMID":"22727743","abstract":"The conserved ribonuclease Dicer generates microRNAs and short-interfering RNAs that guide gene silencing in eukaryotes. The specific contributions of human Dicer's structural domains to RNA product length and substrate preference are incompletely understood, due in part to the difficulties of Dicer purification. Here, we show that active forms of human Dicer can be assembled from recombinant polypeptides expressed in bacteria. Using this system, we find that three distinct modes of RNA recognition give rise to Dicer's fidelity and product length specificity. The first involves anchoring one end of a double-stranded RNA helix within the PAZ domain, which can assemble in trans with Dicer's catalytic domains to reconstitute an accurate but non-substrate-selective dicing activity. The second entails nonspecific RNA binding by the double-stranded RNA binding domain, an interaction that is essential for substrate recruitment in the absence of the PAZ domain. The third mode of recognition involves hairpin RNA loop recognition by the helicase domain, which ensures efficient processing of specific substrates. These results reveal distinct interactions of each Dicer domain with different RNA structural features and provide a facile system for investigating the molecular mechanisms of human microRNA biogenesis.","author":[{"dropping-particle":"","family":"Ma","given":"Enbo","non-dropping-particle":"","parse-names":false,"suffix":""},{"dropping-particle":"","family":"Zhou","given":"Kaihong","non-dropping-particle":"","parse-names":false,"suffix":""},{"dropping-particle":"","family":"Kidwell","given":"Mary Anne","non-dropping-particle":"","parse-names":false,"suffix":""},{"dropping-particle":"","family":"Doudna","given":"Jennifer A.","non-dropping-particle":"","parse-names":false,"suffix":""}],"container-title":"Journal of Molecular Biology","id":"ITEM-1","issue":"4","issued":{"date-parts":[["2012","9","28"]]},"page":"466-476","title":"Coordinated Activities of Human Dicer Domains in Regulatory RNA Processing","type":"article-journal","volume":"422"},"uris":["http://www.mendeley.com/documents/?uuid=8f83a003-2def-345e-9c1f-4bef85fda674"]}],"mendeley":{"formattedCitation":"(Ma &lt;i&gt;et al.&lt;/i&gt;, 2012)","plainTextFormattedCitation":"(Ma et al., 2012)","previouslyFormattedCitation":"(Ma &lt;i&gt;et al.&lt;/i&gt;, 2012)"},"properties":{"noteIndex":0},"schema":"https://github.com/citation-style-language/schema/raw/master/csl-citation.json"}</w:instrText>
      </w:r>
      <w:r w:rsidR="005C0E76">
        <w:fldChar w:fldCharType="separate"/>
      </w:r>
      <w:r w:rsidRPr="00D87BD6">
        <w:rPr>
          <w:noProof/>
        </w:rPr>
        <w:t xml:space="preserve">(Ma </w:t>
      </w:r>
      <w:r w:rsidRPr="00D87BD6">
        <w:rPr>
          <w:i/>
          <w:noProof/>
        </w:rPr>
        <w:t>et al.</w:t>
      </w:r>
      <w:r w:rsidRPr="00D87BD6">
        <w:rPr>
          <w:noProof/>
        </w:rPr>
        <w:t>, 2012)</w:t>
      </w:r>
      <w:r w:rsidR="005C0E76">
        <w:fldChar w:fldCharType="end"/>
      </w:r>
      <w:r>
        <w:t xml:space="preserve">, and as part of an siRNA amplification loop that forms part of the RNAi antiviral defence system of insects </w:t>
      </w:r>
      <w:r w:rsidR="005C0E76">
        <w:fldChar w:fldCharType="begin" w:fldLock="1"/>
      </w:r>
      <w:r>
        <w:instrText>ADDIN CSL_CITATION {"citationItems":[{"id":"ITEM-1","itemData":{"DOI":"10.1016/j.chom.2018.02.001","ISSN":"1934-6069","PMID":"29503180","abstract":"The RNAi pathway confers antiviral immunity in insects. Virus-specific siRNA responses are amplified via the reverse transcription of viral RNA to viral DNA (vDNA). The nature, biogenesis, and regulation of vDNA are unclear. We find that vDNA produced during RNA virus infection of Drosophila and mosquitoes is present in both linear and circular forms. Circular vDNA (cvDNA) is sufficient to produce siRNAs that confer partially protective immunity when challenged with a cognate virus. cvDNAs bear homology to defective viral genomes (DVGs), and DVGs serve as templates for vDNA and cvDNA synthesis. Accordingly, DVGs promote the amplification of vDNA-mediated antiviral RNAi responses in infected Drosophila. Furthermore, vDNA synthesis is regulated by the DExD/H helicase domain of Dicer-2 in a mechanism distinct from its role in siRNA generation. We suggest that, analogous to mammalian RIG-I-like receptors, Dicer-2 functions like a pattern recognition receptor for DVGs to modulate antiviral immunity in insects.","author":[{"dropping-particle":"","family":"Poirier","given":"Enzo Z","non-dropping-particle":"","parse-names":false,"suffix":""},{"dropping-particle":"","family":"Goic","given":"Bertsy","non-dropping-particle":"","parse-names":false,"suffix":""},{"dropping-particle":"","family":"Tomé-Poderti","given":"Lorena","non-dropping-particle":"","parse-names":false,"suffix":""},{"dropping-particle":"","family":"Frangeul","given":"Lionel","non-dropping-particle":"","parse-names":false,"suffix":""},{"dropping-particle":"","family":"Boussier","given":"Jérémy","non-dropping-particle":"","parse-names":false,"suffix":""},{"dropping-particle":"","family":"Gausson","given":"Valérie","non-dropping-particle":"","parse-names":false,"suffix":""},{"dropping-particle":"","family":"Blanc","given":"Hervé","non-dropping-particle":"","parse-names":false,"suffix":""},{"dropping-particle":"","family":"Vallet","given":"Thomas","non-dropping-particle":"","parse-names":false,"suffix":""},{"dropping-particle":"","family":"Loyd","given":"Hyelee","non-dropping-particle":"","parse-names":false,"suffix":""},{"dropping-particle":"","family":"Levi","given":"Laura I","non-dropping-particle":"","parse-names":false,"suffix":""},{"dropping-particle":"","family":"Lanciano","given":"Sophie","non-dropping-particle":"","parse-names":false,"suffix":""},{"dropping-particle":"","family":"Baron","given":"Chloé","non-dropping-particle":"","parse-names":false,"suffix":""},{"dropping-particle":"","family":"Merkling","given":"Sarah H","non-dropping-particle":"","parse-names":false,"suffix":""},{"dropping-particle":"","family":"Lambrechts","given":"Louis","non-dropping-particle":"","parse-names":false,"suffix":""},{"dropping-particle":"","family":"Mirouze","given":"Marie","non-dropping-particle":"","parse-names":false,"suffix":""},{"dropping-particle":"","family":"Carpenter","given":"Susan","non-dropping-particle":"","parse-names":false,"suffix":""},{"dropping-particle":"","family":"Vignuzzi","given":"Marco","non-dropping-particle":"","parse-names":false,"suffix":""},{"dropping-particle":"","family":"Saleh","given":"Maria-Carla","non-dropping-particle":"","parse-names":false,"suffix":""}],"container-title":"Cell host &amp; microbe","id":"ITEM-1","issue":"3","issued":{"date-parts":[["2018","3","14"]]},"page":"353-365.e8","publisher":"Elsevier","title":"Dicer-2-Dependent Generation of Viral DNA from Defective Genomes of RNA Viruses Modulates Antiviral Immunity in Insects.","type":"article-journal","volume":"23"},"uris":["http://www.mendeley.com/documents/?uuid=826b4a77-2fd1-3b6f-bea4-0efd043f190c"]}],"mendeley":{"formattedCitation":"(Poirier &lt;i&gt;et al.&lt;/i&gt;, 2018)","plainTextFormattedCitation":"(Poirier et al., 2018)","previouslyFormattedCitation":"(Poirier &lt;i&gt;et al.&lt;/i&gt;, 2018)"},"properties":{"noteIndex":0},"schema":"https://github.com/citation-style-language/schema/raw/master/csl-citation.json"}</w:instrText>
      </w:r>
      <w:r w:rsidR="005C0E76">
        <w:fldChar w:fldCharType="separate"/>
      </w:r>
      <w:r w:rsidRPr="006E7E31">
        <w:rPr>
          <w:noProof/>
        </w:rPr>
        <w:t xml:space="preserve">(Poirier </w:t>
      </w:r>
      <w:r w:rsidRPr="006E7E31">
        <w:rPr>
          <w:i/>
          <w:noProof/>
        </w:rPr>
        <w:t>et al.</w:t>
      </w:r>
      <w:r w:rsidRPr="006E7E31">
        <w:rPr>
          <w:noProof/>
        </w:rPr>
        <w:t>, 2018)</w:t>
      </w:r>
      <w:r w:rsidR="005C0E76">
        <w:fldChar w:fldCharType="end"/>
      </w:r>
      <w:r>
        <w:t>.</w:t>
      </w:r>
    </w:p>
    <w:p w:rsidR="0073713C" w:rsidRDefault="0073713C" w:rsidP="0073713C">
      <w:pPr>
        <w:spacing w:line="360" w:lineRule="auto"/>
        <w:ind w:firstLine="284"/>
      </w:pPr>
      <w:r>
        <w:t>The two selected enzymes also have different binding mechanisms. Two separate RNase III molecules bind to the double stranded region of dsRNA via their dsRBDs, and bring their RNase III domains together to form a homodimer</w:t>
      </w:r>
      <w:r w:rsidR="00DA03E0">
        <w:t>,</w:t>
      </w:r>
      <w:r>
        <w:t xml:space="preserve"> which then cuts the dsRNA in a divalent metal ion-dependent mechanism</w:t>
      </w:r>
      <w:r w:rsidR="00DA03E0">
        <w:t>,</w:t>
      </w:r>
      <w:r>
        <w:t xml:space="preserve"> leaving a two nucleotide overhang </w:t>
      </w:r>
      <w:r w:rsidR="005C0E76">
        <w:fldChar w:fldCharType="begin" w:fldLock="1"/>
      </w:r>
      <w:r>
        <w:instrText>ADDIN CSL_CITATION {"citationItems":[{"id":"ITEM-1","itemData":{"DOI":"10.1002/wrna.1195","ISSN":"1757-7012","PMID":"24124076","abstract":"Double-stranded(ds) RNA has diverse roles in gene expression and regulation, host defense, and genome surveillance in bacterial and eukaryotic cells. A central aspect of dsRNA function is its selective recognition and cleavage by members of the ribonuclease III (RNase III) family of divalent-metal-ion-dependent phosphodiesterases. The processing of dsRNA by RNase III family members is an essential step in the maturation and decay of coding and noncoding RNAs, including miRNAs and siRNAs. RNase III, as first purified from Escherichia coli, has served as a biochemically well-characterized prototype, and other bacterial orthologs provided the first structural information. RNase III family members share a unique fold (RNase III domain) that can dimerize to form a structure that binds dsRNA and cleaves phosphodiesters on each strand, providing the characteristic 2 nt, 3'-overhang product ends. Ongoing studies are uncovering the functions of additional domains, including, inter alia, the dsRNA-binding and PAZ domains that cooperate with the RNase III domain to select target sites, regulate activity, confer processivity, and support the recognition of structurally diverse substrates. RNase III enzymes function in multicomponent assemblies that are regulated by diverse inputs, and at least one RNase III-related polypeptide can function as a noncatalytic, dsRNA-binding protein. This review summarizes the current knowledge of the mechanisms of catalysis and target site selection of RNase III family members, and also addresses less well understood aspects of these enzymes and their interactions with dsRNA.","author":[{"dropping-particle":"","family":"Nicholson","given":"Allen W","non-dropping-particle":"","parse-names":false,"suffix":""}],"container-title":"Wiley interdisciplinary reviews. RNA","id":"ITEM-1","issue":"1","issued":{"date-parts":[["2014"]]},"page":"31-48","publisher":"Wiley-Blackwell","title":"Ribonuclease III mechanisms of double-stranded RNA cleavage.","type":"article-journal","volume":"5"},"uris":["http://www.mendeley.com/documents/?uuid=fddb4f9e-5d9b-365f-af64-82eb4a26e83f"]},{"id":"ITEM-2","itemData":{"DOI":"10.1093/nar/gki197","ISSN":"1362-4962","PMID":"15699182","abstract":"Escherichia coli ribonuclease III (RNase III; EC 3.1.24) is a double-stranded(ds)-RNA-specific endonuclease with key roles in diverse RNA maturation and decay pathways. E.coli RNase III is a member of a structurally distinct superfamily that includes Dicer, a central enzyme in the mechanism of RNA interference. E.coli RNase III requires a divalent metal ion for activity, with Mg2+ as the preferred species. However, neither the function(s) nor the number of metal ions involved in catalysis is known. To gain information on metal ion involvement in catalysis, the rate of cleavage of the model substrate R1.1 RNA was determined as a function of Mg2+ concentration. Single-turnover conditions were applied, wherein phosphodiester cleavage was the rate-limiting event. The measured Hill coefficient (n (H)) is 2.0 +/- 0.1, indicative of the involvement of two Mg2+ ions in phosphodiester hydrolysis. It is also shown that 2-hydroxy-4H-isoquinoline-1,3-dione--an inhibitor of ribonucleases that employ two divalent metal ions in their catalytic sites--inhibits E.coli RNase III cleavage of R1.1 RNA. The IC50 for the compound is 14 microM for the Mg2+-supported reaction, and 8 microM for the Mn2+-supported reaction. The compound exhibits noncompetitive inhibitory kinetics, indicating that it does not perturb substrate binding. Neither the O-methylated version of the compound nor the unsubstituted imide inhibit substrate cleavage, which is consistent with a specific interaction of the N-hydroxyimide with two closely positioned divalent metal ions. A preliminary model is presented for functional roles of two divalent metal ions in the RNase III catalytic mechanism.","author":[{"dropping-particle":"","family":"Sun","given":"Weimei","non-dropping-particle":"","parse-names":false,"suffix":""},{"dropping-particle":"","family":"Pertzev","given":"Alexandre","non-dropping-particle":"","parse-names":false,"suffix":""},{"dropping-particle":"","family":"Nicholson","given":"Allen W","non-dropping-particle":"","parse-names":false,"suffix":""}],"container-title":"Nucleic acids research","id":"ITEM-2","issue":"3","issued":{"date-parts":[["2005"]]},"page":"807-15","publisher":"Oxford University Press","title":"Catalytic mechanism of Escherichia coli ribonuclease III: kinetic and inhibitor evidence for the involvement of two magnesium ions in RNA phosphodiester hydrolysis.","type":"article-journal","volume":"33"},"uris":["http://www.mendeley.com/documents/?uuid=1bfed7cd-496e-3311-8100-0c72a08bbf21"]}],"mendeley":{"formattedCitation":"(Sun, Pertzev and Nicholson, 2005; Nicholson, 2014)","plainTextFormattedCitation":"(Sun, Pertzev and Nicholson, 2005; Nicholson, 2014)","previouslyFormattedCitation":"(Sun, Pertzev and Nicholson, 2005; Nicholson, 2014)"},"properties":{"noteIndex":0},"schema":"https://github.com/citation-style-language/schema/raw/master/csl-citation.json"}</w:instrText>
      </w:r>
      <w:r w:rsidR="005C0E76">
        <w:fldChar w:fldCharType="separate"/>
      </w:r>
      <w:r w:rsidRPr="00561448">
        <w:rPr>
          <w:noProof/>
        </w:rPr>
        <w:t>(Sun, Pertzev and Nicholson, 2005; Nicholson, 2014)</w:t>
      </w:r>
      <w:r w:rsidR="005C0E76">
        <w:fldChar w:fldCharType="end"/>
      </w:r>
      <w:r>
        <w:t xml:space="preserve">. In contrast, </w:t>
      </w:r>
      <w:r w:rsidRPr="00B135A0">
        <w:rPr>
          <w:i/>
        </w:rPr>
        <w:t>Giardia</w:t>
      </w:r>
      <w:r>
        <w:t xml:space="preserve"> Dicer binds to dsRNA at the single stranded two nucleotide </w:t>
      </w:r>
      <w:r>
        <w:lastRenderedPageBreak/>
        <w:t xml:space="preserve">overhang at the terminus via its PAZ domain, and its two RNase III domains form an internal pseudo-dimer which cleaves around 25 bp from the initial terminus </w:t>
      </w:r>
      <w:r w:rsidR="005C0E76">
        <w:fldChar w:fldCharType="begin" w:fldLock="1"/>
      </w:r>
      <w:r>
        <w:instrText>ADDIN CSL_CITATION {"citationItems":[{"id":"ITEM-1","itemData":{"DOI":"10.1126/science.1121638","ISSN":"1095-9203","PMID":"16410517","abstract":"The specialized ribonuclease Dicer initiates RNA interference by cleaving double-stranded RNA (dsRNA) substrates into small fragments about 25 nucleotides in length. In the crystal structure of an intact Dicer enzyme, the PAZ domain, a module that binds the end of dsRNA, is separated from the two catalytic ribonuclease III (RNase III) domains by a flat, positively charged surface. The 65 angstrom distance between the PAZ and RNase III domains matches the length spanned by 25 base pairs of RNA. Thus, Dicer itself is a molecular ruler that recognizes dsRNA and cleaves a specified distance from the helical end.","author":[{"dropping-particle":"","family":"Macrae","given":"Ian J","non-dropping-particle":"","parse-names":false,"suffix":""},{"dropping-particle":"","family":"Zhou","given":"Kaihong","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 (New York, N.Y.)","id":"ITEM-1","issue":"5758","issued":{"date-parts":[["2006","1","13"]]},"page":"195-8","publisher":"American Association for the Advancement of Science","title":"Structural basis for double-stranded RNA processing by Dicer.","type":"article-journal","volume":"311"},"uris":["http://www.mendeley.com/documents/?uuid=a71ae084-c315-3c68-8c30-3f383c4173d6"]}],"mendeley":{"formattedCitation":"(Macrae &lt;i&gt;et al.&lt;/i&gt;, 2006)","plainTextFormattedCitation":"(Macrae et al., 2006)","previouslyFormattedCitation":"(Macrae &lt;i&gt;et al.&lt;/i&gt;, 2006)"},"properties":{"noteIndex":0},"schema":"https://github.com/citation-style-language/schema/raw/master/csl-citation.json"}</w:instrText>
      </w:r>
      <w:r w:rsidR="005C0E76">
        <w:fldChar w:fldCharType="separate"/>
      </w:r>
      <w:r w:rsidRPr="00B135A0">
        <w:rPr>
          <w:noProof/>
        </w:rPr>
        <w:t xml:space="preserve">(Macrae </w:t>
      </w:r>
      <w:r w:rsidRPr="00B135A0">
        <w:rPr>
          <w:i/>
          <w:noProof/>
        </w:rPr>
        <w:t>et al.</w:t>
      </w:r>
      <w:r w:rsidRPr="00B135A0">
        <w:rPr>
          <w:noProof/>
        </w:rPr>
        <w:t>, 2006)</w:t>
      </w:r>
      <w:r w:rsidR="005C0E76">
        <w:fldChar w:fldCharType="end"/>
      </w:r>
      <w:r>
        <w:t>.</w:t>
      </w:r>
    </w:p>
    <w:p w:rsidR="0073713C" w:rsidRDefault="0073713C" w:rsidP="0073713C">
      <w:pPr>
        <w:spacing w:line="360" w:lineRule="auto"/>
        <w:ind w:firstLine="284"/>
      </w:pPr>
      <w:r>
        <w:t xml:space="preserve">RNase III and </w:t>
      </w:r>
      <w:r w:rsidRPr="000B4F4A">
        <w:rPr>
          <w:i/>
        </w:rPr>
        <w:t>Giardia</w:t>
      </w:r>
      <w:r>
        <w:t xml:space="preserve"> Dicer cleave dsRNA via the same mechanism, but bind dsRNA with different types of domain </w:t>
      </w:r>
      <w:r w:rsidR="005C0E76">
        <w:fldChar w:fldCharType="begin" w:fldLock="1"/>
      </w:r>
      <w:r>
        <w:instrText>ADDIN CSL_CITATION {"citationItems":[{"id":"ITEM-1","itemData":{"DOI":"10.1016/B978-0-12-404741-9.00001-5","ISBN":"9780124047419","ISSN":"1874-6047","abstract":"The RNase III family endoribonuclease Dicer is the key enzyme involved in the RNA interference (RNAi) and microRNA (miRNA) pathways. Apart from its function in biogenesis of miRNAs and short interfering RNAs (siRNAs), Dicer also plays a role in the assembly of the RNA-induced silencing complex (RISC), which functions as an effector complex in RNAi and miRNA repression. In this chapter, we review our current knowledge of Dicer from various organisms. We focus on the functions of individual domains of Dicer, how the enzyme recognizes and processes its substrates, and provide information on Dicer-associated proteins and their role in small RNA biogenesis and RISC assembly. We also discuss Dicer's role in gene and chromatin regulation processes in the cell nucleus.","author":[{"dropping-particle":"","family":"Doyle","given":"Michael","non-dropping-particle":"","parse-names":false,"suffix":""},{"dropping-particle":"","family":"Jaskiewicz","given":"Lukasz","non-dropping-particle":"","parse-names":false,"suffix":""},{"dropping-particle":"","family":"Filipowicz","given":"Witold","non-dropping-particle":"","parse-names":false,"suffix":""}],"container-title":"The Enzymes","id":"ITEM-1","issued":{"date-parts":[["2012","1","1"]]},"page":"1-35","publisher":"Academic Press","title":"Dicer Proteins and Their Role in Gene Silencing Pathways","type":"article-journal","volume":"32"},"uris":["http://www.mendeley.com/documents/?uuid=2b852863-832c-38bf-826f-82a8075723b7"]},{"id":"ITEM-2","itemData":{"DOI":"10.1002/wrna.1195","ISSN":"1757-7012","PMID":"24124076","abstract":"Double-stranded(ds) RNA has diverse roles in gene expression and regulation, host defense, and genome surveillance in bacterial and eukaryotic cells. A central aspect of dsRNA function is its selective recognition and cleavage by members of the ribonuclease III (RNase III) family of divalent-metal-ion-dependent phosphodiesterases. The processing of dsRNA by RNase III family members is an essential step in the maturation and decay of coding and noncoding RNAs, including miRNAs and siRNAs. RNase III, as first purified from Escherichia coli, has served as a biochemically well-characterized prototype, and other bacterial orthologs provided the first structural information. RNase III family members share a unique fold (RNase III domain) that can dimerize to form a structure that binds dsRNA and cleaves phosphodiesters on each strand, providing the characteristic 2 nt, 3'-overhang product ends. Ongoing studies are uncovering the functions of additional domains, including, inter alia, the dsRNA-binding and PAZ domains that cooperate with the RNase III domain to select target sites, regulate activity, confer processivity, and support the recognition of structurally diverse substrates. RNase III enzymes function in multicomponent assemblies that are regulated by diverse inputs, and at least one RNase III-related polypeptide can function as a noncatalytic, dsRNA-binding protein. This review summarizes the current knowledge of the mechanisms of catalysis and target site selection of RNase III family members, and also addresses less well understood aspects of these enzymes and their interactions with dsRNA.","author":[{"dropping-particle":"","family":"Nicholson","given":"Allen W","non-dropping-particle":"","parse-names":false,"suffix":""}],"container-title":"Wiley interdisciplinary reviews. RNA","id":"ITEM-2","issue":"1","issued":{"date-parts":[["2014"]]},"page":"31-48","publisher":"Wiley-Blackwell","title":"Ribonuclease III mechanisms of double-stranded RNA cleavage.","type":"article-journal","volume":"5"},"uris":["http://www.mendeley.com/documents/?uuid=fddb4f9e-5d9b-365f-af64-82eb4a26e83f"]}],"mendeley":{"formattedCitation":"(Doyle, Jaskiewicz and Filipowicz, 2012; Nicholson, 2014)","plainTextFormattedCitation":"(Doyle, Jaskiewicz and Filipowicz, 2012; Nicholson, 2014)","previouslyFormattedCitation":"(Doyle, Jaskiewicz and Filipowicz, 2012; Nicholson, 2014)"},"properties":{"noteIndex":0},"schema":"https://github.com/citation-style-language/schema/raw/master/csl-citation.json"}</w:instrText>
      </w:r>
      <w:r w:rsidR="005C0E76">
        <w:fldChar w:fldCharType="separate"/>
      </w:r>
      <w:r w:rsidRPr="006E20F9">
        <w:rPr>
          <w:noProof/>
        </w:rPr>
        <w:t>(Doyle, Jaskiewicz and Filipowicz, 2012; Nicholson, 2014)</w:t>
      </w:r>
      <w:r w:rsidR="005C0E76">
        <w:fldChar w:fldCharType="end"/>
      </w:r>
      <w:r>
        <w:t xml:space="preserve">. Therefore, any difference in processing of chemically modified dsRNA between the two enzymes is likely due to binding mechanism rather than cleavage mechanism. Insect Dicer-2 has domains responsible for both types of binding mechanism, and an RNase III domain used for dsRNA cleavage, therefore </w:t>
      </w:r>
      <w:r w:rsidRPr="005A4C9D">
        <w:rPr>
          <w:i/>
        </w:rPr>
        <w:t>in vitro</w:t>
      </w:r>
      <w:r>
        <w:t xml:space="preserve"> experiments with the bacterial RNase III and </w:t>
      </w:r>
      <w:r w:rsidRPr="00561448">
        <w:rPr>
          <w:i/>
        </w:rPr>
        <w:t>Giardia</w:t>
      </w:r>
      <w:r>
        <w:t xml:space="preserve"> Dicer enzymes may provide further insight into the effect of the chemical modifications of dsRNA on the activity of insect Dicer-2.</w:t>
      </w:r>
    </w:p>
    <w:p w:rsidR="0073713C" w:rsidRDefault="0073713C" w:rsidP="0073713C">
      <w:pPr>
        <w:spacing w:line="360" w:lineRule="auto"/>
        <w:ind w:firstLine="284"/>
      </w:pPr>
      <w:r>
        <w:t xml:space="preserve">A major aim of this chapter was to determine the ability of different RNase III/Dicer family enzymes to cleave a range of chemically modified dsRNAs into siRNAs. Functional insect Dicer-2 is not commercially available. However, both bacterial RNase III and </w:t>
      </w:r>
      <w:r w:rsidRPr="00561448">
        <w:rPr>
          <w:i/>
        </w:rPr>
        <w:t>Giardia</w:t>
      </w:r>
      <w:r>
        <w:t xml:space="preserve"> Dicer are, and both share common domains with insect Dicer. </w:t>
      </w:r>
      <w:r w:rsidRPr="005A4C9D">
        <w:rPr>
          <w:i/>
        </w:rPr>
        <w:t>In vitro</w:t>
      </w:r>
      <w:r>
        <w:t xml:space="preserve"> assays were performed using unmodified, phosphorothioate, 2’-fluoro and 5-hydroxymethyl dsRNAs to determine the efficacy of processing of the chemically modified dsRNAs to endoribonuclease-prepared siRNAs (esiRNAs) by both enzymes.</w:t>
      </w:r>
    </w:p>
    <w:p w:rsidR="00402BCC" w:rsidRDefault="00402BCC">
      <w:pPr>
        <w:spacing w:after="200"/>
        <w:jc w:val="left"/>
        <w:rPr>
          <w:b/>
          <w:color w:val="FF0000"/>
        </w:rPr>
      </w:pPr>
      <w:r>
        <w:rPr>
          <w:b/>
          <w:color w:val="FF0000"/>
        </w:rPr>
        <w:br w:type="page"/>
      </w:r>
    </w:p>
    <w:p w:rsidR="0073713C" w:rsidRDefault="0073713C" w:rsidP="0073713C">
      <w:pPr>
        <w:pStyle w:val="Heading2"/>
        <w:spacing w:line="360" w:lineRule="auto"/>
      </w:pPr>
      <w:bookmarkStart w:id="137" w:name="_Toc18655887"/>
      <w:bookmarkStart w:id="138" w:name="_Toc535936660"/>
      <w:bookmarkStart w:id="139" w:name="_Toc35333976"/>
      <w:r>
        <w:lastRenderedPageBreak/>
        <w:t>Results and discussion</w:t>
      </w:r>
      <w:bookmarkEnd w:id="137"/>
      <w:bookmarkEnd w:id="139"/>
    </w:p>
    <w:p w:rsidR="0073713C" w:rsidRPr="0018146E" w:rsidRDefault="0073713C" w:rsidP="0073713C">
      <w:pPr>
        <w:pStyle w:val="Heading3"/>
        <w:spacing w:before="120" w:after="120" w:line="360" w:lineRule="auto"/>
      </w:pPr>
      <w:bookmarkStart w:id="140" w:name="_Toc35333977"/>
      <w:bookmarkEnd w:id="138"/>
      <w:r w:rsidRPr="0018146E">
        <w:t xml:space="preserve">Studying the effects of dsRNA chemical modifications on the activity </w:t>
      </w:r>
      <w:r w:rsidRPr="00F73AFA">
        <w:rPr>
          <w:i/>
        </w:rPr>
        <w:t>in vitro</w:t>
      </w:r>
      <w:r w:rsidRPr="0018146E">
        <w:t xml:space="preserve"> of Dicer enzymes</w:t>
      </w:r>
      <w:bookmarkEnd w:id="140"/>
    </w:p>
    <w:p w:rsidR="0073713C" w:rsidRPr="000E25D8" w:rsidRDefault="0073713C" w:rsidP="0073713C">
      <w:pPr>
        <w:spacing w:line="360" w:lineRule="auto"/>
        <w:ind w:firstLine="284"/>
      </w:pPr>
      <w:r>
        <w:t xml:space="preserve">For insecticidal dsRNAs to be functional in insect cells, they must be capable of being processed into functional siRNAs by the Dicer-2 enzyme </w:t>
      </w:r>
      <w:r w:rsidR="005C0E76">
        <w:fldChar w:fldCharType="begin" w:fldLock="1"/>
      </w:r>
      <w:r>
        <w:instrText>ADDIN CSL_CITATION {"citationItems":[{"id":"ITEM-1","itemData":{"DOI":"10.1016/j.febslet.2005.08.079","ISSN":"00145793","author":[{"dropping-particle":"","family":"Hammond","given":"Scott M.","non-dropping-particle":"","parse-names":false,"suffix":""}],"container-title":"FEBS Letters","id":"ITEM-1","issue":"26","issued":{"date-parts":[["2005","10","31"]]},"page":"5822-5829","publisher":"John Wiley &amp; Sons, Ltd","title":"Dicing and slicing","type":"article-journal","volume":"579"},"uris":["http://www.mendeley.com/documents/?uuid=0b882f76-dc49-3636-a88c-daef61c15988"]}],"mendeley":{"formattedCitation":"(Hammond, 2005)","plainTextFormattedCitation":"(Hammond, 2005)","previouslyFormattedCitation":"(Hammond, 2005)"},"properties":{"noteIndex":0},"schema":"https://github.com/citation-style-language/schema/raw/master/csl-citation.json"}</w:instrText>
      </w:r>
      <w:r w:rsidR="005C0E76">
        <w:fldChar w:fldCharType="separate"/>
      </w:r>
      <w:r w:rsidRPr="00F14A05">
        <w:rPr>
          <w:noProof/>
        </w:rPr>
        <w:t>(Hammond, 2005)</w:t>
      </w:r>
      <w:r w:rsidR="005C0E76">
        <w:fldChar w:fldCharType="end"/>
      </w:r>
      <w:r>
        <w:t xml:space="preserve">. This processing may be affected by the presence of chemical modifications in the dsRNA. </w:t>
      </w:r>
      <w:r w:rsidRPr="00023356">
        <w:t>In order</w:t>
      </w:r>
      <w:r>
        <w:t xml:space="preserve"> to examine the ability of Dicer enzymes to process chemically modified dsRNAs into esiRNAs, two different types of Dicer/RNase III family enzyme were used: bacterial RNase III, and </w:t>
      </w:r>
      <w:r w:rsidRPr="00023356">
        <w:rPr>
          <w:i/>
        </w:rPr>
        <w:t>Giardia intestinalis</w:t>
      </w:r>
      <w:r>
        <w:t xml:space="preserve"> Dicer. These two enzymes bind and process dsRNA in distinct ways, as </w:t>
      </w:r>
      <w:r w:rsidRPr="000E25D8">
        <w:t xml:space="preserve">discussed above, and contain fewer functional domains than insect or mammalian Dicer enzymes (see figure 4.1). By studying the activity of bacterial RNase III and </w:t>
      </w:r>
      <w:r w:rsidRPr="000E25D8">
        <w:rPr>
          <w:i/>
        </w:rPr>
        <w:t>Giardia intestinalis</w:t>
      </w:r>
      <w:r w:rsidRPr="000E25D8">
        <w:t xml:space="preserve"> Dicer on chemically modified dsRNA </w:t>
      </w:r>
      <w:r w:rsidRPr="000E25D8">
        <w:rPr>
          <w:i/>
        </w:rPr>
        <w:t>in vitro</w:t>
      </w:r>
      <w:r w:rsidRPr="000E25D8">
        <w:t xml:space="preserve">, it was proposed that this would provide further insight into the potential effect of such chemical modifications on insect Dicer-2 dsRNA processing </w:t>
      </w:r>
      <w:r w:rsidRPr="000E25D8">
        <w:rPr>
          <w:i/>
        </w:rPr>
        <w:t>in vivo</w:t>
      </w:r>
      <w:r w:rsidRPr="000E25D8">
        <w:t xml:space="preserve">. </w:t>
      </w:r>
    </w:p>
    <w:p w:rsidR="0073713C" w:rsidRPr="000E25D8" w:rsidRDefault="0073713C" w:rsidP="0073713C">
      <w:pPr>
        <w:pStyle w:val="Heading4"/>
        <w:spacing w:before="120" w:after="120" w:line="360" w:lineRule="auto"/>
        <w:ind w:left="851" w:hanging="864"/>
      </w:pPr>
      <w:bookmarkStart w:id="141" w:name="_Toc18655889"/>
      <w:bookmarkStart w:id="142" w:name="_Toc35333978"/>
      <w:r w:rsidRPr="000E25D8">
        <w:t>Studying the effects of dsRNA chemical modifications on the activity of bacterial RNase III</w:t>
      </w:r>
      <w:bookmarkEnd w:id="141"/>
      <w:bookmarkEnd w:id="142"/>
    </w:p>
    <w:p w:rsidR="0073713C" w:rsidRPr="000E25D8" w:rsidRDefault="0073713C" w:rsidP="0073713C">
      <w:pPr>
        <w:spacing w:line="360" w:lineRule="auto"/>
        <w:ind w:firstLine="284"/>
      </w:pPr>
      <w:r w:rsidRPr="000E25D8">
        <w:t xml:space="preserve">Prior to testing the ability of RNase III to process chemically modified long dsRNA into esiRNAs, the </w:t>
      </w:r>
      <w:r w:rsidRPr="000E25D8">
        <w:rPr>
          <w:i/>
        </w:rPr>
        <w:t>in vitro</w:t>
      </w:r>
      <w:r w:rsidRPr="000E25D8">
        <w:t xml:space="preserve"> assay was optimised using unmodified Target B dsRNA (all chemically modified dsRNAs subsequently tested were also Target B dsRNA). 1 µg of dsRNA was used in all reactions in conjunction with a series of 10 fold dilutions of ‘ShortCut’ RNase III. These reactions were run in duplicate, with the enzyme activity of one set of reactions being quenched instantly with EDTA, while the other set of reactions were incubated at 37 °C for 20 minutes followed by the enzyme activity being quenched by addition of EDTA. The reaction products were analysed by gel electrophoresis, alongside control dsRNA samples incubated in reaction buffer without RNase III (see  figure 4.2 a). </w:t>
      </w:r>
    </w:p>
    <w:p w:rsidR="00402BCC" w:rsidRDefault="0073713C" w:rsidP="0073713C">
      <w:pPr>
        <w:spacing w:line="360" w:lineRule="auto"/>
        <w:ind w:firstLine="284"/>
      </w:pPr>
      <w:r w:rsidRPr="000E25D8">
        <w:t>The results demonstrate that the addition of 0.02 units (U) of RNase III</w:t>
      </w:r>
      <w:r>
        <w:t xml:space="preserve"> failed to process the long dsRNA to esiRNAs at either of the time points. At the 20 minute time point, the addition of 0.2 U had started to generated esiRNAs as evidenced by the small amount of degradation of the long dsRNA. At 20 mins the addition of 2 U of enzyme had completely processed the dsRNA (as shown by the loss of the intact dsRNA). However, no esiRNAs were visible on the gel, likely due to over processing of the esiRNAs into even shorter length fragments which were not detected using gel electrophoresis. The analysis of the same amount of enzyme (2 U) quenched instantly (the 0 minute time point) resulted in processing of the dsRNA to esiRNAs. The initial dsRNA incubated in reaction buffer alone demonstrated no sign of degradation, indicating degradation/over-processing of the dsRNA was due to</w:t>
      </w:r>
      <w:r w:rsidR="00402BCC">
        <w:t xml:space="preserve"> </w:t>
      </w:r>
      <w:r>
        <w:t xml:space="preserve"> the </w:t>
      </w:r>
      <w:r w:rsidR="00402BCC">
        <w:t xml:space="preserve"> </w:t>
      </w:r>
      <w:r>
        <w:t xml:space="preserve">RNase III </w:t>
      </w:r>
      <w:r w:rsidR="00402BCC">
        <w:t xml:space="preserve"> </w:t>
      </w:r>
      <w:r>
        <w:t xml:space="preserve">enzyme. </w:t>
      </w:r>
      <w:r w:rsidR="00402BCC">
        <w:t xml:space="preserve"> </w:t>
      </w:r>
      <w:r>
        <w:t xml:space="preserve">RNase III </w:t>
      </w:r>
      <w:r w:rsidR="00402BCC">
        <w:t xml:space="preserve"> </w:t>
      </w:r>
      <w:r>
        <w:t xml:space="preserve">products may be as short as 11-15 bp </w:t>
      </w:r>
      <w:r w:rsidR="005C0E76">
        <w:fldChar w:fldCharType="begin" w:fldLock="1"/>
      </w:r>
      <w:r>
        <w:instrText>ADDIN CSL_CITATION {"citationItems":[{"id":"ITEM-1","itemData":{"DOI":"10.1002/wrna.1195","ISSN":"1757-7012","PMID":"24124076","abstract":"Double-stranded(ds) RNA has diverse roles in gene expression and regulation, host defense, and genome surveillance in bacterial and eukaryotic cells. A central aspect of dsRNA function is its selective recognition and cleavage by members of the ribonuclease III (RNase III) family of divalent-metal-ion-dependent phosphodiesterases. The processing of dsRNA by RNase III family members is an essential step in the maturation and decay of coding and noncoding RNAs, including miRNAs and siRNAs. RNase III, as first purified from Escherichia coli, has served as a biochemically well-characterized prototype, and other bacterial orthologs provided the first structural information. RNase III family members share a unique fold (RNase III domain) that can dimerize to form a structure that binds dsRNA and cleaves phosphodiesters on each strand, providing the characteristic 2 nt, 3'-overhang product ends. Ongoing studies are uncovering the functions of additional domains, including, inter alia, the dsRNA-binding and PAZ domains that cooperate with the RNase III domain to select target sites, regulate activity, confer processivity, and support the recognition of structurally diverse substrates. RNase III enzymes function in multicomponent assemblies that are regulated by diverse inputs, and at least one RNase III-related polypeptide can function as a noncatalytic, dsRNA-binding protein. This review summarizes the current knowledge of the mechanisms of catalysis and target site selection of RNase III family members, and also addresses less well understood aspects of these enzymes and their interactions with dsRNA.","author":[{"dropping-particle":"","family":"Nicholson","given":"Allen W","non-dropping-particle":"","parse-names":false,"suffix":""}],"container-title":"Wiley interdisciplinary reviews. RNA","id":"ITEM-1","issue":"1","issued":{"date-parts":[["2014"]]},"page":"31-48","publisher":"Wiley-Blackwell","title":"Ribonuclease III mechanisms of double-stranded RNA cleavage.","type":"article-journal","volume":"5"},"uris":["http://www.mendeley.com/documents/?uuid=fddb4f9e-5d9b-365f-af64-82eb4a26e83f"]}],"mendeley":{"formattedCitation":"(Nicholson, 2014)","plainTextFormattedCitation":"(Nicholson, 2014)","previouslyFormattedCitation":"(Nicholson, 2014)"},"properties":{"noteIndex":0},"schema":"https://github.com/citation-style-language/schema/raw/master/csl-citation.json"}</w:instrText>
      </w:r>
      <w:r w:rsidR="005C0E76">
        <w:fldChar w:fldCharType="separate"/>
      </w:r>
      <w:r w:rsidRPr="00692BE9">
        <w:rPr>
          <w:noProof/>
        </w:rPr>
        <w:t>(Nicholson, 2014)</w:t>
      </w:r>
      <w:r w:rsidR="005C0E76">
        <w:fldChar w:fldCharType="end"/>
      </w:r>
      <w:r>
        <w:t xml:space="preserve">. </w:t>
      </w:r>
      <w:r w:rsidR="00402BCC">
        <w:t xml:space="preserve"> </w:t>
      </w:r>
      <w:r>
        <w:t xml:space="preserve">Online </w:t>
      </w:r>
    </w:p>
    <w:p w:rsidR="009A0F4B" w:rsidRDefault="00345703" w:rsidP="009A0F4B">
      <w:pPr>
        <w:keepNext/>
        <w:spacing w:after="200"/>
        <w:jc w:val="left"/>
      </w:pPr>
      <w:r>
        <w:rPr>
          <w:noProof/>
          <w:lang w:eastAsia="en-GB"/>
        </w:rPr>
        <w:lastRenderedPageBreak/>
        <w:drawing>
          <wp:inline distT="0" distB="0" distL="0" distR="0">
            <wp:extent cx="6003557" cy="4997019"/>
            <wp:effectExtent l="0" t="0" r="0" b="0"/>
            <wp:docPr id="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6003557" cy="4997019"/>
                    </a:xfrm>
                    <a:prstGeom prst="rect">
                      <a:avLst/>
                    </a:prstGeom>
                    <a:noFill/>
                  </pic:spPr>
                </pic:pic>
              </a:graphicData>
            </a:graphic>
          </wp:inline>
        </w:drawing>
      </w:r>
    </w:p>
    <w:p w:rsidR="009A0F4B" w:rsidRDefault="009A0F4B" w:rsidP="009A0F4B">
      <w:pPr>
        <w:pStyle w:val="Caption"/>
        <w:spacing w:after="0"/>
        <w:rPr>
          <w:color w:val="auto"/>
        </w:rPr>
      </w:pPr>
      <w:bookmarkStart w:id="143" w:name="_Toc20411643"/>
      <w:r w:rsidRPr="009A0F4B">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2</w:t>
      </w:r>
      <w:r w:rsidR="005C0E76">
        <w:rPr>
          <w:color w:val="auto"/>
        </w:rPr>
        <w:fldChar w:fldCharType="end"/>
      </w:r>
      <w:r w:rsidRPr="009A0F4B">
        <w:rPr>
          <w:color w:val="auto"/>
        </w:rPr>
        <w:t xml:space="preserve"> Processing of unmodified and chemically modified dsRNA to esiRNAs by bacterial RNase III.</w:t>
      </w:r>
      <w:bookmarkEnd w:id="143"/>
      <w:r w:rsidRPr="009A0F4B">
        <w:rPr>
          <w:color w:val="auto"/>
        </w:rPr>
        <w:t xml:space="preserve"> </w:t>
      </w:r>
    </w:p>
    <w:p w:rsidR="009A0F4B" w:rsidRPr="009A0F4B" w:rsidRDefault="009A0F4B" w:rsidP="009A0F4B">
      <w:pPr>
        <w:pStyle w:val="Caption"/>
        <w:rPr>
          <w:b w:val="0"/>
          <w:color w:val="auto"/>
        </w:rPr>
      </w:pPr>
      <w:r w:rsidRPr="009A0F4B">
        <w:rPr>
          <w:b w:val="0"/>
          <w:color w:val="auto"/>
        </w:rPr>
        <w:t>(a) Gel electrophoretogram of unmodified Target B dsRNA incubated with various dilutions (2-0.002 units (U)) of RNase III for 0 mins or 20 min. (b) Gel electrophoretogram of  unmodified Target B dsRNA incubated with 1 U of RNase III for 0 mins or 20 min. (c) Gel electrophoretogram of unmodified and 2PS Target B dsRNA incubated with 1 U RNase III for 20 min.</w:t>
      </w:r>
      <w:r>
        <w:rPr>
          <w:b w:val="0"/>
          <w:color w:val="auto"/>
        </w:rPr>
        <w:t xml:space="preserve">      </w:t>
      </w:r>
      <w:r w:rsidRPr="009A0F4B">
        <w:rPr>
          <w:b w:val="0"/>
          <w:color w:val="auto"/>
        </w:rPr>
        <w:t xml:space="preserve"> (d) Gel electrophoretogram of unmodified and 2PS Target B dsRNA incubated with 2 U RNase III for 20 min, 1 hr or 20 hr. (e) Gel electrophoretogram of 2PS Target B dsRNA incubated with 4 or 8 U RNase III for either 0 mins or 20 min. </w:t>
      </w:r>
      <w:r>
        <w:rPr>
          <w:b w:val="0"/>
          <w:color w:val="auto"/>
        </w:rPr>
        <w:t xml:space="preserve">                  </w:t>
      </w:r>
      <w:r w:rsidRPr="009A0F4B">
        <w:rPr>
          <w:b w:val="0"/>
          <w:color w:val="auto"/>
        </w:rPr>
        <w:t>(f) Gel electrophoretogram of unmodified 2 2’F and 1HMr Target B dsRNA incubated with 1 U of RNase III for 20 mins. All incubations were performed at  37 °C; 1 µg of Target B dsRNA was incubated with various amounts of RNase III; reactions were quenched by addition of EDTA. In each gel the intact dsRNA and processed esiRNAs are highlighted.</w:t>
      </w:r>
    </w:p>
    <w:p w:rsidR="0073713C" w:rsidRDefault="0073713C" w:rsidP="00402BCC">
      <w:pPr>
        <w:spacing w:line="360" w:lineRule="auto"/>
      </w:pPr>
      <w:r>
        <w:t>oligonucleotide calculators reveal that a 12 bp siRNA may have a melting temperature anywhere in the range of 22-48 °C depending on GC content, therefore short fragments may dissociate into ssRNA at an incubation temperature of 37 °C and be degraded.</w:t>
      </w:r>
    </w:p>
    <w:p w:rsidR="0037701A" w:rsidRDefault="0073713C" w:rsidP="0073713C">
      <w:pPr>
        <w:spacing w:line="360" w:lineRule="auto"/>
        <w:ind w:firstLine="284"/>
      </w:pPr>
      <w:r>
        <w:t>Further optimisation of the RNase III assay was performed using 1 U of enzyme in two reactions with unmodified dsRNA. Once again, one reaction was quenched instantly with EDTA, and the other was quenched after incubation at 37 °C for 20 minutes. The reaction products were analysed by gel electrophoresis alongside long dsRNA (</w:t>
      </w:r>
      <w:r w:rsidRPr="000E25D8">
        <w:t>see figure 4.2 b). The results demonstrate that using 1 U of enzyme per microgram of dsRNA resulted in full processing</w:t>
      </w:r>
      <w:r>
        <w:t xml:space="preserve"> of long dsRNA to esiRNAs almost instantaneously </w:t>
      </w:r>
      <w:r w:rsidR="0037701A">
        <w:t xml:space="preserve"> </w:t>
      </w:r>
      <w:r>
        <w:t xml:space="preserve">upon </w:t>
      </w:r>
      <w:r w:rsidR="0037701A">
        <w:t xml:space="preserve"> additio</w:t>
      </w:r>
      <w:r>
        <w:t>n</w:t>
      </w:r>
      <w:r w:rsidR="0037701A">
        <w:t xml:space="preserve"> </w:t>
      </w:r>
      <w:r>
        <w:t xml:space="preserve"> of </w:t>
      </w:r>
      <w:r w:rsidR="0037701A">
        <w:t xml:space="preserve"> </w:t>
      </w:r>
      <w:r>
        <w:t xml:space="preserve">the </w:t>
      </w:r>
      <w:r w:rsidR="0037701A">
        <w:t xml:space="preserve"> </w:t>
      </w:r>
      <w:r>
        <w:t xml:space="preserve">enzyme, </w:t>
      </w:r>
      <w:r w:rsidR="0037701A">
        <w:t xml:space="preserve"> </w:t>
      </w:r>
      <w:r>
        <w:t xml:space="preserve">but prevents </w:t>
      </w:r>
      <w:r w:rsidR="0037701A">
        <w:t xml:space="preserve"> </w:t>
      </w:r>
      <w:r>
        <w:t xml:space="preserve">the </w:t>
      </w:r>
      <w:r w:rsidR="0037701A">
        <w:t xml:space="preserve"> </w:t>
      </w:r>
      <w:r>
        <w:t xml:space="preserve">siRNAs </w:t>
      </w:r>
      <w:r w:rsidR="0037701A">
        <w:t xml:space="preserve"> </w:t>
      </w:r>
      <w:r>
        <w:t xml:space="preserve">being </w:t>
      </w:r>
      <w:r w:rsidR="0037701A">
        <w:t xml:space="preserve"> </w:t>
      </w:r>
      <w:r>
        <w:t>significantly over-</w:t>
      </w:r>
    </w:p>
    <w:p w:rsidR="0073713C" w:rsidRDefault="0073713C" w:rsidP="0037701A">
      <w:pPr>
        <w:spacing w:line="360" w:lineRule="auto"/>
      </w:pPr>
      <w:r>
        <w:lastRenderedPageBreak/>
        <w:t xml:space="preserve">processed after a 20 minute incubation period. </w:t>
      </w:r>
    </w:p>
    <w:p w:rsidR="0073713C" w:rsidRPr="000E25D8" w:rsidRDefault="0073713C" w:rsidP="0073713C">
      <w:pPr>
        <w:spacing w:line="360" w:lineRule="auto"/>
        <w:ind w:firstLine="284"/>
      </w:pPr>
      <w:r>
        <w:t xml:space="preserve">To study the effects of chemical modification of dsRNA on RNase III activity, phosphorothioate </w:t>
      </w:r>
      <w:r w:rsidRPr="000E25D8">
        <w:t>dsRNA (2PS dsRNA) and unmodified dsRNA were incubated in reactions with 1 U of RNase III at 37 °C for 20 minutes, followed by EDTA quenching. The reaction products were analysed alongside the unprocessed long dsRNAs by gel electrophoresis and the results are shown in figure 4.2 c. The results demonstrate that the unmodified dsRNA was successfully processed to esiRNAs in line with previous results. In contrast, the 2PS dsRNA showed no significant cleavage of the dsRNA to esiRNAs (see  figure 4.2 c) demonstrating the increased resistance of the phosphorothioate modified dsRNA to RNase III compared to unmodified dsRNA.</w:t>
      </w:r>
    </w:p>
    <w:p w:rsidR="0073713C" w:rsidRPr="000E25D8" w:rsidRDefault="0073713C" w:rsidP="0073713C">
      <w:pPr>
        <w:spacing w:line="360" w:lineRule="auto"/>
        <w:ind w:firstLine="284"/>
      </w:pPr>
      <w:r w:rsidRPr="000E25D8">
        <w:t xml:space="preserve">To further study the increased resistance of phosphorothioate modified dsRNA to RNase III activity, reactions were set up using twice the amount of RNase III enzyme as previously (2 U). Reactions were incubated at 37 °C for 20 minutes, 1 hour and 20 hours. The reactions were quenched at the appropriate time point by addition of EDTA, and reaction products analysed by gel electrophoresis (see figure 4.2 d). Consistent with previous data, the unmodified dsRNA completely degraded (esiRNAs also degraded) by the 20 minute time point, and therefore no bands corresponding to the intact long dsRNA and esiRNAs were observed. In contrast, the analysis shows the presence a band corresponding to the intact phosphorothioate dsRNA (2PS dsRNA) at all time points. However, the increased amount of enzyme resulted in the formation of small amounts of esiRNAs by the 20 minute time point. Incubation for 1 hour or 20 hours did not appear to increase processing of 2PS dsRNA to esiRNAs. </w:t>
      </w:r>
    </w:p>
    <w:p w:rsidR="0073713C" w:rsidRDefault="0073713C" w:rsidP="0073713C">
      <w:pPr>
        <w:spacing w:line="360" w:lineRule="auto"/>
        <w:ind w:firstLine="284"/>
      </w:pPr>
      <w:r w:rsidRPr="000E25D8">
        <w:t>In order to see if increasing the amount of RNase III further increased the processing of 2PS dsRNA to esiRNAs, reactions were set up containing 4 U and 8 U of enzyme and reactions incubated at 37 °C for 0 minutes and 20 minutes prior to quenching with EDTA. The reaction products were analysed by gel electrophoresis and the results are shown in figure 4.2 e. The results</w:t>
      </w:r>
      <w:r>
        <w:t xml:space="preserve"> demonstrate that neither concentration of the enzyme resulted in any instantaneous (0 minute time point) processing of 2PS dsRNA to siRNAs. After a 20 minute incubation the reaction with 4 U of enzyme produced some esiRNAs, though once again the majority of the 2PS dsRNA remained intact as long dsRNA. The amount of esiRNAs produced did not appear to increase compared to a 20 minute incubation with the 2 U of enzyme. The addition of 8 U of enzyme did not increase processing of long dsRNA compared to 4 U of enzyme, and appeared to degrade a proportion of the esiRNAs generated. </w:t>
      </w:r>
    </w:p>
    <w:p w:rsidR="00170354" w:rsidRDefault="00170354" w:rsidP="0073713C">
      <w:pPr>
        <w:spacing w:line="360" w:lineRule="auto"/>
        <w:ind w:firstLine="284"/>
      </w:pPr>
      <w:r>
        <w:t>A r</w:t>
      </w:r>
      <w:r w:rsidRPr="000E25D8">
        <w:t>eaction</w:t>
      </w:r>
      <w:r>
        <w:t xml:space="preserve"> </w:t>
      </w:r>
      <w:r w:rsidRPr="000E25D8">
        <w:t>w</w:t>
      </w:r>
      <w:r>
        <w:t>as</w:t>
      </w:r>
      <w:r w:rsidRPr="000E25D8">
        <w:t xml:space="preserve"> set up using </w:t>
      </w:r>
      <w:r>
        <w:t xml:space="preserve">a different sample of the same 2PS dsRNA (Target B), as well as unmodified, Un-1PS, 1PS, and Un-2PS dsRNAs. Each dsRNA was incubated with 1 U of </w:t>
      </w:r>
      <w:r w:rsidRPr="000E25D8">
        <w:t>RNase III enzyme</w:t>
      </w:r>
      <w:r>
        <w:t xml:space="preserve"> at 37 °C for 20 minutes</w:t>
      </w:r>
      <w:r w:rsidRPr="000E25D8">
        <w:t xml:space="preserve">. The reactions were quenched by addition of EDTA, and reaction </w:t>
      </w:r>
      <w:r w:rsidRPr="000E25D8">
        <w:lastRenderedPageBreak/>
        <w:t xml:space="preserve">products analysed by gel electrophoresis (see </w:t>
      </w:r>
      <w:r>
        <w:t xml:space="preserve">Appendix 3, figure </w:t>
      </w:r>
      <w:r w:rsidR="0037701A">
        <w:t>A3.1</w:t>
      </w:r>
      <w:r w:rsidRPr="000E25D8">
        <w:t>).</w:t>
      </w:r>
      <w:r w:rsidR="0037701A">
        <w:t xml:space="preserve"> The results contradicted previous results and demonstrate that all the phosphorothioate-containing dsRNAs were processed efficiently to esiRNAs. Further investigation is therefore needed in order to compare different transcripts and dsRNA samples produced at different times, in order to determine with certainty whether dsRNA with phosphorothioate modifications is a good substrate for bacterial RNase III in all contexts.</w:t>
      </w:r>
    </w:p>
    <w:p w:rsidR="0073713C" w:rsidRDefault="0073713C" w:rsidP="0073713C">
      <w:pPr>
        <w:spacing w:line="360" w:lineRule="auto"/>
        <w:ind w:firstLine="284"/>
      </w:pPr>
      <w:r>
        <w:t xml:space="preserve">2’-Fluoro and 5-hydroxymethyl dsRNAs were also tested as substrates for RNase III. Unmodified, 2 2’F and 1HMr dsRNA were incubated in reactions with a 1 U </w:t>
      </w:r>
      <w:r w:rsidRPr="000E25D8">
        <w:t>of RNase III at 37 °C for 20 minutes, followed by EDTA quenching as before. The reaction products were analysed alongside the unprocessed long dsRNAs by gel electrophoresis and the results are shown in figure 4.2 f. The results demonstrate that the unmodified dsRNA was successfully processed to esiRNAs in line with</w:t>
      </w:r>
      <w:r>
        <w:t xml:space="preserve"> previous results. The 2 2’F and 1HMr dsRNAs were also fully processed into esiRNAs. 2’-Fluoro and 5-hydroxymethyl modifications do not therefore appear to effect the production of esiRNAs from bacterial RNase III. In contrast, phosphorothioate modifications appear to effect the activity RNase III. This may be related to either cleavage of the dsRNA or binding of the enzyme to the dsRNA prior to cleavage (see discussion below).</w:t>
      </w:r>
    </w:p>
    <w:p w:rsidR="0037701A" w:rsidRPr="000114F5" w:rsidRDefault="0037701A" w:rsidP="0073713C">
      <w:pPr>
        <w:spacing w:line="360" w:lineRule="auto"/>
        <w:ind w:firstLine="284"/>
      </w:pPr>
    </w:p>
    <w:p w:rsidR="0073713C" w:rsidRDefault="0073713C" w:rsidP="0073713C">
      <w:pPr>
        <w:pStyle w:val="Heading4"/>
        <w:spacing w:before="120" w:after="120" w:line="360" w:lineRule="auto"/>
        <w:ind w:left="851" w:hanging="864"/>
      </w:pPr>
      <w:bookmarkStart w:id="144" w:name="_Toc18655890"/>
      <w:bookmarkStart w:id="145" w:name="_Toc35333979"/>
      <w:r>
        <w:t xml:space="preserve">Studying the effects of dsRNA chemical modifications on the activity of </w:t>
      </w:r>
      <w:r w:rsidRPr="000114F5">
        <w:rPr>
          <w:i/>
        </w:rPr>
        <w:t>Giardia intestinalis</w:t>
      </w:r>
      <w:r>
        <w:t xml:space="preserve"> Dicer</w:t>
      </w:r>
      <w:bookmarkEnd w:id="144"/>
      <w:bookmarkEnd w:id="145"/>
    </w:p>
    <w:p w:rsidR="0073713C" w:rsidRPr="000E25D8" w:rsidRDefault="0073713C" w:rsidP="0073713C">
      <w:pPr>
        <w:spacing w:line="360" w:lineRule="auto"/>
        <w:ind w:firstLine="284"/>
      </w:pPr>
      <w:r>
        <w:t xml:space="preserve">Prior to testing the ability of </w:t>
      </w:r>
      <w:r w:rsidRPr="00DB0B37">
        <w:rPr>
          <w:i/>
        </w:rPr>
        <w:t>Giardia intestinalis</w:t>
      </w:r>
      <w:r>
        <w:t xml:space="preserve"> Dicer to process chemically modified long dsRNA into esiRNAs, the procedure was optimised using unmodified Target B dsRNA. 1 µg of dsRNA was used in all </w:t>
      </w:r>
      <w:r w:rsidRPr="000E25D8">
        <w:t>reactions prior to the addition of 1 U of ‘PowerCut’ Dicer enzyme and incubation at 37 °C for 16 hours, followed by the enzyme activity being quenched by addition of stop solution (see section 2.</w:t>
      </w:r>
      <w:r w:rsidR="000E25D8" w:rsidRPr="000E25D8">
        <w:t>3.3.2</w:t>
      </w:r>
      <w:r w:rsidRPr="000E25D8">
        <w:t>). The reaction products were analysed by gel electrophoresis, alongside control dsRNA samples incubated in reaction buffer without Dicer, and the results are shown in figure 4.3 a.</w:t>
      </w:r>
      <w:r w:rsidR="0037701A">
        <w:t xml:space="preserve"> </w:t>
      </w:r>
      <w:r w:rsidRPr="000E25D8">
        <w:t xml:space="preserve">The results demonstrate that all of the long dsRNA was successfully processed by the enzyme to esiRNAs. No significant over-processing of esiRNAs to shorter fragments was observed. The long dsRNA incubated in reaction buffer without Dicer demonstrated no sign of degradation, indicating that processing of the dsRNA was due to the Dicer enzyme, and not general degradation due to incubation temperature or buffer environment. </w:t>
      </w:r>
    </w:p>
    <w:p w:rsidR="009A0F4B" w:rsidRDefault="0073713C" w:rsidP="0073713C">
      <w:pPr>
        <w:spacing w:line="360" w:lineRule="auto"/>
        <w:ind w:firstLine="284"/>
      </w:pPr>
      <w:r w:rsidRPr="000E25D8">
        <w:t xml:space="preserve">A range of chemically modified long dsRNAs including phosphorothioate (2PS), 2’-fluoro (2 2’F) and 5-hydroxymethyl (1HMr) were tested as substrates for </w:t>
      </w:r>
      <w:r w:rsidRPr="000E25D8">
        <w:rPr>
          <w:i/>
        </w:rPr>
        <w:t>Giardia</w:t>
      </w:r>
      <w:r w:rsidRPr="000E25D8">
        <w:t xml:space="preserve"> Dicer, alongside unmodified dsRNA as a control. The unmodified and chemically modified dsRNAs were incubated with 1 U of Dicer at 37 °C for 16 hours prior to quenching of the reaction with stop solution. The reaction </w:t>
      </w:r>
      <w:r w:rsidRPr="000E25D8">
        <w:lastRenderedPageBreak/>
        <w:t>products were analysed alongside the comparable unmodified or chemically modified long dsRNAs by</w:t>
      </w:r>
      <w:r w:rsidR="009A0F4B" w:rsidRPr="000E25D8">
        <w:t xml:space="preserve"> </w:t>
      </w:r>
      <w:r w:rsidRPr="000E25D8">
        <w:t xml:space="preserve"> gel </w:t>
      </w:r>
      <w:r w:rsidR="009A0F4B" w:rsidRPr="000E25D8">
        <w:t xml:space="preserve"> </w:t>
      </w:r>
      <w:r w:rsidRPr="000E25D8">
        <w:t>electrophoresis,</w:t>
      </w:r>
      <w:r w:rsidR="009A0F4B" w:rsidRPr="000E25D8">
        <w:t xml:space="preserve"> </w:t>
      </w:r>
      <w:r w:rsidRPr="000E25D8">
        <w:t xml:space="preserve"> (see figure 4.3 b). </w:t>
      </w:r>
      <w:r w:rsidR="009A0F4B" w:rsidRPr="000E25D8">
        <w:t xml:space="preserve"> </w:t>
      </w:r>
      <w:r w:rsidRPr="000E25D8">
        <w:t xml:space="preserve">The </w:t>
      </w:r>
      <w:r w:rsidR="009A0F4B" w:rsidRPr="000E25D8">
        <w:t xml:space="preserve"> </w:t>
      </w:r>
      <w:r w:rsidRPr="000E25D8">
        <w:t>results demonstrate that the unmodified dsRNA</w:t>
      </w:r>
      <w:r>
        <w:t xml:space="preserve"> was </w:t>
      </w:r>
    </w:p>
    <w:p w:rsidR="0037701A" w:rsidRDefault="0037701A" w:rsidP="0073713C">
      <w:pPr>
        <w:spacing w:line="360" w:lineRule="auto"/>
        <w:ind w:firstLine="284"/>
      </w:pPr>
    </w:p>
    <w:p w:rsidR="009A0F4B" w:rsidRDefault="00345703" w:rsidP="009A0F4B">
      <w:pPr>
        <w:keepNext/>
        <w:spacing w:after="200"/>
        <w:jc w:val="left"/>
      </w:pPr>
      <w:r>
        <w:rPr>
          <w:noProof/>
          <w:lang w:eastAsia="en-GB"/>
        </w:rPr>
        <w:drawing>
          <wp:inline distT="0" distB="0" distL="0" distR="0">
            <wp:extent cx="6217920" cy="3284220"/>
            <wp:effectExtent l="0" t="0" r="0" b="0"/>
            <wp:docPr id="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srcRect l="1568"/>
                    <a:stretch>
                      <a:fillRect/>
                    </a:stretch>
                  </pic:blipFill>
                  <pic:spPr bwMode="auto">
                    <a:xfrm>
                      <a:off x="0" y="0"/>
                      <a:ext cx="6217920" cy="3284220"/>
                    </a:xfrm>
                    <a:prstGeom prst="rect">
                      <a:avLst/>
                    </a:prstGeom>
                    <a:noFill/>
                  </pic:spPr>
                </pic:pic>
              </a:graphicData>
            </a:graphic>
          </wp:inline>
        </w:drawing>
      </w:r>
    </w:p>
    <w:p w:rsidR="006973D5" w:rsidRDefault="009A0F4B" w:rsidP="009A0F4B">
      <w:pPr>
        <w:pStyle w:val="Caption"/>
        <w:spacing w:after="0"/>
        <w:rPr>
          <w:color w:val="auto"/>
        </w:rPr>
      </w:pPr>
      <w:bookmarkStart w:id="146" w:name="_Toc20411644"/>
      <w:r w:rsidRPr="009A0F4B">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3</w:t>
      </w:r>
      <w:r w:rsidR="005C0E76">
        <w:rPr>
          <w:color w:val="auto"/>
        </w:rPr>
        <w:fldChar w:fldCharType="end"/>
      </w:r>
      <w:r w:rsidRPr="009A0F4B">
        <w:rPr>
          <w:color w:val="auto"/>
        </w:rPr>
        <w:t xml:space="preserve"> </w:t>
      </w:r>
      <w:r>
        <w:rPr>
          <w:color w:val="auto"/>
        </w:rPr>
        <w:t xml:space="preserve">   </w:t>
      </w:r>
      <w:r w:rsidRPr="009A0F4B">
        <w:rPr>
          <w:color w:val="auto"/>
        </w:rPr>
        <w:t xml:space="preserve">Processing </w:t>
      </w:r>
      <w:r>
        <w:rPr>
          <w:color w:val="auto"/>
        </w:rPr>
        <w:t xml:space="preserve">  </w:t>
      </w:r>
      <w:r w:rsidRPr="009A0F4B">
        <w:rPr>
          <w:color w:val="auto"/>
        </w:rPr>
        <w:t xml:space="preserve">of </w:t>
      </w:r>
      <w:r>
        <w:rPr>
          <w:color w:val="auto"/>
        </w:rPr>
        <w:t xml:space="preserve">  </w:t>
      </w:r>
      <w:r w:rsidRPr="009A0F4B">
        <w:rPr>
          <w:color w:val="auto"/>
        </w:rPr>
        <w:t xml:space="preserve">unmodified </w:t>
      </w:r>
      <w:r>
        <w:rPr>
          <w:color w:val="auto"/>
        </w:rPr>
        <w:t xml:space="preserve">  </w:t>
      </w:r>
      <w:r w:rsidRPr="009A0F4B">
        <w:rPr>
          <w:color w:val="auto"/>
        </w:rPr>
        <w:t xml:space="preserve">and </w:t>
      </w:r>
      <w:r>
        <w:rPr>
          <w:color w:val="auto"/>
        </w:rPr>
        <w:t xml:space="preserve"> </w:t>
      </w:r>
      <w:r w:rsidRPr="009A0F4B">
        <w:rPr>
          <w:color w:val="auto"/>
        </w:rPr>
        <w:t xml:space="preserve">chemically </w:t>
      </w:r>
      <w:r>
        <w:rPr>
          <w:color w:val="auto"/>
        </w:rPr>
        <w:t xml:space="preserve">  </w:t>
      </w:r>
      <w:r w:rsidRPr="009A0F4B">
        <w:rPr>
          <w:color w:val="auto"/>
        </w:rPr>
        <w:t>modified</w:t>
      </w:r>
      <w:r>
        <w:rPr>
          <w:color w:val="auto"/>
        </w:rPr>
        <w:t xml:space="preserve"> </w:t>
      </w:r>
      <w:r w:rsidRPr="009A0F4B">
        <w:rPr>
          <w:color w:val="auto"/>
        </w:rPr>
        <w:t xml:space="preserve"> </w:t>
      </w:r>
      <w:r>
        <w:rPr>
          <w:color w:val="auto"/>
        </w:rPr>
        <w:t xml:space="preserve"> </w:t>
      </w:r>
      <w:r w:rsidRPr="009A0F4B">
        <w:rPr>
          <w:color w:val="auto"/>
        </w:rPr>
        <w:t xml:space="preserve">dsRNA </w:t>
      </w:r>
      <w:r>
        <w:rPr>
          <w:color w:val="auto"/>
        </w:rPr>
        <w:t xml:space="preserve">  </w:t>
      </w:r>
      <w:r w:rsidRPr="009A0F4B">
        <w:rPr>
          <w:color w:val="auto"/>
        </w:rPr>
        <w:t xml:space="preserve">to </w:t>
      </w:r>
      <w:r>
        <w:rPr>
          <w:color w:val="auto"/>
        </w:rPr>
        <w:t xml:space="preserve">  </w:t>
      </w:r>
      <w:r w:rsidRPr="009A0F4B">
        <w:rPr>
          <w:color w:val="auto"/>
        </w:rPr>
        <w:t>siRNAs</w:t>
      </w:r>
      <w:r>
        <w:rPr>
          <w:color w:val="auto"/>
        </w:rPr>
        <w:t xml:space="preserve"> </w:t>
      </w:r>
      <w:r w:rsidRPr="009A0F4B">
        <w:rPr>
          <w:color w:val="auto"/>
        </w:rPr>
        <w:t xml:space="preserve"> </w:t>
      </w:r>
      <w:r>
        <w:rPr>
          <w:color w:val="auto"/>
        </w:rPr>
        <w:t xml:space="preserve"> </w:t>
      </w:r>
      <w:r w:rsidRPr="009A0F4B">
        <w:rPr>
          <w:color w:val="auto"/>
        </w:rPr>
        <w:t xml:space="preserve">by </w:t>
      </w:r>
      <w:r>
        <w:rPr>
          <w:color w:val="auto"/>
        </w:rPr>
        <w:t xml:space="preserve">  </w:t>
      </w:r>
      <w:r w:rsidRPr="009A0F4B">
        <w:rPr>
          <w:i/>
          <w:iCs/>
          <w:color w:val="auto"/>
        </w:rPr>
        <w:t>Giardia</w:t>
      </w:r>
      <w:r w:rsidRPr="009A0F4B">
        <w:rPr>
          <w:color w:val="auto"/>
        </w:rPr>
        <w:t xml:space="preserve"> </w:t>
      </w:r>
      <w:r>
        <w:rPr>
          <w:color w:val="auto"/>
        </w:rPr>
        <w:t xml:space="preserve"> </w:t>
      </w:r>
      <w:r w:rsidRPr="009A0F4B">
        <w:rPr>
          <w:color w:val="auto"/>
        </w:rPr>
        <w:t xml:space="preserve">‘PowerCut’ </w:t>
      </w:r>
      <w:r>
        <w:rPr>
          <w:color w:val="auto"/>
        </w:rPr>
        <w:t xml:space="preserve"> </w:t>
      </w:r>
      <w:r w:rsidRPr="009A0F4B">
        <w:rPr>
          <w:color w:val="auto"/>
        </w:rPr>
        <w:t>Dicer.</w:t>
      </w:r>
      <w:bookmarkEnd w:id="146"/>
    </w:p>
    <w:p w:rsidR="009A0F4B" w:rsidRDefault="009A0F4B" w:rsidP="009A0F4B">
      <w:pPr>
        <w:pStyle w:val="Caption"/>
        <w:spacing w:after="0"/>
        <w:rPr>
          <w:b w:val="0"/>
          <w:color w:val="auto"/>
        </w:rPr>
      </w:pPr>
      <w:r w:rsidRPr="009A0F4B">
        <w:rPr>
          <w:b w:val="0"/>
          <w:color w:val="auto"/>
        </w:rPr>
        <w:t xml:space="preserve">(a) Gel electrophoretogram of unmodified Target B dsRNA incubated with 1 unit (U) </w:t>
      </w:r>
      <w:r w:rsidRPr="009A0F4B">
        <w:rPr>
          <w:b w:val="0"/>
          <w:i/>
          <w:iCs/>
          <w:color w:val="auto"/>
        </w:rPr>
        <w:t>Giardia</w:t>
      </w:r>
      <w:r w:rsidRPr="009A0F4B">
        <w:rPr>
          <w:b w:val="0"/>
          <w:color w:val="auto"/>
        </w:rPr>
        <w:t xml:space="preserve"> Dicer for 16 hr. </w:t>
      </w:r>
      <w:r>
        <w:rPr>
          <w:b w:val="0"/>
          <w:color w:val="auto"/>
        </w:rPr>
        <w:t xml:space="preserve">                         </w:t>
      </w:r>
      <w:r w:rsidRPr="009A0F4B">
        <w:rPr>
          <w:b w:val="0"/>
          <w:color w:val="auto"/>
        </w:rPr>
        <w:t xml:space="preserve">(b) Gel electrophoretogram of unmodified , 2PS, 2 2’F and 1HMr Target B dsRNA incubated with 1 U </w:t>
      </w:r>
      <w:r w:rsidRPr="009A0F4B">
        <w:rPr>
          <w:b w:val="0"/>
          <w:i/>
          <w:iCs/>
          <w:color w:val="auto"/>
        </w:rPr>
        <w:t>Giardia</w:t>
      </w:r>
      <w:r w:rsidRPr="009A0F4B">
        <w:rPr>
          <w:b w:val="0"/>
          <w:color w:val="auto"/>
        </w:rPr>
        <w:t xml:space="preserve"> Dicer for 16 hr. (c) Gel electrophoretogram of unmodified  and 2PS Target B dsRNA incubated with 1.5 U </w:t>
      </w:r>
      <w:r w:rsidRPr="009A0F4B">
        <w:rPr>
          <w:b w:val="0"/>
          <w:i/>
          <w:iCs/>
          <w:color w:val="auto"/>
        </w:rPr>
        <w:t>Giardia</w:t>
      </w:r>
      <w:r w:rsidRPr="009A0F4B">
        <w:rPr>
          <w:b w:val="0"/>
          <w:color w:val="auto"/>
        </w:rPr>
        <w:t xml:space="preserve"> Dicer for 20 hr. All incubations were performed at 37 °C; 1 µg of Target B dsRNA was incubated with various amounts of Dicer; reactions were quenched by addition of stop solution. In each gel the intact dsRNA and processed esiRNAs are highlighted.</w:t>
      </w:r>
    </w:p>
    <w:p w:rsidR="0037701A" w:rsidRPr="0037701A" w:rsidRDefault="0037701A" w:rsidP="0037701A"/>
    <w:p w:rsidR="0073713C" w:rsidRDefault="0073713C" w:rsidP="009A0F4B">
      <w:pPr>
        <w:spacing w:line="360" w:lineRule="auto"/>
      </w:pPr>
      <w:r>
        <w:t xml:space="preserve">fully processed to esiRNAs, in line with previous results. All of the chemically modified dsRNAs showed a reduced amount of esiRNA products from the reaction with </w:t>
      </w:r>
      <w:r w:rsidRPr="00D02A89">
        <w:rPr>
          <w:i/>
        </w:rPr>
        <w:t>Giardia</w:t>
      </w:r>
      <w:r>
        <w:t xml:space="preserve"> Dicer compared to unmodified dsRNA, demonstrating the reduced activity of this enzyme on all the different chemically modified dsRNA substrates. 2’-Fluoro dsRNA demonstrated the most processing by the enzyme. However, some intact dsRNA remained, and very little of the products produced were esiRNAs, with the majority of products being dsRNA fragments shorter than the original dsRNA but longer than siRNAs. Phosphorothioate dsRNA demonstrated some processing by </w:t>
      </w:r>
      <w:r w:rsidRPr="00C1386A">
        <w:rPr>
          <w:i/>
        </w:rPr>
        <w:t>Giardia</w:t>
      </w:r>
      <w:r>
        <w:t xml:space="preserve"> Dicer, but no significant amount of esiRNAs were produced. 5-hydroxymethyl dsRNA demonstrated band broadening, but again no clear signs of significant processing of the dsRNA to either esiRNAs or shorter dsRNA fragments. </w:t>
      </w:r>
    </w:p>
    <w:p w:rsidR="0073713C" w:rsidRDefault="0073713C" w:rsidP="0073713C">
      <w:pPr>
        <w:spacing w:line="360" w:lineRule="auto"/>
        <w:ind w:firstLine="284"/>
      </w:pPr>
      <w:r>
        <w:t xml:space="preserve">Further analysis of </w:t>
      </w:r>
      <w:r w:rsidRPr="00C1386A">
        <w:rPr>
          <w:i/>
        </w:rPr>
        <w:t>Giardia</w:t>
      </w:r>
      <w:r>
        <w:t xml:space="preserve"> Dicer activity was performed by increasing the amount of enzyme in order to increase the amount of processing of chemically modified dsRNAs to siRNAs by Dicer, and phosphorothioate (2PS) dsRNA was selected as an example. 2PS dsRNA was incubated with 1.5 U of Dicer for an increased time of 20 </w:t>
      </w:r>
      <w:r w:rsidRPr="000E25D8">
        <w:t xml:space="preserve">hours at 37 °C. Unmodified dsRNA was incubated in the same </w:t>
      </w:r>
      <w:r w:rsidRPr="000E25D8">
        <w:lastRenderedPageBreak/>
        <w:t>conditions as a control. The reactions were quenched after 20 hours by adding stop solution, and analysed by gel electrophoresis (see figure 4.3 c).</w:t>
      </w:r>
      <w:r>
        <w:t xml:space="preserve"> The results demonstrate that the unmodified dsRNA was fully processed to esiRNAs. However, the increase in enzyme concentration and incubation time did not result in the generation of esiRNA products from the 2PS dsRNA. </w:t>
      </w:r>
    </w:p>
    <w:p w:rsidR="0073713C" w:rsidRDefault="0073713C" w:rsidP="0073713C">
      <w:pPr>
        <w:spacing w:line="360" w:lineRule="auto"/>
        <w:ind w:firstLine="284"/>
      </w:pPr>
    </w:p>
    <w:p w:rsidR="0073713C" w:rsidRDefault="0073713C" w:rsidP="0073713C">
      <w:pPr>
        <w:pStyle w:val="Heading4"/>
        <w:spacing w:before="120" w:after="120" w:line="360" w:lineRule="auto"/>
        <w:ind w:left="851" w:hanging="864"/>
      </w:pPr>
      <w:bookmarkStart w:id="147" w:name="_Toc18655891"/>
      <w:bookmarkStart w:id="148" w:name="_Toc35333980"/>
      <w:r>
        <w:t xml:space="preserve">Discussion of results of </w:t>
      </w:r>
      <w:r w:rsidRPr="00B37688">
        <w:rPr>
          <w:i/>
        </w:rPr>
        <w:t>in vitro</w:t>
      </w:r>
      <w:r>
        <w:t xml:space="preserve"> Dicer assays in the context of RNase III and </w:t>
      </w:r>
      <w:r w:rsidRPr="00181332">
        <w:rPr>
          <w:i/>
        </w:rPr>
        <w:t>Giardia</w:t>
      </w:r>
      <w:r>
        <w:t xml:space="preserve"> Dicer mechanisms</w:t>
      </w:r>
      <w:bookmarkEnd w:id="147"/>
      <w:bookmarkEnd w:id="148"/>
    </w:p>
    <w:p w:rsidR="0073713C" w:rsidRPr="00B57D20" w:rsidRDefault="0073713C" w:rsidP="0073713C">
      <w:pPr>
        <w:spacing w:line="360" w:lineRule="auto"/>
        <w:ind w:firstLine="284"/>
      </w:pPr>
      <w:r>
        <w:t xml:space="preserve">Both RNase III and </w:t>
      </w:r>
      <w:r w:rsidRPr="000B4F4A">
        <w:rPr>
          <w:i/>
        </w:rPr>
        <w:t>Giardia</w:t>
      </w:r>
      <w:r>
        <w:t xml:space="preserve"> Dicer cleave dsRNA using similar RNase III domains </w:t>
      </w:r>
      <w:r w:rsidR="005C0E76">
        <w:fldChar w:fldCharType="begin" w:fldLock="1"/>
      </w:r>
      <w:r>
        <w:instrText>ADDIN CSL_CITATION {"citationItems":[{"id":"ITEM-1","itemData":{"DOI":"10.1002/wrna.1195","ISSN":"1757-7012","PMID":"24124076","abstract":"Double-stranded(ds) RNA has diverse roles in gene expression and regulation, host defense, and genome surveillance in bacterial and eukaryotic cells. A central aspect of dsRNA function is its selective recognition and cleavage by members of the ribonuclease III (RNase III) family of divalent-metal-ion-dependent phosphodiesterases. The processing of dsRNA by RNase III family members is an essential step in the maturation and decay of coding and noncoding RNAs, including miRNAs and siRNAs. RNase III, as first purified from Escherichia coli, has served as a biochemically well-characterized prototype, and other bacterial orthologs provided the first structural information. RNase III family members share a unique fold (RNase III domain) that can dimerize to form a structure that binds dsRNA and cleaves phosphodiesters on each strand, providing the characteristic 2 nt, 3'-overhang product ends. Ongoing studies are uncovering the functions of additional domains, including, inter alia, the dsRNA-binding and PAZ domains that cooperate with the RNase III domain to select target sites, regulate activity, confer processivity, and support the recognition of structurally diverse substrates. RNase III enzymes function in multicomponent assemblies that are regulated by diverse inputs, and at least one RNase III-related polypeptide can function as a noncatalytic, dsRNA-binding protein. This review summarizes the current knowledge of the mechanisms of catalysis and target site selection of RNase III family members, and also addresses less well understood aspects of these enzymes and their interactions with dsRNA.","author":[{"dropping-particle":"","family":"Nicholson","given":"Allen W","non-dropping-particle":"","parse-names":false,"suffix":""}],"container-title":"Wiley interdisciplinary reviews. RNA","id":"ITEM-1","issue":"1","issued":{"date-parts":[["2014"]]},"page":"31-48","publisher":"Wiley-Blackwell","title":"Ribonuclease III mechanisms of double-stranded RNA cleavage.","type":"article-journal","volume":"5"},"uris":["http://www.mendeley.com/documents/?uuid=fddb4f9e-5d9b-365f-af64-82eb4a26e83f"]}],"mendeley":{"formattedCitation":"(Nicholson, 2014)","plainTextFormattedCitation":"(Nicholson, 2014)","previouslyFormattedCitation":"(Nicholson, 2014)"},"properties":{"noteIndex":0},"schema":"https://github.com/citation-style-language/schema/raw/master/csl-citation.json"}</w:instrText>
      </w:r>
      <w:r w:rsidR="005C0E76">
        <w:fldChar w:fldCharType="separate"/>
      </w:r>
      <w:r w:rsidRPr="00BA4F20">
        <w:rPr>
          <w:noProof/>
        </w:rPr>
        <w:t>(Nicholson, 2014)</w:t>
      </w:r>
      <w:r w:rsidR="005C0E76">
        <w:fldChar w:fldCharType="end"/>
      </w:r>
      <w:r>
        <w:t xml:space="preserve">. </w:t>
      </w:r>
      <w:r w:rsidRPr="00B37688">
        <w:t>Therefore</w:t>
      </w:r>
      <w:r>
        <w:t>,</w:t>
      </w:r>
      <w:r w:rsidRPr="00B37688">
        <w:t xml:space="preserve"> the effects of the chemical modifications on cleavage would be expected to the same assuming binding of the dsRNA is not affected. </w:t>
      </w:r>
      <w:r>
        <w:t xml:space="preserve">Conversely, as both RNase III and </w:t>
      </w:r>
      <w:r w:rsidRPr="000B4F4A">
        <w:rPr>
          <w:i/>
        </w:rPr>
        <w:t>Giardia</w:t>
      </w:r>
      <w:r>
        <w:t xml:space="preserve"> Dicer cleave dsRNA in the same way, but bind dsRNA via different types of domain, any differences in processing of chemically modified dsRNA between the two enzymes is likely due to binding mechanism rather than cleavage mechanism. RNase III binds dsRNA in a non-sequence specific manner </w:t>
      </w:r>
      <w:r w:rsidR="005C0E76">
        <w:fldChar w:fldCharType="begin" w:fldLock="1"/>
      </w:r>
      <w:r>
        <w:instrText>ADDIN CSL_CITATION {"citationItems":[{"id":"ITEM-1","itemData":{"DOI":"10.1111/j.1600-065X.2008.00722.x","ISSN":"1600-065X","PMID":"19120484","abstract":"Suppression of viral infection by RNA in a nucleotide sequence homology-dependent manner was first reported in plants in early 1990 s. Studies in the past 15 years have established a completely new RNA-based immune system against viruses that is mechanistically related to RNA silencing or RNA interference (RNAi). This viral immunity begins with recognition of viral double-stranded or structured RNA by the Dicer nuclease family of host immune receptors. In fungi, plants and invertebrates, the viral RNA trigger is processed into small interfering RNAs (siRNAs) to direct specific silencing of the homologous viral genomic and/or messenger RNAs by an RNaseH-like Argonaute protein. Deep sequencing of virus-derived siRNAs indicates that the immunity against viruses with a positive-strand RNA genome is induced by Dicer recognition of dsRNA formed during the initiation of viral progeny (+)RNA synthesis. The RNA-based immune pathway in these organisms overlaps the canonical dsRNA-siRNA pathway of RNAi and may require amplification of viral siRNAs by host RNA-dependent RNA polymerase in plants and nematodes. Production of virus-derived small RNAs is undetectable in mammalian cells infected with RNA viruses. However, infection of mammals with several nucleus-replicating DNA viruses induces production of virus-derived microRNAs capable of silencing host and viral mRNAs as found for viral siRNAs. Remarkably, recent studies indicate that prokaryotes also produce virus-derived small RNAs known as CRISPR RNAs to guide antiviral defense in a manner that has yet to be defined. In this article, we review the recent progress on the identification and mechanism of the key components including viral sensors, viral triggers, effectors, and amplifiers, of the small RNA-directed viral immunity. We also highlight some of the many unresolved questions.","author":[{"dropping-particle":"","family":"Aliyari","given":"Roghiyh","non-dropping-particle":"","parse-names":false,"suffix":""},{"dropping-particle":"","family":"Ding","given":"Shou-Wei","non-dropping-particle":"","parse-names":false,"suffix":""}],"container-title":"Immunological reviews","id":"ITEM-1","issue":"1","issued":{"date-parts":[["2009","1"]]},"page":"176-88","publisher":"NIH Public Access","title":"RNA-based viral immunity initiated by the Dicer family of host immune receptors.","type":"article-journal","volume":"227"},"uris":["http://www.mendeley.com/documents/?uuid=f675171b-f392-3c3e-be87-ef82254b2eaa"]}],"mendeley":{"formattedCitation":"(Aliyari and Ding, 2009)","plainTextFormattedCitation":"(Aliyari and Ding, 2009)","previouslyFormattedCitation":"(Aliyari and Ding, 2009)"},"properties":{"noteIndex":0},"schema":"https://github.com/citation-style-language/schema/raw/master/csl-citation.json"}</w:instrText>
      </w:r>
      <w:r w:rsidR="005C0E76">
        <w:fldChar w:fldCharType="separate"/>
      </w:r>
      <w:r w:rsidRPr="009B12FC">
        <w:rPr>
          <w:noProof/>
        </w:rPr>
        <w:t>(Aliyari and Ding, 2009)</w:t>
      </w:r>
      <w:r w:rsidR="005C0E76">
        <w:fldChar w:fldCharType="end"/>
      </w:r>
      <w:r>
        <w:t xml:space="preserve"> along its length using a dsRNA binding domain (dsRBD). In contrast </w:t>
      </w:r>
      <w:r w:rsidRPr="00370786">
        <w:rPr>
          <w:i/>
        </w:rPr>
        <w:t>Giardia</w:t>
      </w:r>
      <w:r>
        <w:t xml:space="preserve"> Dicer binds the terminus of dsRNA using a PAZ domain </w:t>
      </w:r>
      <w:r w:rsidR="005C0E76">
        <w:fldChar w:fldCharType="begin" w:fldLock="1"/>
      </w:r>
      <w:r>
        <w:instrText>ADDIN CSL_CITATION {"citationItems":[{"id":"ITEM-1","itemData":{"DOI":"10.1126/science.1121638","ISSN":"1095-9203","PMID":"16410517","abstract":"The specialized ribonuclease Dicer initiates RNA interference by cleaving double-stranded RNA (dsRNA) substrates into small fragments about 25 nucleotides in length. In the crystal structure of an intact Dicer enzyme, the PAZ domain, a module that binds the end of dsRNA, is separated from the two catalytic ribonuclease III (RNase III) domains by a flat, positively charged surface. The 65 angstrom distance between the PAZ and RNase III domains matches the length spanned by 25 base pairs of RNA. Thus, Dicer itself is a molecular ruler that recognizes dsRNA and cleaves a specified distance from the helical end.","author":[{"dropping-particle":"","family":"Macrae","given":"Ian J","non-dropping-particle":"","parse-names":false,"suffix":""},{"dropping-particle":"","family":"Zhou","given":"Kaihong","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 (New York, N.Y.)","id":"ITEM-1","issue":"5758","issued":{"date-parts":[["2006","1","13"]]},"page":"195-8","publisher":"American Association for the Advancement of Science","title":"Structural basis for double-stranded RNA processing by Dicer.","type":"article-journal","volume":"311"},"uris":["http://www.mendeley.com/documents/?uuid=a71ae084-c315-3c68-8c30-3f383c4173d6"]}],"mendeley":{"formattedCitation":"(Macrae &lt;i&gt;et al.&lt;/i&gt;, 2006)","plainTextFormattedCitation":"(Macrae et al., 2006)","previouslyFormattedCitation":"(Macrae &lt;i&gt;et al.&lt;/i&gt;, 2006)"},"properties":{"noteIndex":0},"schema":"https://github.com/citation-style-language/schema/raw/master/csl-citation.json"}</w:instrText>
      </w:r>
      <w:r w:rsidR="005C0E76">
        <w:fldChar w:fldCharType="separate"/>
      </w:r>
      <w:r w:rsidRPr="009E77B3">
        <w:rPr>
          <w:noProof/>
        </w:rPr>
        <w:t xml:space="preserve">(Macrae </w:t>
      </w:r>
      <w:r w:rsidRPr="009E77B3">
        <w:rPr>
          <w:i/>
          <w:noProof/>
        </w:rPr>
        <w:t>et al.</w:t>
      </w:r>
      <w:r w:rsidRPr="009E77B3">
        <w:rPr>
          <w:noProof/>
        </w:rPr>
        <w:t>, 2006)</w:t>
      </w:r>
      <w:r w:rsidR="005C0E76">
        <w:fldChar w:fldCharType="end"/>
      </w:r>
      <w:r>
        <w:t xml:space="preserve">. The results obtained here therefore provide some information on the ability of dsRBD and PAZ domains to bind dsRNA in isolation. Insect Dicer-2 contains both types of domains </w:t>
      </w:r>
      <w:r w:rsidR="005C0E76">
        <w:fldChar w:fldCharType="begin" w:fldLock="1"/>
      </w:r>
      <w:r>
        <w:instrText xml:space="preserve">ADDIN CSL_CITATION {"citationItems":[{"id":"ITEM-1","itemData":{"DOI":"10.1073/pnas.1612393113","ISSN":"1091-6490","PMID":"27872309","abstract":"The enzyme Dicer produces small silencing RNAs such as micro-RNAs (miRNAs) and small interfering RNAs (siRNAs). In Drosophila, Dicer-1 produces </w:instrText>
      </w:r>
      <w:r>
        <w:rPr>
          <w:rFonts w:ascii="Cambria Math" w:hAnsi="Cambria Math" w:cs="Cambria Math"/>
        </w:rPr>
        <w:instrText>∼</w:instrText>
      </w:r>
      <w:r>
        <w:rPr>
          <w:rFonts w:ascii="Calibri" w:hAnsi="Calibri" w:cs="Calibri"/>
        </w:rPr>
        <w:instrText>22-24-nt miRNAs from pre-miRNAs, whereas Dicer-2 makes 21-nt siRNAs from long double-stranded RNAs (dsRNAs). How Dicer-2 precisely makes 21-nt siRNAs with a remarkably high fidelity is unknown. Here we report that recognition of the 5'-monophosphate of</w:instrText>
      </w:r>
      <w:r>
        <w:instrText xml:space="preserve"> a long dsRNA substrate by a phosphate-binding pocket in the Dicer-2 PAZ (Piwi, Argonaute, and Zwille/Pinhead) domain is crucial for the length fidelity, but not the efficiency, in 21-nt siRNA production. Loss of the length fidelity, meaning increased length heterogeneity of siRNAs, caused by point mutations in the phosphate-binding pocket of the Dicer-2 PAZ domain decreased RNA silencing activity in vivo, showing the importance of the high fidelity to make 21-nt siRNAs. We propose that the 5'-monophosphate of a long dsRNA substrate is anchored by the phosphate-binding pocket in the Dicer-2 PAZ domain and the distance between the pocket and the RNA cleavage active site in the RNaseIII domain corresponds to the 21-nt pitch in the A-form duplex of a long dsRNA substrate, resulting in high-fidelity 21-nt siRNA production. This study sheds light on the molecular mechanism by which Dicer-2 produces 21-nt siRNAs with a remarkably high fidelity for efficient RNA silencing.","author":[{"dropping-particle":"","family":"Kandasamy","given":"Suresh K","non-dropping-particle":"","parse-names":false,"suffix":""},{"dropping-particle":"","family":"Fukunaga","given":"Ryuya","non-dropping-particle":"","parse-names":false,"suffix":""}],"container-title":"Proceedings of the National Academy of Sciences of the United States of America","id":"ITEM-1","issue":"49","issued":{"date-parts":[["2016","12","6"]]},"page":"14031-14036","publisher":"National Academy of Sciences","title":"Phosphate-binding pocket in Dicer-2 PAZ domain for high-fidelity siRNA production.","type":"article-journal","volume":"113"},"uris":["http://www.mendeley.com/documents/?uuid=90bef9ed-5b73-3b06-9f4a-a167e60a5f1d"]}],"mendeley":{"formattedCitation":"(Kandasamy and Fukunaga, 2016)","plainTextFormattedCitation":"(Kandasamy and Fukunaga, 2016)","previouslyFormattedCitation":"(Kandasamy and Fukunaga, 2016)"},"properties":{"noteIndex":0},"schema":"https://github.com/citation-style-language/schema/raw/master/csl-citation.json"}</w:instrText>
      </w:r>
      <w:r w:rsidR="005C0E76">
        <w:fldChar w:fldCharType="separate"/>
      </w:r>
      <w:r w:rsidRPr="007958D9">
        <w:rPr>
          <w:noProof/>
        </w:rPr>
        <w:t>(Kandasamy and Fukunaga, 2016)</w:t>
      </w:r>
      <w:r w:rsidR="005C0E76">
        <w:fldChar w:fldCharType="end"/>
      </w:r>
      <w:r>
        <w:t xml:space="preserve"> and therefore the ability of both types of domains to bind chemically modified dsRNA is relevant to how well Dicer-2 can bind the dsRNA overall. Insect Dicer-2 binds the 3’ overhang of the dsRNA with the PAZ domain, after which the rest of the protein is brought to lie along the length of the dsRNA, and the two RNase III domains form an internal pseudodimer which cleaves the dsRNA to release an siRNA </w:t>
      </w:r>
      <w:r w:rsidR="005C0E76">
        <w:fldChar w:fldCharType="begin" w:fldLock="1"/>
      </w:r>
      <w:r>
        <w:instrText>ADDIN CSL_CITATION {"citationItems":[{"id":"ITEM-1","itemData":{"DOI":"10.1126/science.aaq0921","ISSN":"0036-8075","PMID":"29269422","abstract":"Invertebrates rely on Dicer to cleave viral double-stranded RNA (dsRNA), and Drosophila Dicer-2 distinguishes dsRNA substrates by their termini. Blunt termini promote processive cleavage, while 3' overhanging termini are cleaved distributively. To understand this discrimination, we used cryo-electron microscopy to solve structures of Drosophila Dicer-2 alone and in complex with blunt dsRNA. Whereas the Platform-PAZ domains have been considered the only Dicer domains that bind dsRNA termini, unexpectedly, we found that the helicase domain is required for binding blunt, but not 3' overhanging, termini. We further showed that blunt dsRNA is locally unwound and threaded through the helicase domain in an adenosine triphosphate-dependent manner. Our studies reveal a previously unrecognized mechanism for optimizing antiviral defense and set the stage for the discovery of helicase-dependent functions in other Dicers.","author":[{"dropping-particle":"","family":"Sinha","given":"Niladri K.","non-dropping-particle":"","parse-names":false,"suffix":""},{"dropping-particle":"","family":"Iwasa","given":"Janet","non-dropping-particle":"","parse-names":false,"suffix":""},{"dropping-particle":"","family":"Shen","given":"Peter S.","non-dropping-particle":"","parse-names":false,"suffix":""},{"dropping-particle":"","family":"Bass","given":"Brenda L.","non-dropping-particle":"","parse-names":false,"suffix":""}],"container-title":"Science","id":"ITEM-1","issue":"6373","issued":{"date-parts":[["2018","1","19"]]},"page":"329-334","title":"Dicer uses distinct modules for recognizing dsRNA termini","type":"article-journal","volume":"359"},"uris":["http://www.mendeley.com/documents/?uuid=ac13ab2e-be6e-3f3d-a034-d3cd4ee29e58"]}],"mendeley":{"formattedCitation":"(Sinha &lt;i&gt;et al.&lt;/i&gt;, 2018)","plainTextFormattedCitation":"(Sinha et al., 2018)","previouslyFormattedCitation":"(Sinha &lt;i&gt;et al.&lt;/i&gt;, 2018)"},"properties":{"noteIndex":0},"schema":"https://github.com/citation-style-language/schema/raw/master/csl-citation.json"}</w:instrText>
      </w:r>
      <w:r w:rsidR="005C0E76">
        <w:fldChar w:fldCharType="separate"/>
      </w:r>
      <w:r w:rsidRPr="00A73B8F">
        <w:rPr>
          <w:noProof/>
        </w:rPr>
        <w:t xml:space="preserve">(Sinha </w:t>
      </w:r>
      <w:r w:rsidRPr="00A73B8F">
        <w:rPr>
          <w:i/>
          <w:noProof/>
        </w:rPr>
        <w:t>et al.</w:t>
      </w:r>
      <w:r w:rsidRPr="00A73B8F">
        <w:rPr>
          <w:noProof/>
        </w:rPr>
        <w:t>, 2018)</w:t>
      </w:r>
      <w:r w:rsidR="005C0E76">
        <w:fldChar w:fldCharType="end"/>
      </w:r>
      <w:r>
        <w:t xml:space="preserve">. Sinha et al, also demonstrated that </w:t>
      </w:r>
      <w:r w:rsidRPr="00A73B8F">
        <w:rPr>
          <w:i/>
        </w:rPr>
        <w:t>Drosophila</w:t>
      </w:r>
      <w:r>
        <w:t xml:space="preserve"> Dicer-2 has a method of cleaving blunt-ended dsRNA by binding the blunt terminus via the helicase domain, locally unwi</w:t>
      </w:r>
      <w:r w:rsidRPr="00A73B8F">
        <w:t>nd</w:t>
      </w:r>
      <w:r>
        <w:t>ing the dsRNA</w:t>
      </w:r>
      <w:r w:rsidRPr="00A73B8F">
        <w:t xml:space="preserve"> and thread</w:t>
      </w:r>
      <w:r>
        <w:t>ing</w:t>
      </w:r>
      <w:r w:rsidRPr="00A73B8F">
        <w:t xml:space="preserve"> </w:t>
      </w:r>
      <w:r>
        <w:t xml:space="preserve">it </w:t>
      </w:r>
      <w:r w:rsidRPr="00A73B8F">
        <w:t>through the helicase domain in an</w:t>
      </w:r>
      <w:r>
        <w:t xml:space="preserve"> ATP-dependent process. Our results demonstrate that unmodified dsRNA IVT products are cleaved by </w:t>
      </w:r>
      <w:r w:rsidRPr="00A73B8F">
        <w:rPr>
          <w:i/>
        </w:rPr>
        <w:t>Giardia</w:t>
      </w:r>
      <w:r>
        <w:t xml:space="preserve"> Dicer. It has previously been demonstrated that products of </w:t>
      </w:r>
      <w:r w:rsidRPr="009D2D66">
        <w:rPr>
          <w:i/>
        </w:rPr>
        <w:t>in vitro</w:t>
      </w:r>
      <w:r>
        <w:t xml:space="preserve"> transcription by T7 RNA polymerase may have up to three additional 5’ G residues, and 3’ overhangs of up to 12 additional nucleotides at the 3’ end (n + 12) as determined by RNAseq, with the n + 2 product being most abundant for high yield transcription reactions </w:t>
      </w:r>
      <w:r w:rsidR="005C0E76">
        <w:fldChar w:fldCharType="begin" w:fldLock="1"/>
      </w:r>
      <w:r>
        <w:instrText>ADDIN CSL_CITATION {"citationItems":[{"id":"ITEM-1","itemData":{"DOI":"10.1093/nar/gky796","ISSN":"0305-1048","author":[{"dropping-particle":"","family":"Gholamalipour","given":"Yasaman","non-dropping-particle":"","parse-names":false,"suffix":""},{"dropping-particle":"","family":"Karunanayake Mudiyanselage","given":"Aruni","non-dropping-particle":"","parse-names":false,"suffix":""},{"dropping-particle":"","family":"Martin","given":"Craig T","non-dropping-particle":"","parse-names":false,"suffix":""}],"container-title":"Nucleic Acids Research","id":"ITEM-1","issue":"18","issued":{"date-parts":[["2018","10","12"]]},"page":"9253-9263","publisher":"Narnia","title":"3′ end additions by T7 RNA polymerase are RNA self-templated, distributive and diverse in character—RNA-Seq analyses","type":"article-journal","volume":"46"},"uris":["http://www.mendeley.com/documents/?uuid=e454bb37-47c8-3b29-900f-0a23a7a73ffb"]}],"mendeley":{"formattedCitation":"(Gholamalipour, Karunanayake Mudiyanselage and Martin, 2018)","plainTextFormattedCitation":"(Gholamalipour, Karunanayake Mudiyanselage and Martin, 2018)","previouslyFormattedCitation":"(Gholamalipour, Karunanayake Mudiyanselage and Martin, 2018)"},"properties":{"noteIndex":0},"schema":"https://github.com/citation-style-language/schema/raw/master/csl-citation.json"}</w:instrText>
      </w:r>
      <w:r w:rsidR="005C0E76">
        <w:fldChar w:fldCharType="separate"/>
      </w:r>
      <w:r w:rsidRPr="009D2D66">
        <w:rPr>
          <w:noProof/>
        </w:rPr>
        <w:t>(Gholamalipour, Karunanayake Mudiyanselage and Martin, 2018)</w:t>
      </w:r>
      <w:r w:rsidR="005C0E76">
        <w:fldChar w:fldCharType="end"/>
      </w:r>
      <w:r>
        <w:t xml:space="preserve">. The study also proposed a mechanism by which T7 polymerase switches from the DNA to bind to the end of the RNA product and continues synthesis of further RNA using the initial RNA product as a template, in a process termed primer extension. This results in double-stranded hairpin regions at the end of single stranded transcripts, which will subsequently affect the binding of complimentary ssRNA transcripts into dsRNA, and how Dicer enzymes deal with the initial termini. However, it has </w:t>
      </w:r>
      <w:r>
        <w:lastRenderedPageBreak/>
        <w:t xml:space="preserve">previously been demonstrated that Giardia Dicer can process blunt-ended dsRNA, </w:t>
      </w:r>
      <w:r w:rsidR="005C0E76">
        <w:fldChar w:fldCharType="begin" w:fldLock="1"/>
      </w:r>
      <w:r>
        <w:instrText>ADDIN CSL_CITATION {"citationItems":[{"id":"ITEM-1","itemData":{"DOI":"10.1038/nature10198","ISSN":"1476-4687","PMID":"21753850","abstract":"A hallmark of RNA silencing is a class of approximately 22-nucleotide RNAs that are processed from double-stranded RNA precursors by Dicer. Accurate processing by Dicer is crucial for the functionality of microRNAs (miRNAs). The current model posits that Dicer selects cleavage sites by measuring a set distance from the 3' overhang of the double-stranded RNA terminus. Here we report that human Dicer anchors not only the 3' end but also the 5' end, with the cleavage site determined mainly by the distance (</w:instrText>
      </w:r>
      <w:r>
        <w:rPr>
          <w:rFonts w:ascii="Cambria Math" w:hAnsi="Cambria Math" w:cs="Cambria Math"/>
        </w:rPr>
        <w:instrText>∼</w:instrText>
      </w:r>
      <w:r>
        <w:rPr>
          <w:rFonts w:ascii="Calibri" w:hAnsi="Calibri" w:cs="Calibri"/>
        </w:rPr>
        <w:instrText>22 nucleotides) from the 5' end (5' counting rule). This cleavage requires a 5'-terminal phosphate group. Further, we identify a novel b</w:instrText>
      </w:r>
      <w:r>
        <w:instrText>asic motif (5' pocket) in human Dicer that recognizes the 5'-phosphorylated end. The 5' counting rule and the 5' anchoring residues are conserved in Drosophila Dicer-1, but not in Giardia Dicer. Mutations in the 5' pocket reduce processing efficiency and alter cleavage sites in vitro. Consistently, miRNA biogenesis is perturbed in vivo when Dicer-null embryonic stem cells are replenished with the 5'-pocket mutant. Thus, 5'-end recognition by Dicer is important for precise and effective biogenesis of miRNAs. Insights from this study should also afford practical benefits to the design of small hairpin RNAs.","author":[{"dropping-particle":"","family":"Park","given":"Jong-Eun","non-dropping-particle":"","parse-names":false,"suffix":""},{"dropping-particle":"","family":"Heo","given":"Inha","non-dropping-particle":"","parse-names":false,"suffix":""},{"dropping-particle":"","family":"Tian","given":"Yuan","non-dropping-particle":"","parse-names":false,"suffix":""},{"dropping-particle":"","family":"Simanshu","given":"Dhirendra K","non-dropping-particle":"","parse-names":false,"suffix":""},{"dropping-particle":"","family":"Chang","given":"Hyeshik","non-dropping-particle":"","parse-names":false,"suffix":""},{"dropping-particle":"","family":"Jee","given":"David","non-dropping-particle":"","parse-names":false,"suffix":""},{"dropping-particle":"","family":"Patel","given":"Dinshaw J","non-dropping-particle":"","parse-names":false,"suffix":""},{"dropping-particle":"","family":"Kim","given":"V Narry","non-dropping-particle":"","parse-names":false,"suffix":""}],"container-title":"Nature","id":"ITEM-1","issue":"7355","issued":{"date-parts":[["2011","7","13"]]},"page":"201-5","publisher":"NIH Public Access","title":"Dicer recognizes the 5' end of RNA for efficient and accurate processing.","type":"article-journal","volume":"475"},"uris":["http://www.mendeley.com/documents/?uuid=a5d9154f-6512-37bc-98ea-9289ee0b6e89"]}],"mendeley":{"formattedCitation":"(Park &lt;i&gt;et al.&lt;/i&gt;, 2011)","plainTextFormattedCitation":"(Park et al., 2011)","previouslyFormattedCitation":"(Park &lt;i&gt;et al.&lt;/i&gt;, 2011)"},"properties":{"noteIndex":0},"schema":"https://github.com/citation-style-language/schema/raw/master/csl-citation.json"}</w:instrText>
      </w:r>
      <w:r w:rsidR="005C0E76">
        <w:fldChar w:fldCharType="separate"/>
      </w:r>
      <w:r w:rsidRPr="00A73B8F">
        <w:rPr>
          <w:noProof/>
        </w:rPr>
        <w:t xml:space="preserve">(Park </w:t>
      </w:r>
      <w:r w:rsidRPr="00A73B8F">
        <w:rPr>
          <w:i/>
          <w:noProof/>
        </w:rPr>
        <w:t>et al.</w:t>
      </w:r>
      <w:r w:rsidRPr="00A73B8F">
        <w:rPr>
          <w:noProof/>
        </w:rPr>
        <w:t>, 2011)</w:t>
      </w:r>
      <w:r w:rsidR="005C0E76">
        <w:fldChar w:fldCharType="end"/>
      </w:r>
      <w:r>
        <w:t xml:space="preserve">, despite the fact it contains only a PAZ domain and lacks dsRBD or helicase domains. RNase III domains alone are capable of cleaving dsRNA without other binding domains present, as seen with the Mini-III enzyme </w:t>
      </w:r>
      <w:r w:rsidR="005C0E76">
        <w:fldChar w:fldCharType="begin" w:fldLock="1"/>
      </w:r>
      <w:r>
        <w:instrText>ADDIN CSL_CITATION {"citationItems":[{"id":"ITEM-1","itemData":{"DOI":"10.1111/j.1365-2958.2008.06207.x","ISSN":"0950-382X","author":[{"dropping-particle":"","family":"Redko","given":"Yulia","non-dropping-particle":"","parse-names":false,"suffix":""},{"dropping-particle":"","family":"Bechhofer","given":"David H.","non-dropping-particle":"","parse-names":false,"suffix":""},{"dropping-particle":"","family":"Condon","given":"Ciarán","non-dropping-particle":"","parse-names":false,"suffix":""}],"container-title":"Molecular Microbiology","id":"ITEM-1","issue":"5","issued":{"date-parts":[["2008","6"]]},"page":"1096-1106","title":"Mini-III, an unusual member of the RNase III family of enzymes, catalyses 23S ribosomal RNA maturation in B. subtilis","type":"article-journal","volume":"68"},"uris":["http://www.mendeley.com/documents/?uuid=73d76d9a-d1fc-31a7-8b33-63cd623b0221"]}],"mendeley":{"formattedCitation":"(Redko, Bechhofer and Condon, 2008)","plainTextFormattedCitation":"(Redko, Bechhofer and Condon, 2008)","previouslyFormattedCitation":"(Redko, Bechhofer and Condon, 2008)"},"properties":{"noteIndex":0},"schema":"https://github.com/citation-style-language/schema/raw/master/csl-citation.json"}</w:instrText>
      </w:r>
      <w:r w:rsidR="005C0E76">
        <w:fldChar w:fldCharType="separate"/>
      </w:r>
      <w:r w:rsidRPr="00A73B8F">
        <w:rPr>
          <w:noProof/>
        </w:rPr>
        <w:t>(Redko, Bechhofer and Condon, 2008)</w:t>
      </w:r>
      <w:r w:rsidR="005C0E76">
        <w:fldChar w:fldCharType="end"/>
      </w:r>
      <w:r>
        <w:t xml:space="preserve"> and a truncated form of </w:t>
      </w:r>
      <w:r w:rsidRPr="002B56EF">
        <w:rPr>
          <w:i/>
        </w:rPr>
        <w:t>E. coli</w:t>
      </w:r>
      <w:r>
        <w:t xml:space="preserve"> RNase III lacking the dsRBD </w:t>
      </w:r>
      <w:r w:rsidR="005C0E76">
        <w:fldChar w:fldCharType="begin" w:fldLock="1"/>
      </w:r>
      <w:r>
        <w:instrText>ADDIN CSL_CITATION {"citationItems":[{"id":"ITEM-1","itemData":{"DOI":"10.1021/bi010022d","ISSN":"0006-2960","PMID":"11305928","abstract":"Escherichia coli ribonuclease III (EC 3.1.24) is a double-strand- (ds-) specific endoribonuclease involved in the maturation and decay of cellular, phage, and plasmid RNAs. RNase III is a homodimer and requires Mg(2+) to hydrolyze phosphodiesters. The RNase III polypeptide contains an N-terminal catalytic (nuclease) domain which exhibits eight highly conserved acidic residues, at least one of which (Glu117) is important for phosphodiester hydrolysis but not for substrate binding [Li and Nicholson (1996) EMBO J. 15, 1421-1433]. To determine the side chain requirements for activity, Glu117 was changed to glutamine or aspartic acid. The mutant proteins were purified as (His)(6)-tagged species, and both exhibited normal homodimeric behavior as shown by chemical cross-linking. The Glu117Gln mutant is unable to cleave substrate in vitro under all tested conditions but can bind substrate. The Glu117Asp mutant also is defective in cleavage while able to bind substrate. However, low level activity is observed at extended reaction times and high enzyme concentrations, with an estimated catalytic efficiency approximately 15 000-fold lower than that of RNase III. The activity of the Glu117Asp mutant but not that of the Glu117Gln mutant can be greatly enhanced by substituting Mn(2+) for Mg(2+), with the catalytic efficiency of the Glu117Asp-Mn(2+) holoenzyme approximately 400-fold lower than that of the RNase III-Mn(2+) holoenzyme. For RNase III, a Mn(2+) concentration of 1 mM provides optimal activity, while concentrations &gt;5 mM are inhibitory. In contrast, the Glu117Asp mutant is not inhibited by high concentrations of Mn(2+). Finally, high concentrations of Mg(2+) do not inhibit RNase III nor relieve the Mn(2+)-dependent inhibition. In summary, these experiments establish the stringent functional requirement for a precisely positioned carboxylic acid group at position 117 and reveal two classes of divalent metal ion binding sites on RNase III. One site binds either Mg(2+) or Mn(2+) and supports catalysis, while the other site is specific for Mn(2+) and confers inhibition. Glu117 is important for the function of both sites. The implications of these findings on the RNase III catalytic mechanism are discussed.","author":[{"dropping-particle":"","family":"Sun","given":"Weimei","non-dropping-particle":"","parse-names":false,"suffix":""},{"dropping-particle":"","family":"Nicholson","given":"Allen W.","non-dropping-particle":"","parse-names":false,"suffix":""}],"container-title":"Biochemistry","id":"ITEM-1","issue":"16","issued":{"date-parts":[["2001","4","24"]]},"page":"5102-5110","title":"Mechanism of Action of &lt;i&gt;Escherichia coli&lt;/i&gt; Ribonuclease III. Stringent Chemical Requirement for the Glutamic Acid 117 Side Chain and Mn &lt;sup&gt;2+&lt;/sup&gt; Rescue of the Glu117Asp Mutant &lt;sup&gt;†&lt;/sup&gt;","type":"article-journal","volume":"40"},"uris":["http://www.mendeley.com/documents/?uuid=f841efce-cfbe-34e1-b31b-ef40a2f39f61"]}],"mendeley":{"formattedCitation":"(Sun and Nicholson, 2001)","plainTextFormattedCitation":"(Sun and Nicholson, 2001)","previouslyFormattedCitation":"(Sun and Nicholson, 2001)"},"properties":{"noteIndex":0},"schema":"https://github.com/citation-style-language/schema/raw/master/csl-citation.json"}</w:instrText>
      </w:r>
      <w:r w:rsidR="005C0E76">
        <w:fldChar w:fldCharType="separate"/>
      </w:r>
      <w:r w:rsidRPr="002B56EF">
        <w:rPr>
          <w:noProof/>
        </w:rPr>
        <w:t>(Sun and Nicholson, 2001)</w:t>
      </w:r>
      <w:r w:rsidR="005C0E76">
        <w:fldChar w:fldCharType="end"/>
      </w:r>
      <w:r>
        <w:t xml:space="preserve">. It is therefore assumed </w:t>
      </w:r>
      <w:r w:rsidRPr="00A73B8F">
        <w:rPr>
          <w:i/>
        </w:rPr>
        <w:t>Giardia</w:t>
      </w:r>
      <w:r>
        <w:t xml:space="preserve"> Dicer relies on its RNase III domains for both binding and cleavage of the first esiRNA generated from the blunt terminus of IVT-produced dsRNA. The size specificity of </w:t>
      </w:r>
      <w:r w:rsidRPr="00A73B8F">
        <w:rPr>
          <w:i/>
        </w:rPr>
        <w:t>Giardia</w:t>
      </w:r>
      <w:r>
        <w:t xml:space="preserve"> Dicer is lost and a larger esiRNA is produced when it is presented with a blunt-ended substrate </w:t>
      </w:r>
      <w:r w:rsidR="005C0E76">
        <w:fldChar w:fldCharType="begin" w:fldLock="1"/>
      </w:r>
      <w:r>
        <w:instrText>ADDIN CSL_CITATION {"citationItems":[{"id":"ITEM-1","itemData":{"DOI":"10.1016/J.MOLCEL.2007.07.007","ISSN":"1097-2765","abstract":"The fission yeast centromeric repeats are transcribed and ultimately processed into small interfering RNAs (siRNAs) that are required for heterochromatin formation. siRNA generation requires dsRNA synthesis by the RNA-directed RNA polymerase complex (RDRC) and processing by the Dicer ribonuclease. Here we show that Dcr1, the fission yeast Dicer, is physically associated with RDRC. Dcr1 generates siRNAs in an ATP-dependent manner that requires its conserved N-terminal helicase domain. Furthermore, C-terminal truncations of Dcr1 that abolish its interaction with RDRC, but can generate siRNA in vitro, abolish siRNA generation and heterochromatic gene silencing in vivo. Finally, reconstitution experiments show that the association of Dcr1 with RDRC strongly stimulates the dsRNA synthesis activity of RDRC. Our results suggest that heterochromatic dsRNA synthesis and siRNA generation are physically coupled processes. This coupling has implications for cis-restriction of siRNA-mediated heterochromatin assembly and for mechanisms that give rise to siRNA strand polarity.","author":[{"dropping-particle":"","family":"Colmenares","given":"Serafin U.","non-dropping-particle":"","parse-names":false,"suffix":""},{"dropping-particle":"","family":"Buker","given":"Shane M.","non-dropping-particle":"","parse-names":false,"suffix":""},{"dropping-particle":"","family":"Buhler","given":"Marc","non-dropping-particle":"","parse-names":false,"suffix":""},{"dropping-particle":"","family":"Dlakić","given":"Mensur","non-dropping-particle":"","parse-names":false,"suffix":""},{"dropping-particle":"","family":"Moazed","given":"Danesh","non-dropping-particle":"","parse-names":false,"suffix":""}],"container-title":"Molecular Cell","id":"ITEM-1","issue":"3","issued":{"date-parts":[["2007","8","3"]]},"page":"449-461","publisher":"Cell Press","title":"Coupling of Double-Stranded RNA Synthesis and siRNA Generation in Fission Yeast RNAi","type":"article-journal","volume":"27"},"uris":["http://www.mendeley.com/documents/?uuid=523d0a9c-af76-3323-9e2f-8cdf47e5c361"]}],"mendeley":{"formattedCitation":"(Colmenares &lt;i&gt;et al.&lt;/i&gt;, 2007)","plainTextFormattedCitation":"(Colmenares et al., 2007)","previouslyFormattedCitation":"(Colmenares &lt;i&gt;et al.&lt;/i&gt;, 2007)"},"properties":{"noteIndex":0},"schema":"https://github.com/citation-style-language/schema/raw/master/csl-citation.json"}</w:instrText>
      </w:r>
      <w:r w:rsidR="005C0E76">
        <w:fldChar w:fldCharType="separate"/>
      </w:r>
      <w:r w:rsidRPr="00A73B8F">
        <w:rPr>
          <w:noProof/>
        </w:rPr>
        <w:t xml:space="preserve">(Colmenares </w:t>
      </w:r>
      <w:r w:rsidRPr="00A73B8F">
        <w:rPr>
          <w:i/>
          <w:noProof/>
        </w:rPr>
        <w:t>et al.</w:t>
      </w:r>
      <w:r w:rsidRPr="00A73B8F">
        <w:rPr>
          <w:noProof/>
        </w:rPr>
        <w:t>, 2007)</w:t>
      </w:r>
      <w:r w:rsidR="005C0E76">
        <w:fldChar w:fldCharType="end"/>
      </w:r>
      <w:r>
        <w:t xml:space="preserve">. Presumably </w:t>
      </w:r>
      <w:r w:rsidRPr="006D7852">
        <w:rPr>
          <w:i/>
        </w:rPr>
        <w:t>Giardia</w:t>
      </w:r>
      <w:r>
        <w:t xml:space="preserve"> Dicer deals with IVT products which may or may not have hairpin loops at the termini in the same manner. More complex Dicer enzymes such as human Dicer can also cleave blunt ended dsRNAs by binding the dsRNA internally. There is an initial lag while this occurs, then once the first cut is made for each dsRNA molecule a 3’ overhang is generated at the new terminus, and the rest of the cleavage reactions of the dsRNA proceeds at the usual </w:t>
      </w:r>
      <w:r w:rsidRPr="00B57D20">
        <w:t xml:space="preserve">rate </w:t>
      </w:r>
      <w:r w:rsidR="005C0E76" w:rsidRPr="00B57D20">
        <w:fldChar w:fldCharType="begin" w:fldLock="1"/>
      </w:r>
      <w:r w:rsidRPr="00B57D20">
        <w:instrText>ADDIN CSL_CITATION {"citationItems":[{"id":"ITEM-1","itemData":{"DOI":"10.1093/emboj/cdf582","ISSN":"14602075","PMID":"12411505","abstract":"Dicer is a multi-domain RNase III-related endonuclease responsible for processing double-stranded RNA (dsRNA) to small interfering RNAs (siRNAs) during a process of RNA interference (RNAi). It also catalyses excision of the regulatory microRNAs from their precursors. In this work, we describe the purification and properties of a recombinant human Dicer. The protein cleaves dsRNAs into approximately 22 nucleotide siRNAs. Accumulation of processing intermediates of discrete sizes, and experiments performed with substrates containing modified ends, indicate that Dicer preferentially cleaves dsRNAs at their termini. Binding of the enzyme to the substrate can be uncoupled from the cleavage step by omitting Mg(2+) or performing the reaction at 4 degrees C. Activity of the recombinant Dicer, and of the endogenous protein present in mammalian cell extracts, is stimulated by limited proteolysis, and the proteolysed enzyme becomes active at 4 degrees C. Cleavage of dsRNA by purifed Dicer and the endogenous enzyme is ATP independent. Additional experiments suggest that if ATP participates in the Dicer reaction in mammalian cells, it might be involved in product release needed for the multiple turnover of the enzyme.","author":[{"dropping-particle":"","family":"Zhang","given":"H.","non-dropping-particle":"","parse-names":false,"suffix":""},{"dropping-particle":"","family":"Kolb","given":"Fabrice A","non-dropping-particle":"","parse-names":false,"suffix":""},{"dropping-particle":"","family":"Brondani","given":"Vincent","non-dropping-particle":"","parse-names":false,"suffix":""},{"dropping-particle":"","family":"Billy","given":"Eric","non-dropping-particle":"","parse-names":false,"suffix":""},{"dropping-particle":"","family":"Filipowicz","given":"Witold","non-dropping-particle":"","parse-names":false,"suffix":""}],"container-title":"The EMBO Journal","id":"ITEM-1","issue":"21","issued":{"date-parts":[["2002","11","1"]]},"page":"5875-5885","title":"Human Dicer preferentially cleaves dsRNAs at their termini without a requirement for ATP","type":"article-journal","volume":"21"},"uris":["http://www.mendeley.com/documents/?uuid=8af7bdcd-f262-3fb5-aff1-2a9794699d52"]},{"id":"ITEM-2","itemData":{"DOI":"10.1016/j.febslet.2005.08.079","ISSN":"00145793","author":[{"dropping-particle":"","family":"Hammond","given":"Scott M.","non-dropping-particle":"","parse-names":false,"suffix":""}],"container-title":"FEBS Letters","id":"ITEM-2","issue":"26","issued":{"date-parts":[["2005","10","31"]]},"page":"5822-5829","publisher":"John Wiley &amp; Sons, Ltd","title":"Dicing and slicing","type":"article-journal","volume":"579"},"uris":["http://www.mendeley.com/documents/?uuid=0b882f76-dc49-3636-a88c-daef61c15988"]}],"mendeley":{"formattedCitation":"(Zhang &lt;i&gt;et al.&lt;/i&gt;, 2002; Hammond, 2005)","plainTextFormattedCitation":"(Zhang et al., 2002; Hammond, 2005)","previouslyFormattedCitation":"(Zhang &lt;i&gt;et al.&lt;/i&gt;, 2002; Hammond, 2005)"},"properties":{"noteIndex":0},"schema":"https://github.com/citation-style-language/schema/raw/master/csl-citation.json"}</w:instrText>
      </w:r>
      <w:r w:rsidR="005C0E76" w:rsidRPr="00B57D20">
        <w:fldChar w:fldCharType="separate"/>
      </w:r>
      <w:r w:rsidRPr="00B57D20">
        <w:rPr>
          <w:noProof/>
        </w:rPr>
        <w:t xml:space="preserve">(Zhang </w:t>
      </w:r>
      <w:r w:rsidRPr="00B57D20">
        <w:rPr>
          <w:i/>
          <w:noProof/>
        </w:rPr>
        <w:t>et al.</w:t>
      </w:r>
      <w:r w:rsidRPr="00B57D20">
        <w:rPr>
          <w:noProof/>
        </w:rPr>
        <w:t>, 2002; Hammond, 2005)</w:t>
      </w:r>
      <w:r w:rsidR="005C0E76" w:rsidRPr="00B57D20">
        <w:fldChar w:fldCharType="end"/>
      </w:r>
      <w:r w:rsidRPr="00B57D20">
        <w:t>.</w:t>
      </w:r>
    </w:p>
    <w:p w:rsidR="0073713C" w:rsidRDefault="0073713C" w:rsidP="0073713C">
      <w:pPr>
        <w:spacing w:line="360" w:lineRule="auto"/>
        <w:ind w:firstLine="284"/>
      </w:pPr>
    </w:p>
    <w:p w:rsidR="0073713C" w:rsidRDefault="0073713C" w:rsidP="0073713C">
      <w:pPr>
        <w:spacing w:line="360" w:lineRule="auto"/>
        <w:ind w:firstLine="284"/>
      </w:pPr>
      <w:r>
        <w:t xml:space="preserve">Both of the tested enzymes contain RNase III domains </w:t>
      </w:r>
      <w:r w:rsidR="005C0E76">
        <w:fldChar w:fldCharType="begin" w:fldLock="1"/>
      </w:r>
      <w:r>
        <w:instrText>ADDIN CSL_CITATION {"citationItems":[{"id":"ITEM-1","itemData":{"DOI":"10.1111/j.1600-065X.2008.00722.x","ISSN":"1600-065X","PMID":"19120484","abstract":"Suppression of viral infection by RNA in a nucleotide sequence homology-dependent manner was first reported in plants in early 1990 s. Studies in the past 15 years have established a completely new RNA-based immune system against viruses that is mechanistically related to RNA silencing or RNA interference (RNAi). This viral immunity begins with recognition of viral double-stranded or structured RNA by the Dicer nuclease family of host immune receptors. In fungi, plants and invertebrates, the viral RNA trigger is processed into small interfering RNAs (siRNAs) to direct specific silencing of the homologous viral genomic and/or messenger RNAs by an RNaseH-like Argonaute protein. Deep sequencing of virus-derived siRNAs indicates that the immunity against viruses with a positive-strand RNA genome is induced by Dicer recognition of dsRNA formed during the initiation of viral progeny (+)RNA synthesis. The RNA-based immune pathway in these organisms overlaps the canonical dsRNA-siRNA pathway of RNAi and may require amplification of viral siRNAs by host RNA-dependent RNA polymerase in plants and nematodes. Production of virus-derived small RNAs is undetectable in mammalian cells infected with RNA viruses. However, infection of mammals with several nucleus-replicating DNA viruses induces production of virus-derived microRNAs capable of silencing host and viral mRNAs as found for viral siRNAs. Remarkably, recent studies indicate that prokaryotes also produce virus-derived small RNAs known as CRISPR RNAs to guide antiviral defense in a manner that has yet to be defined. In this article, we review the recent progress on the identification and mechanism of the key components including viral sensors, viral triggers, effectors, and amplifiers, of the small RNA-directed viral immunity. We also highlight some of the many unresolved questions.","author":[{"dropping-particle":"","family":"Aliyari","given":"Roghiyh","non-dropping-particle":"","parse-names":false,"suffix":""},{"dropping-particle":"","family":"Ding","given":"Shou-Wei","non-dropping-particle":"","parse-names":false,"suffix":""}],"container-title":"Immunological reviews","id":"ITEM-1","issue":"1","issued":{"date-parts":[["2009","1"]]},"page":"176-88","publisher":"NIH Public Access","title":"RNA-based viral immunity initiated by the Dicer family of host immune receptors.","type":"article-journal","volume":"227"},"uris":["http://www.mendeley.com/documents/?uuid=f675171b-f392-3c3e-be87-ef82254b2eaa"]}],"mendeley":{"formattedCitation":"(Aliyari and Ding, 2009)","plainTextFormattedCitation":"(Aliyari and Ding, 2009)","previouslyFormattedCitation":"(Aliyari and Ding, 2009)"},"properties":{"noteIndex":0},"schema":"https://github.com/citation-style-language/schema/raw/master/csl-citation.json"}</w:instrText>
      </w:r>
      <w:r w:rsidR="005C0E76">
        <w:fldChar w:fldCharType="separate"/>
      </w:r>
      <w:r w:rsidRPr="00295F46">
        <w:rPr>
          <w:noProof/>
        </w:rPr>
        <w:t>(Aliyari and Ding, 2009)</w:t>
      </w:r>
      <w:r w:rsidR="005C0E76">
        <w:fldChar w:fldCharType="end"/>
      </w:r>
      <w:r>
        <w:t xml:space="preserve">, as does Dicer-2 </w:t>
      </w:r>
      <w:r w:rsidR="005C0E76">
        <w:fldChar w:fldCharType="begin" w:fldLock="1"/>
      </w:r>
      <w:r>
        <w:instrText>ADDIN CSL_CITATION {"citationItems":[{"id":"ITEM-1","itemData":{"DOI":"10.1016/j.febslet.2005.08.079","ISSN":"00145793","author":[{"dropping-particle":"","family":"Hammond","given":"Scott M.","non-dropping-particle":"","parse-names":false,"suffix":""}],"container-title":"FEBS Letters","id":"ITEM-1","issue":"26","issued":{"date-parts":[["2005","10","31"]]},"page":"5822-5829","publisher":"John Wiley &amp; Sons, Ltd","title":"Dicing and slicing","type":"article-journal","volume":"579"},"uris":["http://www.mendeley.com/documents/?uuid=0b882f76-dc49-3636-a88c-daef61c15988"]}],"mendeley":{"formattedCitation":"(Hammond, 2005)","plainTextFormattedCitation":"(Hammond, 2005)","previouslyFormattedCitation":"(Hammond, 2005)"},"properties":{"noteIndex":0},"schema":"https://github.com/citation-style-language/schema/raw/master/csl-citation.json"}</w:instrText>
      </w:r>
      <w:r w:rsidR="005C0E76">
        <w:fldChar w:fldCharType="separate"/>
      </w:r>
      <w:r w:rsidRPr="00295F46">
        <w:rPr>
          <w:noProof/>
        </w:rPr>
        <w:t>(Hammond, 2005)</w:t>
      </w:r>
      <w:r w:rsidR="005C0E76">
        <w:fldChar w:fldCharType="end"/>
      </w:r>
      <w:r>
        <w:t xml:space="preserve">, therefore the ability of RNase III domains to cleave chemically modified dsRNA is also accounted for by the two model Dicer enzymes RNase III and </w:t>
      </w:r>
      <w:r w:rsidRPr="00370786">
        <w:rPr>
          <w:i/>
        </w:rPr>
        <w:t>Giardia</w:t>
      </w:r>
      <w:r>
        <w:t xml:space="preserve"> Dicer, and the ability of both enzymes to cleave subsequently bound dsRNA should be similar. The results obtained using bacterial RNase III to cleave chemically modified dsRNA demonstrate that the enzyme </w:t>
      </w:r>
      <w:r w:rsidRPr="002B56EF">
        <w:t>can fully process</w:t>
      </w:r>
      <w:r>
        <w:t xml:space="preserve"> 2’-fluoro and 5-hydroxymethyl dsRNAs to esiRNAs</w:t>
      </w:r>
      <w:r w:rsidR="0037701A">
        <w:t>, however there is conflicting evidence as to whether the enzyme can effectively process phosphorothioate dsRNA and further investigation is required</w:t>
      </w:r>
      <w:r>
        <w:t xml:space="preserve">. RNase III binds dsRNA using a dsRBD. While some dsRBD recognise specific sequences </w:t>
      </w:r>
      <w:r w:rsidR="005C0E76">
        <w:fldChar w:fldCharType="begin" w:fldLock="1"/>
      </w:r>
      <w:r>
        <w:instrText>ADDIN CSL_CITATION {"citationItems":[{"id":"ITEM-1","itemData":{"DOI":"10.1016/j.cell.2010.09.026","ISSN":"1097-4172","PMID":"20946981","abstract":"Sequence-dependent recognition of dsDNA-binding proteins is well understood, yet sequence-specific recognition of dsRNA by proteins remains largely unknown, despite their importance in RNA maturation pathways. Adenosine deaminases that act on RNA (ADARs) recode genomic information by the site-selective deamination of adenosine. Here, we report the solution structure of the ADAR2 double-stranded RNA-binding motifs (dsRBMs) bound to a stem-loop pre-mRNA encoding the R/G editing site of GluR-2. The structure provides a molecular basis for how dsRBMs recognize the shape, and also more surprisingly, the sequence of the dsRNA. The unexpected direct readout of the RNA primary sequence by dsRBMs is achieved via the minor groove of the dsRNA and this recognition is critical for both editing and binding affinity at the R/G site of GluR-2. More generally, our findings suggest a solution to the sequence-specific paradox faced by many dsRBM-containing proteins that are involved in post-transcriptional regulation of gene expression.","author":[{"dropping-particle":"","family":"Stefl","given":"Richard","non-dropping-particle":"","parse-names":false,"suffix":""},{"dropping-particle":"","family":"Oberstrass","given":"Florian C","non-dropping-particle":"","parse-names":false,"suffix":""},{"dropping-particle":"","family":"Hood","given":"Jennifer L","non-dropping-particle":"","parse-names":false,"suffix":""},{"dropping-particle":"","family":"Jourdan","given":"Muriel","non-dropping-particle":"","parse-names":false,"suffix":""},{"dropping-particle":"","family":"Zimmermann","given":"Michal","non-dropping-particle":"","parse-names":false,"suffix":""},{"dropping-particle":"","family":"Skrisovska","given":"Lenka","non-dropping-particle":"","parse-names":false,"suffix":""},{"dropping-particle":"","family":"Maris","given":"Christophe","non-dropping-particle":"","parse-names":false,"suffix":""},{"dropping-particle":"","family":"Peng","given":"Li","non-dropping-particle":"","parse-names":false,"suffix":""},{"dropping-particle":"","family":"Hofr","given":"Ctirad","non-dropping-particle":"","parse-names":false,"suffix":""},{"dropping-particle":"","family":"Emeson","given":"Ronald B","non-dropping-particle":"","parse-names":false,"suffix":""},{"dropping-particle":"","family":"Allain","given":"Frédéric H-T","non-dropping-particle":"","parse-names":false,"suffix":""}],"container-title":"Cell","id":"ITEM-1","issue":"2","issued":{"date-parts":[["2010","10","15"]]},"page":"225-37","publisher":"NIH Public Access","title":"The solution structure of the ADAR2 dsRBM-RNA complex reveals a sequence-specific readout of the minor groove.","type":"article-journal","volume":"143"},"uris":["http://www.mendeley.com/documents/?uuid=6af2414c-9f5c-3575-bc8c-4b420ffb45a5"]}],"mendeley":{"formattedCitation":"(Stefl &lt;i&gt;et al.&lt;/i&gt;, 2010)","plainTextFormattedCitation":"(Stefl et al., 2010)","previouslyFormattedCitation":"(Stefl &lt;i&gt;et al.&lt;/i&gt;, 2010)"},"properties":{"noteIndex":0},"schema":"https://github.com/citation-style-language/schema/raw/master/csl-citation.json"}</w:instrText>
      </w:r>
      <w:r w:rsidR="005C0E76">
        <w:fldChar w:fldCharType="separate"/>
      </w:r>
      <w:r w:rsidRPr="00181332">
        <w:rPr>
          <w:noProof/>
        </w:rPr>
        <w:t xml:space="preserve">(Stefl </w:t>
      </w:r>
      <w:r w:rsidRPr="00181332">
        <w:rPr>
          <w:i/>
          <w:noProof/>
        </w:rPr>
        <w:t>et al.</w:t>
      </w:r>
      <w:r w:rsidRPr="00181332">
        <w:rPr>
          <w:noProof/>
        </w:rPr>
        <w:t>, 2010)</w:t>
      </w:r>
      <w:r w:rsidR="005C0E76">
        <w:fldChar w:fldCharType="end"/>
      </w:r>
      <w:r>
        <w:t xml:space="preserve"> these domains primarily bind by recognising an A-form RNA helix with a helix(α1)-helix(α2)-loop(L2) motif that bind A-form RNA across a segment comprising two minor grooves flanking a major groove </w:t>
      </w:r>
      <w:r w:rsidR="005C0E76">
        <w:fldChar w:fldCharType="begin" w:fldLock="1"/>
      </w:r>
      <w:r>
        <w:instrText>ADDIN CSL_CITATION {"citationItems":[{"id":"ITEM-1","itemData":{"DOI":"10.1007/s00018-012-1119-x","ISSN":"1420-9071","PMID":"22918483","abstract":"The double-stranded RNA binding domain (dsRBD) is a small protein domain of 65-70 amino acids adopting an αβββα fold, whose central property is to bind to double-stranded RNA (dsRNA). This domain is present in proteins implicated in many aspects of cellular life, including antiviral response, RNA editing, RNA processing, RNA transport and, last but not least, RNA silencing. Even though proteins containing dsRBDs can bind to very specific dsRNA targets in vivo, the binding of dsRBDs to dsRNA is commonly believed to be shape-dependent rather than sequence-specific. Interestingly, recent structural information on dsRNA recognition by dsRBDs opens the possibility that this domain performs a direct readout of RNA sequence in the minor groove, allowing a global reconsideration of the principles describing dsRNA recognition by dsRBDs. We review in this article the current structural and molecular knowledge on dsRBDs, emphasizing the intricate relationship between the amino acid sequence, the structure of the domain and its RNA recognition capacity. We especially focus on the molecular determinants of dsRNA recognition and describe how sequence discrimination can be achieved by this type of domain.","author":[{"dropping-particle":"","family":"Masliah","given":"Grégoire","non-dropping-particle":"","parse-names":false,"suffix":""},{"dropping-particle":"","family":"Barraud","given":"Pierre","non-dropping-particle":"","parse-names":false,"suffix":""},{"dropping-particle":"","family":"Allain","given":"Frédéric H-T","non-dropping-particle":"","parse-names":false,"suffix":""}],"container-title":"Cellular and molecular life sciences : CMLS","id":"ITEM-1","issue":"11","issued":{"date-parts":[["2013","6"]]},"page":"1875-95","publisher":"Inserm","title":"RNA recognition by double-stranded RNA binding domains: a matter of shape and sequence.","type":"article-journal","volume":"70"},"uris":["http://www.mendeley.com/documents/?uuid=1d6be4d6-608d-34c3-a444-24a4280f5824"]}],"mendeley":{"formattedCitation":"(Masliah, Barraud and Allain, 2013)","plainTextFormattedCitation":"(Masliah, Barraud and Allain, 2013)","previouslyFormattedCitation":"(Masliah, Barraud and Allain, 2013)"},"properties":{"noteIndex":0},"schema":"https://github.com/citation-style-language/schema/raw/master/csl-citation.json"}</w:instrText>
      </w:r>
      <w:r w:rsidR="005C0E76">
        <w:fldChar w:fldCharType="separate"/>
      </w:r>
      <w:r w:rsidRPr="00FA7D04">
        <w:rPr>
          <w:noProof/>
        </w:rPr>
        <w:t>(Masliah, Barraud and Allain, 2013)</w:t>
      </w:r>
      <w:r w:rsidR="005C0E76">
        <w:fldChar w:fldCharType="end"/>
      </w:r>
      <w:r>
        <w:t xml:space="preserve">. The specific interactions that comprise this binding mechanism described in Masliah et al (2013) and Gan et al (2006), and reviewed below, partly explain how RNase III and Dicer might interact with chemically modified dsRNA. </w:t>
      </w:r>
    </w:p>
    <w:p w:rsidR="0073713C" w:rsidRDefault="0073713C" w:rsidP="0073713C">
      <w:pPr>
        <w:spacing w:line="360" w:lineRule="auto"/>
        <w:ind w:firstLine="284"/>
      </w:pPr>
    </w:p>
    <w:p w:rsidR="0073713C" w:rsidRPr="00EE12BF" w:rsidRDefault="0073713C" w:rsidP="0073713C">
      <w:pPr>
        <w:spacing w:line="360" w:lineRule="auto"/>
        <w:ind w:firstLine="284"/>
        <w:rPr>
          <w:color w:val="FF0000"/>
        </w:rPr>
      </w:pPr>
      <w:r>
        <w:t xml:space="preserve">RNase III molecules bind to dsRNA overall using four different RNA binding motifs (RBMs), two of which are on the dsRBD and two of which are on the RNase III </w:t>
      </w:r>
      <w:r w:rsidRPr="000E25D8">
        <w:t xml:space="preserve">domain </w:t>
      </w:r>
      <w:r w:rsidR="005C0E76" w:rsidRPr="000E25D8">
        <w:fldChar w:fldCharType="begin" w:fldLock="1"/>
      </w:r>
      <w:r w:rsidRPr="000E25D8">
        <w:instrText>ADDIN CSL_CITATION {"citationItems":[{"id":"ITEM-1","itemData":{"DOI":"10.1016/J.CELL.2005.11.034","ISSN":"0092-8674","abstract":"Members of the ribonuclease III (RNase III) family are double-stranded RNA (dsRNA) specific endoribonucleases characterized by a signature motif in their active centers and a two-base 3′ overhang in their products. While Dicer, which produces small interfering RNAs, is currently the focus of intense interest, the structurally simpler bacterial RNase III serves as a paradigm for the entire family. Here, we present the crystal structure of an RNase III-product complex, the first catalytic complex observed for the family. A 7 residue linker within the protein facilitates induced fit in protein-RNA recognition. A pattern of protein-RNA interactions, defined by four RNA binding motifs in RNase III and three protein-interacting boxes in dsRNA, is responsible for substrate specificity, while conserved amino acid residues and divalent cations are responsible for scissile-bond cleavage. The structure reveals a wealth of information about the mechanism of RNA hydrolysis that can be extrapolated to other RNase III family members.","author":[{"dropping-particle":"","family":"Gan","given":"Jianhua","non-dropping-particle":"","parse-names":false,"suffix":""},{"dropping-particle":"","family":"Tropea","given":"Joseph E.","non-dropping-particle":"","parse-names":false,"suffix":""},{"dropping-particle":"","family":"Austin","given":"Brian P.","non-dropping-particle":"","parse-names":false,"suffix":""},{"dropping-particle":"","family":"Court","given":"Donald L.","non-dropping-particle":"","parse-names":false,"suffix":""},{"dropping-particle":"","family":"Waugh","given":"David S.","non-dropping-particle":"","parse-names":false,"suffix":""},{"dropping-particle":"","family":"Ji","given":"Xinhua","non-dropping-particle":"","parse-names":false,"suffix":""}],"container-title":"Cell","id":"ITEM-1","issue":"2","issued":{"date-parts":[["2006","1","27"]]},"page":"355-366","publisher":"Cell Press","title":"Structural Insight into the Mechanism of Double-Stranded RNA Processing by Ribonuclease III","type":"article-journal","volume":"124"},"uris":["http://www.mendeley.com/documents/?uuid=07c9b95d-d24c-3652-8cdd-bb64a5a3b888"]}],"mendeley":{"formattedCitation":"(Gan &lt;i&gt;et al.&lt;/i&gt;, 2006)","plainTextFormattedCitation":"(Gan et al., 2006)","previouslyFormattedCitation":"(Gan &lt;i&gt;et al.&lt;/i&gt;, 2006)"},"properties":{"noteIndex":0},"schema":"https://github.com/citation-style-language/schema/raw/master/csl-citation.json"}</w:instrText>
      </w:r>
      <w:r w:rsidR="005C0E76" w:rsidRPr="000E25D8">
        <w:fldChar w:fldCharType="separate"/>
      </w:r>
      <w:r w:rsidRPr="000E25D8">
        <w:rPr>
          <w:noProof/>
        </w:rPr>
        <w:t xml:space="preserve">(Gan </w:t>
      </w:r>
      <w:r w:rsidRPr="000E25D8">
        <w:rPr>
          <w:i/>
          <w:noProof/>
        </w:rPr>
        <w:t>et al.</w:t>
      </w:r>
      <w:r w:rsidRPr="000E25D8">
        <w:rPr>
          <w:noProof/>
        </w:rPr>
        <w:t>, 2006)</w:t>
      </w:r>
      <w:r w:rsidR="005C0E76" w:rsidRPr="000E25D8">
        <w:fldChar w:fldCharType="end"/>
      </w:r>
      <w:r w:rsidRPr="000E25D8">
        <w:t xml:space="preserve"> (see figure </w:t>
      </w:r>
      <w:r w:rsidR="009A0F4B" w:rsidRPr="000E25D8">
        <w:t>4.4 a</w:t>
      </w:r>
      <w:r w:rsidRPr="000E25D8">
        <w:t xml:space="preserve">). Gan et al determined that collectively the four RBMs form seven hydrogen bonds with 2’ hydroxyl groups. Four hydrogen bonds are formed by RBM1 alone which is on the dsRBD (see figure </w:t>
      </w:r>
      <w:r w:rsidR="009A0F4B" w:rsidRPr="000E25D8">
        <w:t>4.4 b</w:t>
      </w:r>
      <w:r w:rsidRPr="000E25D8">
        <w:t xml:space="preserve">), and RBM 2 from the dsRBD forms a further hydrogen bond. RBMs 3 and 4 are located on the </w:t>
      </w:r>
      <w:r w:rsidRPr="000E25D8">
        <w:lastRenderedPageBreak/>
        <w:t>RNase III domain and form a further hydrogen bond each with 2’ hydroxyl groups. In total</w:t>
      </w:r>
      <w:r>
        <w:t xml:space="preserve"> 49 hydrogen bonds, 11 salt bridges, and 23 water molecules facilitate interaction of RNase III with its dsRNA substrate, and as two thirds of these interactions involve the dsRBD, the dsRBD therefore dominates binding of the dsRNA. </w:t>
      </w:r>
    </w:p>
    <w:p w:rsidR="0073713C" w:rsidRDefault="0073713C" w:rsidP="0073713C">
      <w:pPr>
        <w:spacing w:line="360" w:lineRule="auto"/>
        <w:ind w:firstLine="284"/>
      </w:pPr>
      <w:r>
        <w:t>The dsRBD α2 helix contains a sequence of exposed conserved residues, KKxAK. dsRBDs “</w:t>
      </w:r>
      <w:r w:rsidRPr="00BE3D65">
        <w:t>achieve specific dsRNA recognition by making contacts to bases and ribose moieties located at two successive minor grooves and by contacting the phosphate backbone delimiting the intervening major groove</w:t>
      </w:r>
      <w:r>
        <w:t xml:space="preserve">” </w:t>
      </w:r>
      <w:r w:rsidR="005C0E76">
        <w:fldChar w:fldCharType="begin" w:fldLock="1"/>
      </w:r>
      <w:r>
        <w:instrText>ADDIN CSL_CITATION {"citationItems":[{"id":"ITEM-1","itemData":{"DOI":"10.1007/s00018-012-1119-x","ISSN":"1420-9071","PMID":"22918483","abstract":"The double-stranded RNA binding domain (dsRBD) is a small protein domain of 65-70 amino acids adopting an αβββα fold, whose central property is to bind to double-stranded RNA (dsRNA). This domain is present in proteins implicated in many aspects of cellular life, including antiviral response, RNA editing, RNA processing, RNA transport and, last but not least, RNA silencing. Even though proteins containing dsRBDs can bind to very specific dsRNA targets in vivo, the binding of dsRBDs to dsRNA is commonly believed to be shape-dependent rather than sequence-specific. Interestingly, recent structural information on dsRNA recognition by dsRBDs opens the possibility that this domain performs a direct readout of RNA sequence in the minor groove, allowing a global reconsideration of the principles describing dsRNA recognition by dsRBDs. We review in this article the current structural and molecular knowledge on dsRBDs, emphasizing the intricate relationship between the amino acid sequence, the structure of the domain and its RNA recognition capacity. We especially focus on the molecular determinants of dsRNA recognition and describe how sequence discrimination can be achieved by this type of domain.","author":[{"dropping-particle":"","family":"Masliah","given":"Grégoire","non-dropping-particle":"","parse-names":false,"suffix":""},{"dropping-particle":"","family":"Barraud","given":"Pierre","non-dropping-particle":"","parse-names":false,"suffix":""},{"dropping-particle":"","family":"Allain","given":"Frédéric H-T","non-dropping-particle":"","parse-names":false,"suffix":""}],"container-title":"Cellular and molecular life sciences : CMLS","id":"ITEM-1","issue":"11","issued":{"date-parts":[["2013","6"]]},"page":"1875-95","publisher":"Inserm","title":"RNA recognition by double-stranded RNA binding domains: a matter of shape and sequence.","type":"article-journal","volume":"70"},"uris":["http://www.mendeley.com/documents/?uuid=1d6be4d6-608d-34c3-a444-24a4280f5824"]}],"mendeley":{"formattedCitation":"(Masliah, Barraud and Allain, 2013)","plainTextFormattedCitation":"(Masliah, Barraud and Allain, 2013)","previouslyFormattedCitation":"(Masliah, Barraud and Allain, 2013)"},"properties":{"noteIndex":0},"schema":"https://github.com/citation-style-language/schema/raw/master/csl-citation.json"}</w:instrText>
      </w:r>
      <w:r w:rsidR="005C0E76">
        <w:fldChar w:fldCharType="separate"/>
      </w:r>
      <w:r w:rsidRPr="00BE3D65">
        <w:rPr>
          <w:noProof/>
        </w:rPr>
        <w:t>(Masliah, Barraud and Allain, 2013)</w:t>
      </w:r>
      <w:r w:rsidR="005C0E76">
        <w:fldChar w:fldCharType="end"/>
      </w:r>
      <w:r>
        <w:t>. Specifically, the amino groups of the three lysine residues (K), and the amide proton of the first lysine residue all interact with non-bridging oxygens of the dsRNA backbone in the major groove. This interaction is subtly different in the RNase III dsRBD as the third lysine is replaced by a glutamaic acid in that dsRBD, however there is an interaction with a third lysine located on the α1 helix which compensates. As this interaction is with non-bridging phosphate group oxygens, and these are the oxygen atoms</w:t>
      </w:r>
      <w:r w:rsidR="00DA03E0">
        <w:t xml:space="preserve"> of which one is</w:t>
      </w:r>
      <w:r>
        <w:t xml:space="preserve"> replaced by </w:t>
      </w:r>
      <w:r w:rsidR="00DA03E0">
        <w:t xml:space="preserve">a </w:t>
      </w:r>
      <w:r>
        <w:t xml:space="preserve">sulphur atom in phosphorothioate dsRNA, this suggests that the binding of the dsRBD to dsRNA </w:t>
      </w:r>
      <w:r w:rsidR="0037701A">
        <w:t>may be</w:t>
      </w:r>
      <w:r>
        <w:t xml:space="preserve"> affected at these sites by the phosphorothioate modifications, which could explain why</w:t>
      </w:r>
      <w:r w:rsidR="0037701A">
        <w:t xml:space="preserve"> some</w:t>
      </w:r>
      <w:r>
        <w:t xml:space="preserve"> phosphorothioate dsRNA </w:t>
      </w:r>
      <w:r w:rsidR="0037701A">
        <w:t xml:space="preserve">samples </w:t>
      </w:r>
      <w:r>
        <w:t>w</w:t>
      </w:r>
      <w:r w:rsidR="0037701A">
        <w:t>ere</w:t>
      </w:r>
      <w:r>
        <w:t xml:space="preserve"> poorly processed by RNase III, as hydrogen bonds involving sulphur atoms are weaker than those involving oxygen atoms, and therefore the binding of dsRBDs to phosphorothioate dsRNA is</w:t>
      </w:r>
      <w:r w:rsidR="00D27B3A">
        <w:t xml:space="preserve"> likely</w:t>
      </w:r>
      <w:r>
        <w:t xml:space="preserve"> weaker than that to unmodified dsRNA. </w:t>
      </w:r>
    </w:p>
    <w:p w:rsidR="0073713C" w:rsidRDefault="0073713C" w:rsidP="0073713C">
      <w:pPr>
        <w:spacing w:line="360" w:lineRule="auto"/>
        <w:ind w:firstLine="284"/>
      </w:pPr>
      <w:r>
        <w:t xml:space="preserve">There are also interactions of components of the α1 helix with bases, which can be either sequence non-specific or sequence specific, though it should be noted that these are always with hydrogen bonding groups, not the 5-carbon atom. This may explain why 5-hyroxymethyl modified dsRNA is processed well by RNase III. </w:t>
      </w:r>
    </w:p>
    <w:p w:rsidR="009A0F4B" w:rsidRDefault="0073713C" w:rsidP="0073713C">
      <w:pPr>
        <w:spacing w:line="360" w:lineRule="auto"/>
        <w:ind w:firstLine="284"/>
      </w:pPr>
      <w:r>
        <w:t xml:space="preserve">The RNase III dsRBD, like many of these domains, contains a glutamate residue on the α1 helix, the carboxylic group of which hydrogen bonds with the 2’-OH group of a ribose sugar. There is a further 2’-OH group interaction on the L2 loop, where a conserved histidine residue forms one hydrogen bond between its carbonyl group and the 2’-OH group on one strand of the dsRNA, and another hydrogen bond between the imidazole and the 2’-OH of the previous ribose on the other strand of the dsRNA. This large number of interactions with the 2’ ribose group would suggest that binding of the dsRBD to 2’-fluoro modified dsRNA may be affected. Hydrogen bonds involving fluorine atoms are stronger than those involving oxygen atoms, suggesting that 2’-fluoro modifications may increase the strength of binding of dsRBDs to dsRNA compared to unmodified dsRNA. However it should also be noted that fluorine atoms are smaller than hydroxyl groups, therefore the hydrogen bond between the histidine residue and a 2’-fluoro group is longer than that between the histidine residue and a 2’-OH group. This increased bond length will weaken the </w:t>
      </w:r>
      <w:r>
        <w:lastRenderedPageBreak/>
        <w:t>hydrogen bond and so the effect of the increased electronegativity of fluorine compared to oxygen may be cancelled out.</w:t>
      </w:r>
      <w:r w:rsidR="009A0F4B">
        <w:t xml:space="preserve"> </w:t>
      </w:r>
      <w:r>
        <w:t xml:space="preserve"> It is therefore likely that the RNase III dsRBD binds 2’-OH </w:t>
      </w:r>
      <w:r w:rsidR="009A0F4B">
        <w:t xml:space="preserve"> </w:t>
      </w:r>
      <w:r>
        <w:t xml:space="preserve">dsRNA and 2’-fluoro </w:t>
      </w:r>
    </w:p>
    <w:p w:rsidR="00185907" w:rsidRDefault="009A0F4B" w:rsidP="00185907">
      <w:pPr>
        <w:keepNext/>
        <w:spacing w:after="200"/>
        <w:jc w:val="left"/>
      </w:pPr>
      <w:r w:rsidRPr="009A0F4B">
        <w:rPr>
          <w:noProof/>
          <w:lang w:eastAsia="en-GB"/>
        </w:rPr>
        <w:drawing>
          <wp:inline distT="0" distB="0" distL="0" distR="0">
            <wp:extent cx="5731510" cy="5786621"/>
            <wp:effectExtent l="0" t="0" r="2540" b="0"/>
            <wp:docPr id="38" name="Objec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20680" cy="6179676"/>
                      <a:chOff x="1452228" y="532148"/>
                      <a:chExt cx="6120680" cy="6179676"/>
                    </a:xfrm>
                  </a:grpSpPr>
                  <a:pic>
                    <a:nvPicPr>
                      <a:cNvPr id="8" name="Picture 2" descr="C:\Users\John D Howard\Desktop\University\PhD\Thesis &amp; Papers - Data, Diagrams, Drafts\The Actual Thesis (OMFG WTF HOW)\Diagrams converted to pictures\Fig from Elsevier paper 3.jpg"/>
                      <a:cNvPicPr>
                        <a:picLocks noChangeAspect="1" noChangeArrowheads="1"/>
                      </a:cNvPicPr>
                    </a:nvPicPr>
                    <a:blipFill>
                      <a:blip r:embed="rId34" cstate="print"/>
                      <a:srcRect l="2550" t="48988" r="53254"/>
                      <a:stretch>
                        <a:fillRect/>
                      </a:stretch>
                    </a:blipFill>
                    <a:spPr bwMode="auto">
                      <a:xfrm>
                        <a:off x="5124636" y="3412468"/>
                        <a:ext cx="2376264" cy="3299356"/>
                      </a:xfrm>
                      <a:prstGeom prst="rect">
                        <a:avLst/>
                      </a:prstGeom>
                      <a:noFill/>
                    </a:spPr>
                  </a:pic>
                  <a:grpSp>
                    <a:nvGrpSpPr>
                      <a:cNvPr id="14" name="Group 13"/>
                      <a:cNvGrpSpPr/>
                    </a:nvGrpSpPr>
                    <a:grpSpPr>
                      <a:xfrm>
                        <a:off x="5016624" y="712168"/>
                        <a:ext cx="2556284" cy="2700300"/>
                        <a:chOff x="4548572" y="712168"/>
                        <a:chExt cx="2556284" cy="2700300"/>
                      </a:xfrm>
                    </a:grpSpPr>
                    <a:pic>
                      <a:nvPicPr>
                        <a:cNvPr id="6" name="Picture 2" descr="C:\Users\John D Howard\Desktop\University\PhD\Thesis &amp; Papers - Data, Diagrams, Drafts\The Actual Thesis (OMFG WTF HOW)\Diagrams converted to pictures\Fig from Elsevier paper 2.jpg"/>
                        <a:cNvPicPr>
                          <a:picLocks noChangeAspect="1" noChangeArrowheads="1"/>
                        </a:cNvPicPr>
                      </a:nvPicPr>
                      <a:blipFill>
                        <a:blip r:embed="rId35" cstate="print"/>
                        <a:srcRect t="35152" r="52027" b="32811"/>
                        <a:stretch>
                          <a:fillRect/>
                        </a:stretch>
                      </a:blipFill>
                      <a:spPr bwMode="auto">
                        <a:xfrm>
                          <a:off x="4548572" y="712168"/>
                          <a:ext cx="2556284" cy="2700300"/>
                        </a:xfrm>
                        <a:prstGeom prst="rect">
                          <a:avLst/>
                        </a:prstGeom>
                        <a:noFill/>
                      </a:spPr>
                    </a:pic>
                    <a:sp>
                      <a:nvSpPr>
                        <a:cNvPr id="9" name="Rectangle 8"/>
                        <a:cNvSpPr/>
                      </a:nvSpPr>
                      <a:spPr>
                        <a:xfrm>
                          <a:off x="4620580" y="784176"/>
                          <a:ext cx="360040" cy="252028"/>
                        </a:xfrm>
                        <a:prstGeom prst="rect">
                          <a:avLst/>
                        </a:prstGeom>
                        <a:solidFill>
                          <a:schemeClr val="bg1"/>
                        </a:solidFill>
                        <a:ln>
                          <a:solidFill>
                            <a:schemeClr val="bg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15" name="Group 14"/>
                      <a:cNvGrpSpPr/>
                    </a:nvGrpSpPr>
                    <a:grpSpPr>
                      <a:xfrm>
                        <a:off x="1848272" y="3709836"/>
                        <a:ext cx="2628292" cy="2618956"/>
                        <a:chOff x="1848272" y="3448472"/>
                        <a:chExt cx="2628292" cy="2618956"/>
                      </a:xfrm>
                    </a:grpSpPr>
                    <a:pic>
                      <a:nvPicPr>
                        <a:cNvPr id="7" name="Picture 2" descr="C:\Users\John D Howard\Desktop\University\PhD\Thesis &amp; Papers - Data, Diagrams, Drafts\The Actual Thesis (OMFG WTF HOW)\Diagrams converted to pictures\Fig from Elsevier paper 2.jpg"/>
                        <a:cNvPicPr>
                          <a:picLocks noChangeAspect="1" noChangeArrowheads="1"/>
                        </a:cNvPicPr>
                      </a:nvPicPr>
                      <a:blipFill>
                        <a:blip r:embed="rId35" cstate="print"/>
                        <a:srcRect t="68524" r="52027"/>
                        <a:stretch>
                          <a:fillRect/>
                        </a:stretch>
                      </a:blipFill>
                      <a:spPr bwMode="auto">
                        <a:xfrm>
                          <a:off x="1848272" y="3448472"/>
                          <a:ext cx="2628292" cy="2618956"/>
                        </a:xfrm>
                        <a:prstGeom prst="rect">
                          <a:avLst/>
                        </a:prstGeom>
                        <a:noFill/>
                      </a:spPr>
                    </a:pic>
                    <a:sp>
                      <a:nvSpPr>
                        <a:cNvPr id="10" name="Rectangle 9"/>
                        <a:cNvSpPr/>
                      </a:nvSpPr>
                      <a:spPr>
                        <a:xfrm>
                          <a:off x="1920280" y="3520480"/>
                          <a:ext cx="360040" cy="252028"/>
                        </a:xfrm>
                        <a:prstGeom prst="rect">
                          <a:avLst/>
                        </a:prstGeom>
                        <a:solidFill>
                          <a:schemeClr val="bg1"/>
                        </a:solidFill>
                        <a:ln>
                          <a:solidFill>
                            <a:schemeClr val="bg1"/>
                          </a:solid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13" name="Group 12"/>
                      <a:cNvGrpSpPr/>
                    </a:nvGrpSpPr>
                    <a:grpSpPr>
                      <a:xfrm>
                        <a:off x="1884276" y="748172"/>
                        <a:ext cx="2520280" cy="2556284"/>
                        <a:chOff x="1884276" y="748172"/>
                        <a:chExt cx="2520280" cy="2556284"/>
                      </a:xfrm>
                    </a:grpSpPr>
                    <a:pic>
                      <a:nvPicPr>
                        <a:cNvPr id="4" name="Picture 3" descr="Fig from Elsevier paper.jpg"/>
                        <a:cNvPicPr>
                          <a:picLocks noChangeAspect="1"/>
                        </a:cNvPicPr>
                      </a:nvPicPr>
                      <a:blipFill>
                        <a:blip r:embed="rId36" cstate="print"/>
                        <a:stretch>
                          <a:fillRect/>
                        </a:stretch>
                      </a:blipFill>
                      <a:spPr>
                        <a:xfrm>
                          <a:off x="1884276" y="748172"/>
                          <a:ext cx="2520280" cy="2556284"/>
                        </a:xfrm>
                        <a:prstGeom prst="rect">
                          <a:avLst/>
                        </a:prstGeom>
                        <a:ln w="28575">
                          <a:noFill/>
                        </a:ln>
                      </a:spPr>
                    </a:pic>
                    <a:sp>
                      <a:nvSpPr>
                        <a:cNvPr id="11" name="Rectangle 10"/>
                        <a:cNvSpPr/>
                      </a:nvSpPr>
                      <a:spPr>
                        <a:xfrm>
                          <a:off x="1884276" y="748172"/>
                          <a:ext cx="360040" cy="144016"/>
                        </a:xfrm>
                        <a:prstGeom prst="rect">
                          <a:avLst/>
                        </a:prstGeom>
                        <a:solidFill>
                          <a:schemeClr val="bg1"/>
                        </a:solidFill>
                        <a:ln>
                          <a:no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3072408" y="748172"/>
                          <a:ext cx="360040" cy="144016"/>
                        </a:xfrm>
                        <a:prstGeom prst="rect">
                          <a:avLst/>
                        </a:prstGeom>
                        <a:solidFill>
                          <a:schemeClr val="bg1"/>
                        </a:solidFill>
                        <a:ln>
                          <a:noFill/>
                        </a:ln>
                      </a:spPr>
                      <a:txSp>
                        <a:txBody>
                          <a:bodyPr rtlCol="0" anchor="ctr"/>
                          <a:lstStyle>
                            <a:defPPr>
                              <a:defRPr lang="en-US"/>
                            </a:defPPr>
                            <a:lvl1pPr marL="0" algn="l" defTabSz="1280160" rtl="0" eaLnBrk="1" latinLnBrk="0" hangingPunct="1">
                              <a:defRPr sz="2500" kern="1200">
                                <a:solidFill>
                                  <a:schemeClr val="lt1"/>
                                </a:solidFill>
                                <a:latin typeface="+mn-lt"/>
                                <a:ea typeface="+mn-ea"/>
                                <a:cs typeface="+mn-cs"/>
                              </a:defRPr>
                            </a:lvl1pPr>
                            <a:lvl2pPr marL="640080" algn="l" defTabSz="1280160" rtl="0" eaLnBrk="1" latinLnBrk="0" hangingPunct="1">
                              <a:defRPr sz="2500" kern="1200">
                                <a:solidFill>
                                  <a:schemeClr val="lt1"/>
                                </a:solidFill>
                                <a:latin typeface="+mn-lt"/>
                                <a:ea typeface="+mn-ea"/>
                                <a:cs typeface="+mn-cs"/>
                              </a:defRPr>
                            </a:lvl2pPr>
                            <a:lvl3pPr marL="1280160" algn="l" defTabSz="1280160" rtl="0" eaLnBrk="1" latinLnBrk="0" hangingPunct="1">
                              <a:defRPr sz="2500" kern="1200">
                                <a:solidFill>
                                  <a:schemeClr val="lt1"/>
                                </a:solidFill>
                                <a:latin typeface="+mn-lt"/>
                                <a:ea typeface="+mn-ea"/>
                                <a:cs typeface="+mn-cs"/>
                              </a:defRPr>
                            </a:lvl3pPr>
                            <a:lvl4pPr marL="1920240" algn="l" defTabSz="1280160" rtl="0" eaLnBrk="1" latinLnBrk="0" hangingPunct="1">
                              <a:defRPr sz="2500" kern="1200">
                                <a:solidFill>
                                  <a:schemeClr val="lt1"/>
                                </a:solidFill>
                                <a:latin typeface="+mn-lt"/>
                                <a:ea typeface="+mn-ea"/>
                                <a:cs typeface="+mn-cs"/>
                              </a:defRPr>
                            </a:lvl4pPr>
                            <a:lvl5pPr marL="2560320" algn="l" defTabSz="1280160" rtl="0" eaLnBrk="1" latinLnBrk="0" hangingPunct="1">
                              <a:defRPr sz="2500" kern="1200">
                                <a:solidFill>
                                  <a:schemeClr val="lt1"/>
                                </a:solidFill>
                                <a:latin typeface="+mn-lt"/>
                                <a:ea typeface="+mn-ea"/>
                                <a:cs typeface="+mn-cs"/>
                              </a:defRPr>
                            </a:lvl5pPr>
                            <a:lvl6pPr marL="3200400" algn="l" defTabSz="1280160" rtl="0" eaLnBrk="1" latinLnBrk="0" hangingPunct="1">
                              <a:defRPr sz="2500" kern="1200">
                                <a:solidFill>
                                  <a:schemeClr val="lt1"/>
                                </a:solidFill>
                                <a:latin typeface="+mn-lt"/>
                                <a:ea typeface="+mn-ea"/>
                                <a:cs typeface="+mn-cs"/>
                              </a:defRPr>
                            </a:lvl6pPr>
                            <a:lvl7pPr marL="3840480" algn="l" defTabSz="1280160" rtl="0" eaLnBrk="1" latinLnBrk="0" hangingPunct="1">
                              <a:defRPr sz="2500" kern="1200">
                                <a:solidFill>
                                  <a:schemeClr val="lt1"/>
                                </a:solidFill>
                                <a:latin typeface="+mn-lt"/>
                                <a:ea typeface="+mn-ea"/>
                                <a:cs typeface="+mn-cs"/>
                              </a:defRPr>
                            </a:lvl7pPr>
                            <a:lvl8pPr marL="4480560" algn="l" defTabSz="1280160" rtl="0" eaLnBrk="1" latinLnBrk="0" hangingPunct="1">
                              <a:defRPr sz="2500" kern="1200">
                                <a:solidFill>
                                  <a:schemeClr val="lt1"/>
                                </a:solidFill>
                                <a:latin typeface="+mn-lt"/>
                                <a:ea typeface="+mn-ea"/>
                                <a:cs typeface="+mn-cs"/>
                              </a:defRPr>
                            </a:lvl8pPr>
                            <a:lvl9pPr marL="5120640" algn="l" defTabSz="1280160" rtl="0" eaLnBrk="1" latinLnBrk="0" hangingPunct="1">
                              <a:defRPr sz="25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6" name="TextBox 15"/>
                      <a:cNvSpPr txBox="1"/>
                    </a:nvSpPr>
                    <a:spPr>
                      <a:xfrm>
                        <a:off x="4652422" y="532148"/>
                        <a:ext cx="364202" cy="492443"/>
                      </a:xfrm>
                      <a:prstGeom prst="rect">
                        <a:avLst/>
                      </a:prstGeom>
                      <a:noFill/>
                    </a:spPr>
                    <a:txSp>
                      <a:txBody>
                        <a:bodyPr wrap="non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7" name="TextBox 16"/>
                      <a:cNvSpPr txBox="1"/>
                    </a:nvSpPr>
                    <a:spPr>
                      <a:xfrm>
                        <a:off x="1452228" y="532148"/>
                        <a:ext cx="349776" cy="492443"/>
                      </a:xfrm>
                      <a:prstGeom prst="rect">
                        <a:avLst/>
                      </a:prstGeom>
                      <a:noFill/>
                    </a:spPr>
                    <a:txSp>
                      <a:txBody>
                        <a:bodyPr wrap="non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8" name="TextBox 17"/>
                      <a:cNvSpPr txBox="1"/>
                    </a:nvSpPr>
                    <a:spPr>
                      <a:xfrm>
                        <a:off x="4652422" y="3556484"/>
                        <a:ext cx="364202" cy="492443"/>
                      </a:xfrm>
                      <a:prstGeom prst="rect">
                        <a:avLst/>
                      </a:prstGeom>
                      <a:noFill/>
                    </a:spPr>
                    <a:txSp>
                      <a:txBody>
                        <a:bodyPr wrap="non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sp>
                    <a:nvSpPr>
                      <a:cNvPr id="19" name="TextBox 18"/>
                      <a:cNvSpPr txBox="1"/>
                    </a:nvSpPr>
                    <a:spPr>
                      <a:xfrm>
                        <a:off x="1462492" y="3568097"/>
                        <a:ext cx="324128" cy="492443"/>
                      </a:xfrm>
                      <a:prstGeom prst="rect">
                        <a:avLst/>
                      </a:prstGeom>
                      <a:noFill/>
                    </a:spPr>
                    <a:txSp>
                      <a:txBody>
                        <a:bodyPr wrap="non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p>
    <w:p w:rsidR="006973D5" w:rsidRDefault="00185907" w:rsidP="006973D5">
      <w:pPr>
        <w:pStyle w:val="Caption"/>
        <w:spacing w:after="120"/>
        <w:rPr>
          <w:color w:val="auto"/>
        </w:rPr>
      </w:pPr>
      <w:bookmarkStart w:id="149" w:name="_Toc20411645"/>
      <w:r w:rsidRPr="00185907">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4</w:t>
      </w:r>
      <w:r w:rsidR="005C0E76">
        <w:rPr>
          <w:color w:val="auto"/>
        </w:rPr>
        <w:fldChar w:fldCharType="end"/>
      </w:r>
      <w:r w:rsidRPr="00185907">
        <w:rPr>
          <w:color w:val="auto"/>
        </w:rPr>
        <w:t xml:space="preserve"> Schematic Representation of RNase III-dsRNA Interactions.</w:t>
      </w:r>
      <w:bookmarkEnd w:id="149"/>
      <w:r w:rsidRPr="00185907">
        <w:rPr>
          <w:color w:val="auto"/>
        </w:rPr>
        <w:t xml:space="preserve"> </w:t>
      </w:r>
    </w:p>
    <w:p w:rsidR="00185907" w:rsidRPr="00185907" w:rsidRDefault="00185907" w:rsidP="006973D5">
      <w:pPr>
        <w:pStyle w:val="Caption"/>
        <w:spacing w:after="120"/>
        <w:rPr>
          <w:b w:val="0"/>
          <w:color w:val="auto"/>
        </w:rPr>
      </w:pPr>
      <w:r w:rsidRPr="00185907">
        <w:rPr>
          <w:b w:val="0"/>
          <w:color w:val="auto"/>
        </w:rPr>
        <w:t xml:space="preserve">(a) Left panel: The RNase III-dsRNA interactions observed for </w:t>
      </w:r>
      <w:r w:rsidRPr="00185907">
        <w:rPr>
          <w:b w:val="0"/>
          <w:i/>
          <w:iCs/>
          <w:color w:val="auto"/>
        </w:rPr>
        <w:t>Aquifex aeolicus</w:t>
      </w:r>
      <w:r w:rsidRPr="00185907">
        <w:rPr>
          <w:b w:val="0"/>
          <w:color w:val="auto"/>
        </w:rPr>
        <w:t>. The dimeric protein is shown as two rectangles labeled as “Subunit 1” (blue) and “Subunit 2” (red), and the four RBMs are shown as ellipsoids. The substrate is a stem-loop dsRNA with a 24 base pair double-stranded region. The scissile bonds are indicated with arrows, and the protein-interacting boxes in the dsRNA (proximal (P), middle (M), and distal (D) boxes) are outlined with rectangles and indicated with one-letter abbreviations. The nucleotide residues in the cleavage sites are numbered “R0”. The substrate (RNA 5) used in Gan et al (2006) and minimal dsRNA substrate are indicated with dashed lines. RBMs 1, 2, and 4 interact with the proximal, middle, and distal box of the dsRNA, respectively, whereas RBM 3 interacts with nucleotide residues R0 and R+1 of a single RNA strand. Right panel: Dicer-dsRNA interactions. In this panel, the left rectangle represents endoND1 (in blue) and the right rectangle represents endoND 2 and dsRBD (in red) of Dicer. (b) Binding of RBM 1 (1) to a dsRNA substrate. Dotted lines indicate hydrogen bonds between RBM 1 and the 2’ hydroxyls (in black) or between RBM 1 and the bases (in gray). Residues are represented by ball-and-stick models in atomic color scheme (carbon in black, nitrogen in blue, oxygen in red, and phosphorus in purple). (c) Interaction of RBM 3 (3) with a dsRNA substrate. (d) Stereoview showing the superposition of the cleavage site with (in blue) and without (in red) dsRNA bound.  ‘endoND’ = RNase III domain. Reproduced from Gan et al (2006) with permission.</w:t>
      </w:r>
    </w:p>
    <w:p w:rsidR="0073713C" w:rsidRPr="00EE12BF" w:rsidRDefault="0073713C" w:rsidP="00185907">
      <w:pPr>
        <w:spacing w:line="360" w:lineRule="auto"/>
        <w:rPr>
          <w:color w:val="FF0000"/>
        </w:rPr>
      </w:pPr>
      <w:r>
        <w:lastRenderedPageBreak/>
        <w:t xml:space="preserve">dsRNA approximately equally well, which is in line with RNase III being capable of binding and processing 2’-fluoro dsRNA. </w:t>
      </w:r>
    </w:p>
    <w:p w:rsidR="0073713C" w:rsidRDefault="0073713C" w:rsidP="0073713C">
      <w:pPr>
        <w:spacing w:line="360" w:lineRule="auto"/>
        <w:ind w:firstLine="284"/>
      </w:pPr>
      <w:r>
        <w:t xml:space="preserve">RNase III domains can also cleave dsRNA, without the need for an attached dsRBD, and this is the case for the Mini-III enzyme </w:t>
      </w:r>
      <w:r w:rsidR="005C0E76">
        <w:fldChar w:fldCharType="begin" w:fldLock="1"/>
      </w:r>
      <w:r>
        <w:instrText>ADDIN CSL_CITATION {"citationItems":[{"id":"ITEM-1","itemData":{"DOI":"10.1111/j.1365-2958.2008.06207.x","ISSN":"0950-382X","author":[{"dropping-particle":"","family":"Redko","given":"Yulia","non-dropping-particle":"","parse-names":false,"suffix":""},{"dropping-particle":"","family":"Bechhofer","given":"David H.","non-dropping-particle":"","parse-names":false,"suffix":""},{"dropping-particle":"","family":"Condon","given":"Ciarán","non-dropping-particle":"","parse-names":false,"suffix":""}],"container-title":"Molecular Microbiology","id":"ITEM-1","issue":"5","issued":{"date-parts":[["2008","6"]]},"page":"1096-1106","title":"Mini-III, an unusual member of the RNase III family of enzymes, catalyses 23S ribosomal RNA maturation in B. subtilis","type":"article-journal","volume":"68"},"uris":["http://www.mendeley.com/documents/?uuid=73d76d9a-d1fc-31a7-8b33-63cd623b0221"]}],"mendeley":{"formattedCitation":"(Redko, Bechhofer and Condon, 2008)","plainTextFormattedCitation":"(Redko, Bechhofer and Condon, 2008)","previouslyFormattedCitation":"(Redko, Bechhofer and Condon, 2008)"},"properties":{"noteIndex":0},"schema":"https://github.com/citation-style-language/schema/raw/master/csl-citation.json"}</w:instrText>
      </w:r>
      <w:r w:rsidR="005C0E76">
        <w:fldChar w:fldCharType="separate"/>
      </w:r>
      <w:r w:rsidRPr="00B57D20">
        <w:rPr>
          <w:noProof/>
        </w:rPr>
        <w:t>(Redko, Bechhofer and Condon, 2008)</w:t>
      </w:r>
      <w:r w:rsidR="005C0E76">
        <w:fldChar w:fldCharType="end"/>
      </w:r>
      <w:r>
        <w:t xml:space="preserve">. Issues with phosphorothioate modifications to dsRNA sterically hindering the RNase III domain may therefore be a factor in preventing RNase III cleaving </w:t>
      </w:r>
      <w:r w:rsidR="00D27B3A">
        <w:t xml:space="preserve">some </w:t>
      </w:r>
      <w:r>
        <w:t>phosphorothioate dsRNA</w:t>
      </w:r>
      <w:r w:rsidR="00D27B3A">
        <w:t>, though further investigation with a variety of substrates is required</w:t>
      </w:r>
      <w:r>
        <w:t xml:space="preserve">. </w:t>
      </w:r>
    </w:p>
    <w:p w:rsidR="0073713C" w:rsidRDefault="0073713C" w:rsidP="0073713C">
      <w:pPr>
        <w:spacing w:line="360" w:lineRule="auto"/>
        <w:ind w:firstLine="284"/>
      </w:pPr>
      <w:r>
        <w:t xml:space="preserve">The results obtained from using </w:t>
      </w:r>
      <w:r w:rsidRPr="00370786">
        <w:rPr>
          <w:i/>
        </w:rPr>
        <w:t>Giardia</w:t>
      </w:r>
      <w:r>
        <w:t xml:space="preserve"> Dicer to cleave chemically modified dsRNA show that this Dicer enzyme did not effectively process any of the chemically modified dsRNA to siRNAs. Giardia Dicer lacks a dsRBD, and therefore binds dsRNA exclusively by a PAZ domain. The PAZ domain of </w:t>
      </w:r>
      <w:r w:rsidRPr="00876193">
        <w:rPr>
          <w:i/>
        </w:rPr>
        <w:t>Giardia</w:t>
      </w:r>
      <w:r>
        <w:t xml:space="preserve"> Dicer specifically binds the 3’ two-base overhang at the end of a dsRNA substrate </w:t>
      </w:r>
      <w:r w:rsidR="005C0E76">
        <w:fldChar w:fldCharType="begin" w:fldLock="1"/>
      </w:r>
      <w:r>
        <w:instrText>ADDIN CSL_CITATION {"citationItems":[{"id":"ITEM-1","itemData":{"DOI":"10.1126/science.1121638","ISSN":"1095-9203","PMID":"16410517","abstract":"The specialized ribonuclease Dicer initiates RNA interference by cleaving double-stranded RNA (dsRNA) substrates into small fragments about 25 nucleotides in length. In the crystal structure of an intact Dicer enzyme, the PAZ domain, a module that binds the end of dsRNA, is separated from the two catalytic ribonuclease III (RNase III) domains by a flat, positively charged surface. The 65 angstrom distance between the PAZ and RNase III domains matches the length spanned by 25 base pairs of RNA. Thus, Dicer itself is a molecular ruler that recognizes dsRNA and cleaves a specified distance from the helical end.","author":[{"dropping-particle":"","family":"Macrae","given":"Ian J","non-dropping-particle":"","parse-names":false,"suffix":""},{"dropping-particle":"","family":"Zhou","given":"Kaihong","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 (New York, N.Y.)","id":"ITEM-1","issue":"5758","issued":{"date-parts":[["2006","1","13"]]},"page":"195-8","publisher":"American Association for the Advancement of Science","title":"Structural basis for double-stranded RNA processing by Dicer.","type":"article-journal","volume":"311"},"uris":["http://www.mendeley.com/documents/?uuid=a71ae084-c315-3c68-8c30-3f383c4173d6"]}],"mendeley":{"formattedCitation":"(Macrae &lt;i&gt;et al.&lt;/i&gt;, 2006)","plainTextFormattedCitation":"(Macrae et al., 2006)","previouslyFormattedCitation":"(Macrae &lt;i&gt;et al.&lt;/i&gt;, 2006)"},"properties":{"noteIndex":0},"schema":"https://github.com/citation-style-language/schema/raw/master/csl-citation.json"}</w:instrText>
      </w:r>
      <w:r w:rsidR="005C0E76">
        <w:fldChar w:fldCharType="separate"/>
      </w:r>
      <w:r w:rsidRPr="00876193">
        <w:rPr>
          <w:noProof/>
        </w:rPr>
        <w:t xml:space="preserve">(Macrae </w:t>
      </w:r>
      <w:r w:rsidRPr="00876193">
        <w:rPr>
          <w:i/>
          <w:noProof/>
        </w:rPr>
        <w:t>et al.</w:t>
      </w:r>
      <w:r w:rsidRPr="00876193">
        <w:rPr>
          <w:noProof/>
        </w:rPr>
        <w:t>, 2006)</w:t>
      </w:r>
      <w:r w:rsidR="005C0E76">
        <w:fldChar w:fldCharType="end"/>
      </w:r>
      <w:r>
        <w:t xml:space="preserve">. Binding of the overhang to PAZ domains is a result of conserved residues located in the inter-subdomain cleft </w:t>
      </w:r>
      <w:r w:rsidR="005C0E76">
        <w:fldChar w:fldCharType="begin" w:fldLock="1"/>
      </w:r>
      <w:r>
        <w:instrText>ADDIN CSL_CITATION {"citationItems":[{"id":"ITEM-1","itemData":{"DOI":"10.1038/nsb1016","abstract":"The presence of double-stranded RNA (dsRNA) in a eukaryotic cell can trigger an evolutionarily conserved gene silencing mechanism known as RNA interference or RNAi 1. This pathway generally responds to exogenously introduced dsRNAs by targeting homo-logous, endogenous RNAs for sequence-specific degradation 2. There are also numerous endogenous noncoding RNAs known as miRNAs, and at least some of these enter either the same or related silencing pathways, regulating gene expression at the level of either mRNA stability or protein synthesis 3. In many systems, the RNAi machinery has been linked to the metabolism of repetitive genomic sequences. For example, in Schizosaccharomyces pombe, an RNAi-related machinery is essential for regulating repetitive elements at the centromeres and mating type loci through effects on heterochromatin formation 4,5. A close relationship between these seemingly distinct processes is suggested by their sharing not only a common structure of the proposed silencing trigger, namely dsRNA, but also by the presence of certain common features that indicate related biochemical mechanisms. SiRNAs are a central element of RNAi-related pathways. These comprise a dsRNA of 19-24 nucleotides in which the double helix is bounded by two-nucleotide 3′ overhangs 6. Terminal phosphate groups at the 5′ ends of each strand have also been implicated as essential features for the incorporation of such small RNAs into the silencing pathway 7. SiRNAs are produced through the action of a specific RNase III family nuclease known as Dicer 8. This enzyme cleaves either dsRNAs or short hairpin miRNA precursors to generate the active forms of these silencing triggers 1. In the current working model of the RNAi mechanism, each of these structures enters an effector complex (or a series of related complexes) known as RISC, which contains as a signature component a member of the Argo-naute family of proteins 9,10. Argonaute proteins are evolutionarily conserved and are composed of two distinguishing domains, PAZ and PIWI 11,12. Whereas the PIWI domain is restricted to Argonautes, the PAZ domain is found also in Dicer family proteins 8. To better understand the biochemical function of Argonaute proteins, we have determined the crystal structure of the PAZ domain of Drosophila melanogaster Argonaute2 (Ago2-PAZ) and, based on this structural information, suggest a model for how this domain functions in Dicer and RISC. RESULTS Overall structure of Ago2-PAZ The cr…","author":[{"dropping-particle":"","family":"Song","given":"Ji-Joon","non-dropping-particle":"","parse-names":false,"suffix":""},{"dropping-particle":"","family":"Liu","given":"Jidong","non-dropping-particle":"","parse-names":false,"suffix":""},{"dropping-particle":"","family":"Tolia","given":"Niraj H","non-dropping-particle":"","parse-names":false,"suffix":""},{"dropping-particle":"","family":"Schneiderman","given":"Jonathan","non-dropping-particle":"","parse-names":false,"suffix":""},{"dropping-particle":"","family":"Smith","given":"Stephanie K","non-dropping-particle":"","parse-names":false,"suffix":""},{"dropping-particle":"","family":"Martienssen","given":"Robert A","non-dropping-particle":"","parse-names":false,"suffix":""},{"dropping-particle":"","family":"Hannon","given":"Gregory J","non-dropping-particle":"","parse-names":false,"suffix":""},{"dropping-particle":"","family":"Leemor Joshua-Tor","given":"&amp;","non-dropping-particle":"","parse-names":false,"suffix":""}],"container-title":"NATURE STRUCTURAL BIOLOGY","id":"ITEM-1","issued":{"date-parts":[["2003"]]},"title":"The crystal structure of the Argonaute2 PAZ domain reveals an RNA binding motif in RNAi effector complexes","type":"article-journal","volume":"10"},"uris":["http://www.mendeley.com/documents/?uuid=9c1be7c9-3082-385e-9b7f-de631d3157ea"]}],"mendeley":{"formattedCitation":"(Song &lt;i&gt;et al.&lt;/i&gt;, 2003)","plainTextFormattedCitation":"(Song et al., 2003)","previouslyFormattedCitation":"(Song &lt;i&gt;et al.&lt;/i&gt;, 2003)"},"properties":{"noteIndex":0},"schema":"https://github.com/citation-style-language/schema/raw/master/csl-citation.json"}</w:instrText>
      </w:r>
      <w:r w:rsidR="005C0E76">
        <w:fldChar w:fldCharType="separate"/>
      </w:r>
      <w:r w:rsidRPr="004B47EB">
        <w:rPr>
          <w:noProof/>
        </w:rPr>
        <w:t xml:space="preserve">(Song </w:t>
      </w:r>
      <w:r w:rsidRPr="004B47EB">
        <w:rPr>
          <w:i/>
          <w:noProof/>
        </w:rPr>
        <w:t>et al.</w:t>
      </w:r>
      <w:r w:rsidRPr="004B47EB">
        <w:rPr>
          <w:noProof/>
        </w:rPr>
        <w:t>, 2003)</w:t>
      </w:r>
      <w:r w:rsidR="005C0E76">
        <w:fldChar w:fldCharType="end"/>
      </w:r>
      <w:r>
        <w:t xml:space="preserve">. An arginine residue is proposed to interact with phosphate groups, which may be affected by the presence of phosphorothioate modifications in the dsRNA if the overhanging bases have phosphorothioate modifications.  There is also a stretch of conserved aromatic residues, removal of which disrupts binding of dsRNA with overhangs to the domain </w:t>
      </w:r>
      <w:r w:rsidR="005C0E76">
        <w:fldChar w:fldCharType="begin" w:fldLock="1"/>
      </w:r>
      <w:r>
        <w:instrText>ADDIN CSL_CITATION {"citationItems":[{"id":"ITEM-1","itemData":{"DOI":"10.1038/nsb1016","abstract":"The presence of double-stranded RNA (dsRNA) in a eukaryotic cell can trigger an evolutionarily conserved gene silencing mechanism known as RNA interference or RNAi 1. This pathway generally responds to exogenously introduced dsRNAs by targeting homo-logous, endogenous RNAs for sequence-specific degradation 2. There are also numerous endogenous noncoding RNAs known as miRNAs, and at least some of these enter either the same or related silencing pathways, regulating gene expression at the level of either mRNA stability or protein synthesis 3. In many systems, the RNAi machinery has been linked to the metabolism of repetitive genomic sequences. For example, in Schizosaccharomyces pombe, an RNAi-related machinery is essential for regulating repetitive elements at the centromeres and mating type loci through effects on heterochromatin formation 4,5. A close relationship between these seemingly distinct processes is suggested by their sharing not only a common structure of the proposed silencing trigger, namely dsRNA, but also by the presence of certain common features that indicate related biochemical mechanisms. SiRNAs are a central element of RNAi-related pathways. These comprise a dsRNA of 19-24 nucleotides in which the double helix is bounded by two-nucleotide 3′ overhangs 6. Terminal phosphate groups at the 5′ ends of each strand have also been implicated as essential features for the incorporation of such small RNAs into the silencing pathway 7. SiRNAs are produced through the action of a specific RNase III family nuclease known as Dicer 8. This enzyme cleaves either dsRNAs or short hairpin miRNA precursors to generate the active forms of these silencing triggers 1. In the current working model of the RNAi mechanism, each of these structures enters an effector complex (or a series of related complexes) known as RISC, which contains as a signature component a member of the Argo-naute family of proteins 9,10. Argonaute proteins are evolutionarily conserved and are composed of two distinguishing domains, PAZ and PIWI 11,12. Whereas the PIWI domain is restricted to Argonautes, the PAZ domain is found also in Dicer family proteins 8. To better understand the biochemical function of Argonaute proteins, we have determined the crystal structure of the PAZ domain of Drosophila melanogaster Argonaute2 (Ago2-PAZ) and, based on this structural information, suggest a model for how this domain functions in Dicer and RISC. RESULTS Overall structure of Ago2-PAZ The cr…","author":[{"dropping-particle":"","family":"Song","given":"Ji-Joon","non-dropping-particle":"","parse-names":false,"suffix":""},{"dropping-particle":"","family":"Liu","given":"Jidong","non-dropping-particle":"","parse-names":false,"suffix":""},{"dropping-particle":"","family":"Tolia","given":"Niraj H","non-dropping-particle":"","parse-names":false,"suffix":""},{"dropping-particle":"","family":"Schneiderman","given":"Jonathan","non-dropping-particle":"","parse-names":false,"suffix":""},{"dropping-particle":"","family":"Smith","given":"Stephanie K","non-dropping-particle":"","parse-names":false,"suffix":""},{"dropping-particle":"","family":"Martienssen","given":"Robert A","non-dropping-particle":"","parse-names":false,"suffix":""},{"dropping-particle":"","family":"Hannon","given":"Gregory J","non-dropping-particle":"","parse-names":false,"suffix":""},{"dropping-particle":"","family":"Leemor Joshua-Tor","given":"&amp;","non-dropping-particle":"","parse-names":false,"suffix":""}],"container-title":"NATURE STRUCTURAL BIOLOGY","id":"ITEM-1","issued":{"date-parts":[["2003"]]},"title":"The crystal structure of the Argonaute2 PAZ domain reveals an RNA binding motif in RNAi effector complexes","type":"article-journal","volume":"10"},"uris":["http://www.mendeley.com/documents/?uuid=9c1be7c9-3082-385e-9b7f-de631d3157ea"]}],"mendeley":{"formattedCitation":"(Song &lt;i&gt;et al.&lt;/i&gt;, 2003)","plainTextFormattedCitation":"(Song et al., 2003)","previouslyFormattedCitation":"(Song &lt;i&gt;et al.&lt;/i&gt;, 2003)"},"properties":{"noteIndex":0},"schema":"https://github.com/citation-style-language/schema/raw/master/csl-citation.json"}</w:instrText>
      </w:r>
      <w:r w:rsidR="005C0E76">
        <w:fldChar w:fldCharType="separate"/>
      </w:r>
      <w:r w:rsidRPr="00454B2D">
        <w:rPr>
          <w:noProof/>
        </w:rPr>
        <w:t xml:space="preserve">(Song </w:t>
      </w:r>
      <w:r w:rsidRPr="00454B2D">
        <w:rPr>
          <w:i/>
          <w:noProof/>
        </w:rPr>
        <w:t>et al.</w:t>
      </w:r>
      <w:r w:rsidRPr="00454B2D">
        <w:rPr>
          <w:noProof/>
        </w:rPr>
        <w:t>, 2003)</w:t>
      </w:r>
      <w:r w:rsidR="005C0E76">
        <w:fldChar w:fldCharType="end"/>
      </w:r>
      <w:r>
        <w:t xml:space="preserve">. It is suggested that these aromatic residues interact with the single-stranded overhanging bases of the dsRNA substrate by base stacking, which may be disrupted by the presence of either 2’-fluoro modifications in the ribose ring, or 5-hydroxymethyl modifications on the bases. 5-Hydroxymethyl modifications will also be exposed if they are on the two overhanging bases and may sterically hinder binding of the overhang. These proposed mechanisms for binding of dsRNA substrates to PAZ domains may explain why </w:t>
      </w:r>
      <w:r w:rsidRPr="005260C3">
        <w:rPr>
          <w:i/>
        </w:rPr>
        <w:t>Giardia</w:t>
      </w:r>
      <w:r>
        <w:t xml:space="preserve"> </w:t>
      </w:r>
      <w:r w:rsidRPr="005260C3">
        <w:t>Dicer</w:t>
      </w:r>
      <w:r>
        <w:t xml:space="preserve"> struggles to process 2’-fluoro and 5-hydroxymethyl modified dsRNA. </w:t>
      </w:r>
    </w:p>
    <w:p w:rsidR="0073713C" w:rsidRDefault="0073713C" w:rsidP="0073713C">
      <w:pPr>
        <w:spacing w:line="360" w:lineRule="auto"/>
        <w:ind w:firstLine="284"/>
      </w:pPr>
      <w:r>
        <w:t xml:space="preserve">Though </w:t>
      </w:r>
      <w:r w:rsidRPr="00B57D20">
        <w:rPr>
          <w:i/>
        </w:rPr>
        <w:t>Giardia</w:t>
      </w:r>
      <w:r>
        <w:t xml:space="preserve"> Dicer can process dsRNA by binding and cleaving internally without the need for PAZ domain binding (as in the case of blunt-ended dsRNA), cleavage of Dicer enzymes by internal binding is very slow </w:t>
      </w:r>
      <w:r w:rsidR="005C0E76">
        <w:fldChar w:fldCharType="begin" w:fldLock="1"/>
      </w:r>
      <w:r>
        <w:instrText>ADDIN CSL_CITATION {"citationItems":[{"id":"ITEM-1","itemData":{"DOI":"10.1093/emboj/cdf582","ISSN":"14602075","PMID":"12411505","abstract":"Dicer is a multi-domain RNase III-related endonuclease responsible for processing double-stranded RNA (dsRNA) to small interfering RNAs (siRNAs) during a process of RNA interference (RNAi). It also catalyses excision of the regulatory microRNAs from their precursors. In this work, we describe the purification and properties of a recombinant human Dicer. The protein cleaves dsRNAs into approximately 22 nucleotide siRNAs. Accumulation of processing intermediates of discrete sizes, and experiments performed with substrates containing modified ends, indicate that Dicer preferentially cleaves dsRNAs at their termini. Binding of the enzyme to the substrate can be uncoupled from the cleavage step by omitting Mg(2+) or performing the reaction at 4 degrees C. Activity of the recombinant Dicer, and of the endogenous protein present in mammalian cell extracts, is stimulated by limited proteolysis, and the proteolysed enzyme becomes active at 4 degrees C. Cleavage of dsRNA by purifed Dicer and the endogenous enzyme is ATP independent. Additional experiments suggest that if ATP participates in the Dicer reaction in mammalian cells, it might be involved in product release needed for the multiple turnover of the enzyme.","author":[{"dropping-particle":"","family":"Zhang","given":"H.","non-dropping-particle":"","parse-names":false,"suffix":""},{"dropping-particle":"","family":"Kolb","given":"Fabrice A","non-dropping-particle":"","parse-names":false,"suffix":""},{"dropping-particle":"","family":"Brondani","given":"Vincent","non-dropping-particle":"","parse-names":false,"suffix":""},{"dropping-particle":"","family":"Billy","given":"Eric","non-dropping-particle":"","parse-names":false,"suffix":""},{"dropping-particle":"","family":"Filipowicz","given":"Witold","non-dropping-particle":"","parse-names":false,"suffix":""}],"container-title":"The EMBO Journal","id":"ITEM-1","issue":"21","issued":{"date-parts":[["2002","11","1"]]},"page":"5875-5885","title":"Human Dicer preferentially cleaves dsRNAs at their termini without a requirement for ATP","type":"article-journal","volume":"21"},"uris":["http://www.mendeley.com/documents/?uuid=8af7bdcd-f262-3fb5-aff1-2a9794699d52"]}],"mendeley":{"formattedCitation":"(Zhang &lt;i&gt;et al.&lt;/i&gt;, 2002)","plainTextFormattedCitation":"(Zhang et al., 2002)","previouslyFormattedCitation":"(Zhang &lt;i&gt;et al.&lt;/i&gt;, 2002)"},"properties":{"noteIndex":0},"schema":"https://github.com/citation-style-language/schema/raw/master/csl-citation.json"}</w:instrText>
      </w:r>
      <w:r w:rsidR="005C0E76">
        <w:fldChar w:fldCharType="separate"/>
      </w:r>
      <w:r w:rsidRPr="00C24F40">
        <w:rPr>
          <w:noProof/>
        </w:rPr>
        <w:t xml:space="preserve">(Zhang </w:t>
      </w:r>
      <w:r w:rsidRPr="00C24F40">
        <w:rPr>
          <w:i/>
          <w:noProof/>
        </w:rPr>
        <w:t>et al.</w:t>
      </w:r>
      <w:r w:rsidRPr="00C24F40">
        <w:rPr>
          <w:noProof/>
        </w:rPr>
        <w:t>, 2002)</w:t>
      </w:r>
      <w:r w:rsidR="005C0E76">
        <w:fldChar w:fldCharType="end"/>
      </w:r>
      <w:r>
        <w:t xml:space="preserve">. This may explain why the chemically modified dsRNAs incubated with </w:t>
      </w:r>
      <w:r w:rsidRPr="00C24F40">
        <w:rPr>
          <w:i/>
        </w:rPr>
        <w:t>Giardia</w:t>
      </w:r>
      <w:r>
        <w:t xml:space="preserve"> Dicer demonstrate broadening of the gel band indicating very small amounts of dsRNA being cleaved. The chemical modifications may disrupt binding by PAZ, and therefore very slow internal processing of the dsRNA occurs. The long incubation time required to fully process the dsRNA at this rate would be far longer than the enzyme molecules are likely to survive at the incubation temperature</w:t>
      </w:r>
      <w:r w:rsidR="00DA03E0">
        <w:t>, resulting in no full processing of the dsRNA, even after extended incubation periods</w:t>
      </w:r>
      <w:r>
        <w:t>.</w:t>
      </w:r>
    </w:p>
    <w:p w:rsidR="0073713C" w:rsidRDefault="0073713C" w:rsidP="0073713C">
      <w:pPr>
        <w:spacing w:line="360" w:lineRule="auto"/>
        <w:ind w:firstLine="284"/>
      </w:pPr>
      <w:r>
        <w:t xml:space="preserve">Insect (and mammalian) Dicer enzymes contain both dsRBD and PAZ domains, as well as a further atypical dsRNA binding domain previously referred to as domain of unknown function (DUF) 283. </w:t>
      </w:r>
      <w:r>
        <w:lastRenderedPageBreak/>
        <w:t xml:space="preserve">Therefore, the effects of chemical modifications on the binding of dsRNA to insect Dicer, will be a combination of those seen for RNase III and </w:t>
      </w:r>
      <w:r w:rsidRPr="003F209D">
        <w:rPr>
          <w:i/>
        </w:rPr>
        <w:t>Giardia</w:t>
      </w:r>
      <w:r>
        <w:t xml:space="preserve"> Dicer, as well as other effects such as helicase domain binding, unwinding, and cleavage </w:t>
      </w:r>
      <w:r w:rsidR="005C0E76">
        <w:fldChar w:fldCharType="begin" w:fldLock="1"/>
      </w:r>
      <w:r>
        <w:instrText>ADDIN CSL_CITATION {"citationItems":[{"id":"ITEM-1","itemData":{"DOI":"10.1126/science.aaq0921","ISSN":"0036-8075","PMID":"29269422","abstract":"Invertebrates rely on Dicer to cleave viral double-stranded RNA (dsRNA), and Drosophila Dicer-2 distinguishes dsRNA substrates by their termini. Blunt termini promote processive cleavage, while 3' overhanging termini are cleaved distributively. To understand this discrimination, we used cryo-electron microscopy to solve structures of Drosophila Dicer-2 alone and in complex with blunt dsRNA. Whereas the Platform-PAZ domains have been considered the only Dicer domains that bind dsRNA termini, unexpectedly, we found that the helicase domain is required for binding blunt, but not 3' overhanging, termini. We further showed that blunt dsRNA is locally unwound and threaded through the helicase domain in an adenosine triphosphate-dependent manner. Our studies reveal a previously unrecognized mechanism for optimizing antiviral defense and set the stage for the discovery of helicase-dependent functions in other Dicers.","author":[{"dropping-particle":"","family":"Sinha","given":"Niladri K.","non-dropping-particle":"","parse-names":false,"suffix":""},{"dropping-particle":"","family":"Iwasa","given":"Janet","non-dropping-particle":"","parse-names":false,"suffix":""},{"dropping-particle":"","family":"Shen","given":"Peter S.","non-dropping-particle":"","parse-names":false,"suffix":""},{"dropping-particle":"","family":"Bass","given":"Brenda L.","non-dropping-particle":"","parse-names":false,"suffix":""}],"container-title":"Science","id":"ITEM-1","issue":"6373","issued":{"date-parts":[["2018","1","19"]]},"page":"329-334","title":"Dicer uses distinct modules for recognizing dsRNA termini","type":"article-journal","volume":"359"},"uris":["http://www.mendeley.com/documents/?uuid=ac13ab2e-be6e-3f3d-a034-d3cd4ee29e58"]}],"mendeley":{"formattedCitation":"(Sinha &lt;i&gt;et al.&lt;/i&gt;, 2018)","plainTextFormattedCitation":"(Sinha et al., 2018)","previouslyFormattedCitation":"(Sinha &lt;i&gt;et al.&lt;/i&gt;, 2018)"},"properties":{"noteIndex":0},"schema":"https://github.com/citation-style-language/schema/raw/master/csl-citation.json"}</w:instrText>
      </w:r>
      <w:r w:rsidR="005C0E76">
        <w:fldChar w:fldCharType="separate"/>
      </w:r>
      <w:r w:rsidRPr="00575641">
        <w:rPr>
          <w:noProof/>
        </w:rPr>
        <w:t xml:space="preserve">(Sinha </w:t>
      </w:r>
      <w:r w:rsidRPr="00575641">
        <w:rPr>
          <w:i/>
          <w:noProof/>
        </w:rPr>
        <w:t>et al.</w:t>
      </w:r>
      <w:r w:rsidRPr="00575641">
        <w:rPr>
          <w:noProof/>
        </w:rPr>
        <w:t>, 2018)</w:t>
      </w:r>
      <w:r w:rsidR="005C0E76">
        <w:fldChar w:fldCharType="end"/>
      </w:r>
      <w:r>
        <w:t xml:space="preserve">. Insect Dicer-2 presents an additional factor, as it has a unique phosphate </w:t>
      </w:r>
      <w:r w:rsidRPr="004B321B">
        <w:t xml:space="preserve">binding pocket exclusive to Dicer-2 that binds the 5’-monophosphate of long dsRNA, and the effects of which are therefore not </w:t>
      </w:r>
      <w:r w:rsidR="00DA03E0">
        <w:t xml:space="preserve">fully </w:t>
      </w:r>
      <w:r w:rsidRPr="004B321B">
        <w:t xml:space="preserve">accounted for by the </w:t>
      </w:r>
      <w:r w:rsidRPr="004B321B">
        <w:rPr>
          <w:i/>
        </w:rPr>
        <w:t>Giardia</w:t>
      </w:r>
      <w:r w:rsidRPr="004B321B">
        <w:t xml:space="preserve"> Dicer PAZ domain </w:t>
      </w:r>
      <w:r w:rsidR="005C0E76" w:rsidRPr="004B321B">
        <w:fldChar w:fldCharType="begin" w:fldLock="1"/>
      </w:r>
      <w:r>
        <w:instrText xml:space="preserve">ADDIN CSL_CITATION {"citationItems":[{"id":"ITEM-1","itemData":{"DOI":"10.1073/pnas.1612393113","ISSN":"1091-6490","PMID":"27872309","abstract":"The enzyme Dicer produces small silencing RNAs such as micro-RNAs (miRNAs) and small interfering RNAs (siRNAs). In Drosophila, Dicer-1 produces </w:instrText>
      </w:r>
      <w:r>
        <w:rPr>
          <w:rFonts w:ascii="Cambria Math" w:hAnsi="Cambria Math" w:cs="Cambria Math"/>
        </w:rPr>
        <w:instrText>∼</w:instrText>
      </w:r>
      <w:r>
        <w:rPr>
          <w:rFonts w:ascii="Calibri" w:hAnsi="Calibri" w:cs="Calibri"/>
        </w:rPr>
        <w:instrText>22-24-nt miRNAs from pre-miRNAs, whereas Dicer-2 makes 21-nt siRNAs from long double-s</w:instrText>
      </w:r>
      <w:r>
        <w:instrText>tranded RNAs (dsRNAs). How Dicer-2 precisely makes 21-nt siRNAs with a remarkably high fidelity is unknown. Here we report that recognition of the 5'-monophosphate of a long dsRNA substrate by a phosphate-binding pocket in the Dicer-2 PAZ (Piwi, Argonaute, and Zwille/Pinhead) domain is crucial for the length fidelity, but not the efficiency, in 21-nt siRNA production. Loss of the length fidelity, meaning increased length heterogeneity of siRNAs, caused by point mutations in the phosphate-binding pocket of the Dicer-2 PAZ domain decreased RNA silencing activity in vivo, showing the importance of the high fidelity to make 21-nt siRNAs. We propose that the 5'-monophosphate of a long dsRNA substrate is anchored by the phosphate-binding pocket in the Dicer-2 PAZ domain and the distance between the pocket and the RNA cleavage active site in the RNaseIII domain corresponds to the 21-nt pitch in the A-form duplex of a long dsRNA substrate, resulting in high-fidelity 21-nt siRNA production. This study sheds light on the molecular mechanism by which Dicer-2 produces 21-nt siRNAs with a remarkably high fidelity for efficient RNA silencing.","author":[{"dropping-particle":"","family":"Kandasamy","given":"Suresh K","non-dropping-particle":"","parse-names":false,"suffix":""},{"dropping-particle":"","family":"Fukunaga","given":"Ryuya","non-dropping-particle":"","parse-names":false,"suffix":""}],"container-title":"Proceedings of the National Academy of Sciences of the United States of America","id":"ITEM-1","issue":"49","issued":{"date-parts":[["2016","12","6"]]},"page":"14031-14036","publisher":"National Academy of Sciences","title":"Phosphate-binding pocket in Dicer-2 PAZ domain for high-fidelity siRNA production.","type":"article-journal","volume":"113"},"uris":["http://www.mendeley.com/documents/?uuid=90bef9ed-5b73-3b06-9f4a-a167e60a5f1d"]}],"mendeley":{"formattedCitation":"(Kandasamy and Fukunaga, 2016)","plainTextFormattedCitation":"(Kandasamy and Fukunaga, 2016)","previouslyFormattedCitation":"(Kandasamy and Fukunaga, 2016)"},"properties":{"noteIndex":0},"schema":"https://github.com/citation-style-language/schema/raw/master/csl-citation.json"}</w:instrText>
      </w:r>
      <w:r w:rsidR="005C0E76" w:rsidRPr="004B321B">
        <w:fldChar w:fldCharType="separate"/>
      </w:r>
      <w:r w:rsidRPr="004B321B">
        <w:rPr>
          <w:noProof/>
        </w:rPr>
        <w:t>(Kandasamy and Fukunaga, 2016)</w:t>
      </w:r>
      <w:r w:rsidR="005C0E76" w:rsidRPr="004B321B">
        <w:fldChar w:fldCharType="end"/>
      </w:r>
      <w:r w:rsidRPr="004B321B">
        <w:t>.</w:t>
      </w:r>
      <w:r>
        <w:t xml:space="preserve"> Binding of insect Dicer-2 to dsRNA by the PAZ domain is therefore liable to be significantly affected by phosphorothioate modifications to the phosphate groups in particular.</w:t>
      </w:r>
      <w:r>
        <w:rPr>
          <w:color w:val="FF0000"/>
        </w:rPr>
        <w:t xml:space="preserve"> </w:t>
      </w:r>
      <w:r>
        <w:t xml:space="preserve">The </w:t>
      </w:r>
      <w:r w:rsidRPr="00817FE7">
        <w:t xml:space="preserve">RNase III domains of both enzymes also anchor the scissile phosphates with metal ions in a further type of binding interaction </w:t>
      </w:r>
      <w:r w:rsidR="005C0E76" w:rsidRPr="00817FE7">
        <w:fldChar w:fldCharType="begin" w:fldLock="1"/>
      </w:r>
      <w:r w:rsidRPr="00817FE7">
        <w:instrText>ADDIN CSL_CITATION {"citationItems":[{"id":"ITEM-1","itemData":{"DOI":"10.1126/science.1121638","ISSN":"1095-9203","PMID":"16410517","abstract":"The specialized ribonuclease Dicer initiates RNA interference by cleaving double-stranded RNA (dsRNA) substrates into small fragments about 25 nucleotides in length. In the crystal structure of an intact Dicer enzyme, the PAZ domain, a module that binds the end of dsRNA, is separated from the two catalytic ribonuclease III (RNase III) domains by a flat, positively charged surface. The 65 angstrom distance between the PAZ and RNase III domains matches the length spanned by 25 base pairs of RNA. Thus, Dicer itself is a molecular ruler that recognizes dsRNA and cleaves a specified distance from the helical end.","author":[{"dropping-particle":"","family":"Macrae","given":"Ian J","non-dropping-particle":"","parse-names":false,"suffix":""},{"dropping-particle":"","family":"Zhou","given":"Kaihong","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 (New York, N.Y.)","id":"ITEM-1","issue":"5758","issued":{"date-parts":[["2006","1","13"]]},"page":"195-8","publisher":"American Association for the Advancement of Science","title":"Structural basis for double-stranded RNA processing by Dicer.","type":"article-journal","volume":"311"},"uris":["http://www.mendeley.com/documents/?uuid=a71ae084-c315-3c68-8c30-3f383c4173d6"]}],"mendeley":{"formattedCitation":"(Macrae &lt;i&gt;et al.&lt;/i&gt;, 2006)","plainTextFormattedCitation":"(Macrae et al., 2006)","previouslyFormattedCitation":"(Macrae &lt;i&gt;et al.&lt;/i&gt;, 2006)"},"properties":{"noteIndex":0},"schema":"https://github.com/citation-style-language/schema/raw/master/csl-citation.json"}</w:instrText>
      </w:r>
      <w:r w:rsidR="005C0E76" w:rsidRPr="00817FE7">
        <w:fldChar w:fldCharType="separate"/>
      </w:r>
      <w:r w:rsidRPr="00817FE7">
        <w:rPr>
          <w:noProof/>
        </w:rPr>
        <w:t xml:space="preserve">(Macrae </w:t>
      </w:r>
      <w:r w:rsidRPr="00817FE7">
        <w:rPr>
          <w:i/>
          <w:noProof/>
        </w:rPr>
        <w:t>et al.</w:t>
      </w:r>
      <w:r w:rsidRPr="00817FE7">
        <w:rPr>
          <w:noProof/>
        </w:rPr>
        <w:t>, 2006)</w:t>
      </w:r>
      <w:r w:rsidR="005C0E76" w:rsidRPr="00817FE7">
        <w:fldChar w:fldCharType="end"/>
      </w:r>
      <w:r w:rsidRPr="00817FE7">
        <w:t>, which may also be affected by chemical modifications to the dsRNA substrate</w:t>
      </w:r>
      <w:r>
        <w:t>.</w:t>
      </w:r>
      <w:r w:rsidRPr="00817FE7">
        <w:t xml:space="preserve"> </w:t>
      </w:r>
      <w:r>
        <w:t>A</w:t>
      </w:r>
      <w:r w:rsidRPr="00817FE7">
        <w:t>gain</w:t>
      </w:r>
      <w:r>
        <w:t>, this interaction is</w:t>
      </w:r>
      <w:r w:rsidRPr="00817FE7">
        <w:t xml:space="preserve"> likely </w:t>
      </w:r>
      <w:r>
        <w:t>to be affected more</w:t>
      </w:r>
      <w:r w:rsidRPr="00817FE7">
        <w:t xml:space="preserve"> by phosphorothioate modifications than the other chemical modifications as the metal ions interact with the non-bridging oxygens or sulphurs of phosphodiester or phosphorothioate linkages </w:t>
      </w:r>
      <w:r w:rsidR="005C0E76" w:rsidRPr="00817FE7">
        <w:fldChar w:fldCharType="begin" w:fldLock="1"/>
      </w:r>
      <w:r>
        <w:instrText>ADDIN CSL_CITATION {"citationItems":[{"id":"ITEM-1","itemData":{"DOI":"10.1093/nar/gki197","ISSN":"1362-4962","PMID":"15699182","abstract":"Escherichia coli ribonuclease III (RNase III; EC 3.1.24) is a double-stranded(ds)-RNA-specific endonuclease with key roles in diverse RNA maturation and decay pathways. E.coli RNase III is a member of a structurally distinct superfamily that includes Dicer, a central enzyme in the mechanism of RNA interference. E.coli RNase III requires a divalent metal ion for activity, with Mg2+ as the preferred species. However, neither the function(s) nor the number of metal ions involved in catalysis is known. To gain information on metal ion involvement in catalysis, the rate of cleavage of the model substrate R1.1 RNA was determined as a function of Mg2+ concentration. Single-turnover conditions were applied, wherein phosphodiester cleavage was the rate-limiting event. The measured Hill coefficient (n (H)) is 2.0 +/- 0.1, indicative of the involvement of two Mg2+ ions in phosphodiester hydrolysis. It is also shown that 2-hydroxy-4H-isoquinoline-1,3-dione--an inhibitor of ribonucleases that employ two divalent metal ions in their catalytic sites--inhibits E.coli RNase III cleavage of R1.1 RNA. The IC50 for the compound is 14 microM for the Mg2+-supported reaction, and 8 microM for the Mn2+-supported reaction. The compound exhibits noncompetitive inhibitory kinetics, indicating that it does not perturb substrate binding. Neither the O-methylated version of the compound nor the unsubstituted imide inhibit substrate cleavage, which is consistent with a specific interaction of the N-hydroxyimide with two closely positioned divalent metal ions. A preliminary model is presented for functional roles of two divalent metal ions in the RNase III catalytic mechanism.","author":[{"dropping-particle":"","family":"Sun","given":"Weimei","non-dropping-particle":"","parse-names":false,"suffix":""},{"dropping-particle":"","family":"Pertzev","given":"Alexandre","non-dropping-particle":"","parse-names":false,"suffix":""},{"dropping-particle":"","family":"Nicholson","given":"Allen W","non-dropping-particle":"","parse-names":false,"suffix":""}],"container-title":"Nucleic acids research","id":"ITEM-1","issue":"3","issued":{"date-parts":[["2005"]]},"page":"807-15","publisher":"Oxford University Press","title":"Catalytic mechanism of Escherichia coli ribonuclease III: kinetic and inhibitor evidence for the involvement of two magnesium ions in RNA phosphodiester hydrolysis.","type":"article-journal","volume":"33"},"uris":["http://www.mendeley.com/documents/?uuid=1bfed7cd-496e-3311-8100-0c72a08bbf21"]}],"mendeley":{"formattedCitation":"(Sun, Pertzev and Nicholson, 2005)","plainTextFormattedCitation":"(Sun, Pertzev and Nicholson, 2005)","previouslyFormattedCitation":"(Sun, Pertzev and Nicholson, 2005)"},"properties":{"noteIndex":0},"schema":"https://github.com/citation-style-language/schema/raw/master/csl-citation.json"}</w:instrText>
      </w:r>
      <w:r w:rsidR="005C0E76" w:rsidRPr="00817FE7">
        <w:fldChar w:fldCharType="separate"/>
      </w:r>
      <w:r w:rsidRPr="00817FE7">
        <w:rPr>
          <w:noProof/>
        </w:rPr>
        <w:t>(Sun, Pertzev and Nicholson, 2005)</w:t>
      </w:r>
      <w:r w:rsidR="005C0E76" w:rsidRPr="00817FE7">
        <w:fldChar w:fldCharType="end"/>
      </w:r>
      <w:r>
        <w:rPr>
          <w:color w:val="FF0000"/>
        </w:rPr>
        <w:t>.</w:t>
      </w:r>
    </w:p>
    <w:p w:rsidR="0073713C" w:rsidRDefault="0073713C" w:rsidP="0073713C">
      <w:pPr>
        <w:spacing w:line="360" w:lineRule="auto"/>
        <w:ind w:firstLine="284"/>
      </w:pPr>
      <w:r>
        <w:t xml:space="preserve"> An attempt was made to use commercially available recombinant human Dicer as an example of a complex Dicer enzyme containing both dsRBD and PAZ domains. However, the enzyme selected required further optimisation as it failed to cleave unmodified dsRNA when following the manufacturer’s protocol. No insect Dicer-2 enzymes are commercially available, however Dicer assays using insect cell l</w:t>
      </w:r>
      <w:r w:rsidR="000E25D8">
        <w:t>ysate have been developed (see F</w:t>
      </w:r>
      <w:r>
        <w:t>urther work</w:t>
      </w:r>
      <w:r w:rsidR="000E25D8">
        <w:t>, chapter 7</w:t>
      </w:r>
      <w:r>
        <w:t>).</w:t>
      </w:r>
    </w:p>
    <w:p w:rsidR="0073713C" w:rsidRDefault="0073713C" w:rsidP="0073713C">
      <w:pPr>
        <w:spacing w:line="360" w:lineRule="auto"/>
        <w:ind w:firstLine="284"/>
      </w:pPr>
    </w:p>
    <w:p w:rsidR="0073713C" w:rsidRPr="000E25D8" w:rsidRDefault="0073713C" w:rsidP="0073713C">
      <w:pPr>
        <w:spacing w:line="360" w:lineRule="auto"/>
        <w:ind w:firstLine="284"/>
      </w:pPr>
      <w:r>
        <w:t xml:space="preserve">Binding is one factor in the successful processing of dsRNA by RNase III/Dicer enzymes, however cleavage of the dsRNA substrate by the RNase III domains is naturally of great importance. RBMs 3 and 4 on the RNase III domain are thought to be primarily involved </w:t>
      </w:r>
      <w:r w:rsidR="00DA03E0">
        <w:t xml:space="preserve">in </w:t>
      </w:r>
      <w:r>
        <w:t xml:space="preserve">recognition of RNA substrates, and selection of the scissile bond </w:t>
      </w:r>
      <w:r w:rsidR="005C0E76">
        <w:fldChar w:fldCharType="begin" w:fldLock="1"/>
      </w:r>
      <w:r>
        <w:instrText>ADDIN CSL_CITATION {"citationItems":[{"id":"ITEM-1","itemData":{"DOI":"10.1016/J.CELL.2005.11.034","ISSN":"0092-8674","abstract":"Members of the ribonuclease III (RNase III) family are double-stranded RNA (dsRNA) specific endoribonucleases characterized by a signature motif in their active centers and a two-base 3′ overhang in their products. While Dicer, which produces small interfering RNAs, is currently the focus of intense interest, the structurally simpler bacterial RNase III serves as a paradigm for the entire family. Here, we present the crystal structure of an RNase III-product complex, the first catalytic complex observed for the family. A 7 residue linker within the protein facilitates induced fit in protein-RNA recognition. A pattern of protein-RNA interactions, defined by four RNA binding motifs in RNase III and three protein-interacting boxes in dsRNA, is responsible for substrate specificity, while conserved amino acid residues and divalent cations are responsible for scissile-bond cleavage. The structure reveals a wealth of information about the mechanism of RNA hydrolysis that can be extrapolated to other RNase III family members.","author":[{"dropping-particle":"","family":"Gan","given":"Jianhua","non-dropping-particle":"","parse-names":false,"suffix":""},{"dropping-particle":"","family":"Tropea","given":"Joseph E.","non-dropping-particle":"","parse-names":false,"suffix":""},{"dropping-particle":"","family":"Austin","given":"Brian P.","non-dropping-particle":"","parse-names":false,"suffix":""},{"dropping-particle":"","family":"Court","given":"Donald L.","non-dropping-particle":"","parse-names":false,"suffix":""},{"dropping-particle":"","family":"Waugh","given":"David S.","non-dropping-particle":"","parse-names":false,"suffix":""},{"dropping-particle":"","family":"Ji","given":"Xinhua","non-dropping-particle":"","parse-names":false,"suffix":""}],"container-title":"Cell","id":"ITEM-1","issue":"2","issued":{"date-parts":[["2006","1","27"]]},"page":"355-366","publisher":"Cell Press","title":"Structural Insight into the Mechanism of Double-Stranded RNA Processing by Ribonuclease III","type":"article-journal","volume":"124"},"uris":["http://www.mendeley.com/documents/?uuid=07c9b95d-d24c-3652-8cdd-bb64a5a3b888"]}],"mendeley":{"formattedCitation":"(Gan &lt;i&gt;et al.&lt;/i&gt;, 2006)","plainTextFormattedCitation":"(Gan et al., 2006)","previouslyFormattedCitation":"(Gan &lt;i&gt;et al.&lt;/i&gt;, 2006)"},"properties":{"noteIndex":0},"schema":"https://github.com/citation-style-language/schema/raw/master/csl-citation.json"}</w:instrText>
      </w:r>
      <w:r w:rsidR="005C0E76">
        <w:fldChar w:fldCharType="separate"/>
      </w:r>
      <w:r w:rsidRPr="00184F20">
        <w:rPr>
          <w:noProof/>
        </w:rPr>
        <w:t xml:space="preserve">(Gan </w:t>
      </w:r>
      <w:r w:rsidRPr="00184F20">
        <w:rPr>
          <w:i/>
          <w:noProof/>
        </w:rPr>
        <w:t>et al.</w:t>
      </w:r>
      <w:r w:rsidRPr="00184F20">
        <w:rPr>
          <w:noProof/>
        </w:rPr>
        <w:t>, 2006)</w:t>
      </w:r>
      <w:r w:rsidR="005C0E76">
        <w:fldChar w:fldCharType="end"/>
      </w:r>
      <w:r>
        <w:t xml:space="preserve">. Dimerised RNase III molecules cooperate in order to cleave the dsRNA, with the RBM </w:t>
      </w:r>
      <w:r w:rsidRPr="000E25D8">
        <w:t xml:space="preserve">3 of one RNase III unit selecting the scissile bond using a serine residue and a glutamic acid residue (see figure </w:t>
      </w:r>
      <w:r w:rsidR="00243B76" w:rsidRPr="000E25D8">
        <w:t>4.4 c</w:t>
      </w:r>
      <w:r w:rsidRPr="000E25D8">
        <w:t>), and the RNase III domain of the other unit then cleaving one strand, and vice versa for cleavage of the second strand. The catalytic site for the cleavage of each strand is composed of five acidic amino acids (aspartic acid and glutamic acid) from one RNase III subunit, and an additional acidic residue (glutamic acid) from the other subunit, along with three nucleotides from the dsRNA, three water molecules and a divalent metal ion (Mg</w:t>
      </w:r>
      <w:r w:rsidRPr="000E25D8">
        <w:rPr>
          <w:vertAlign w:val="superscript"/>
        </w:rPr>
        <w:t>2+</w:t>
      </w:r>
      <w:r w:rsidRPr="000E25D8">
        <w:t>, Mn</w:t>
      </w:r>
      <w:r w:rsidRPr="000E25D8">
        <w:rPr>
          <w:vertAlign w:val="superscript"/>
        </w:rPr>
        <w:t>2+</w:t>
      </w:r>
      <w:r w:rsidRPr="000E25D8">
        <w:t xml:space="preserve"> etc.)</w:t>
      </w:r>
      <w:r w:rsidR="00243B76" w:rsidRPr="000E25D8">
        <w:t xml:space="preserve"> (see figure 4.4 d)</w:t>
      </w:r>
      <w:r w:rsidRPr="000E25D8">
        <w:t xml:space="preserve">. There is evidence for the interaction of a second additional metal ion </w:t>
      </w:r>
      <w:r w:rsidR="005C0E76" w:rsidRPr="000E25D8">
        <w:fldChar w:fldCharType="begin" w:fldLock="1"/>
      </w:r>
      <w:r w:rsidRPr="000E25D8">
        <w:instrText>ADDIN CSL_CITATION {"citationItems":[{"id":"ITEM-1","itemData":{"DOI":"10.1126/science.1114994","ISSN":"0036-8075","PMID":"16141079","abstract":"We report the 3.4 angstrom crystal structure of a catalytically active group I intron splicing intermediate containing the complete intron, both exons, the scissile phosphate, and all of the functional groups implicated in catalytic metal ion coordination, including the 2'-OH of the terminal guanosine. This structure suggests that, like protein phosphoryltransferases, an RNA phosphoryltransferase can use a two-metal-ion mechanism. Two Mg2+ ions are positioned 3.9 angstroms apart and are directly coordinated by all six of the biochemically predicted ligands. The evolutionary convergence of RNA and protein active sites on the same inorganic architecture highlights the intrinsic chemical capacity of the two-metal-ion catalytic mechanism for phosphoryl transfer.","author":[{"dropping-particle":"","family":"Stahley","given":"M. R.","non-dropping-particle":"","parse-names":false,"suffix":""},{"dropping-particle":"","family":"Strobel","given":"Scott A","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A.","non-dropping-particle":"","parse-names":false,"suffix":""}],"container-title":"Science","id":"ITEM-1","issue":"5740","issued":{"date-parts":[["2005","9","2"]]},"page":"1587-1590","publisher":"American Association for the Advancement of Science","title":"Structural Evidence for a Two-Metal-Ion Mechanism of Group I Intron Splicing","type":"article-journal","volume":"309"},"uris":["http://www.mendeley.com/documents/?uuid=9b7a5ce7-9a6f-3357-b6d8-65daf6799c24"]}],"mendeley":{"formattedCitation":"(Stahley &lt;i&gt;et al.&lt;/i&gt;, 2005a)","plainTextFormattedCitation":"(Stahley et al., 2005a)","previouslyFormattedCitation":"(Stahley &lt;i&gt;et al.&lt;/i&gt;, 2005a)"},"properties":{"noteIndex":0},"schema":"https://github.com/citation-style-language/schema/raw/master/csl-citation.json"}</w:instrText>
      </w:r>
      <w:r w:rsidR="005C0E76" w:rsidRPr="000E25D8">
        <w:fldChar w:fldCharType="separate"/>
      </w:r>
      <w:r w:rsidRPr="000E25D8">
        <w:rPr>
          <w:noProof/>
        </w:rPr>
        <w:t xml:space="preserve">(Stahley </w:t>
      </w:r>
      <w:r w:rsidRPr="000E25D8">
        <w:rPr>
          <w:i/>
          <w:noProof/>
        </w:rPr>
        <w:t>et al.</w:t>
      </w:r>
      <w:r w:rsidRPr="000E25D8">
        <w:rPr>
          <w:noProof/>
        </w:rPr>
        <w:t>, 2005a)</w:t>
      </w:r>
      <w:r w:rsidR="005C0E76" w:rsidRPr="000E25D8">
        <w:fldChar w:fldCharType="end"/>
      </w:r>
      <w:r w:rsidRPr="000E25D8">
        <w:t>.</w:t>
      </w:r>
    </w:p>
    <w:p w:rsidR="0073713C" w:rsidRDefault="0073713C" w:rsidP="0073713C">
      <w:pPr>
        <w:spacing w:line="360" w:lineRule="auto"/>
        <w:ind w:firstLine="284"/>
      </w:pPr>
      <w:r>
        <w:t xml:space="preserve">Phosphorothioate dsRNA was the only chemically modified dsRNA </w:t>
      </w:r>
      <w:r w:rsidR="00D27B3A">
        <w:t>that demonstrated resistance</w:t>
      </w:r>
      <w:r>
        <w:t xml:space="preserve"> to cleavage by both enzymes</w:t>
      </w:r>
      <w:r w:rsidR="00D27B3A">
        <w:t>, however as previously stated, the RNase III incubation presented mixed results, therefore more investigation is required</w:t>
      </w:r>
      <w:r>
        <w:t xml:space="preserve">. </w:t>
      </w:r>
      <w:r w:rsidR="00D27B3A">
        <w:t xml:space="preserve">Potential resistance of phosphorothioate </w:t>
      </w:r>
      <w:r w:rsidR="00D27B3A">
        <w:lastRenderedPageBreak/>
        <w:t xml:space="preserve">dsRNA to cleavage by both enzymes tested </w:t>
      </w:r>
      <w:r>
        <w:t xml:space="preserve">may be due to the modification impeding binding of both enzymes by the two different binding mechanisms, but may be partly related to the modification affecting the cleavage mechanism of the RNase III domain(s) of the enzymes. The RNase III domain cleaves RNA in a mechanism involving two divalent metal ions and solvent water molecules, via an SN2 reaction which attacks the phosphodiester linkage between two nucleotides </w:t>
      </w:r>
      <w:r w:rsidR="005C0E76">
        <w:fldChar w:fldCharType="begin" w:fldLock="1"/>
      </w:r>
      <w:r>
        <w:instrText>ADDIN CSL_CITATION {"citationItems":[{"id":"ITEM-1","itemData":{"DOI":"10.1093/nar/gki197","ISSN":"1362-4962","PMID":"15699182","abstract":"Escherichia coli ribonuclease III (RNase III; EC 3.1.24) is a double-stranded(ds)-RNA-specific endonuclease with key roles in diverse RNA maturation and decay pathways. E.coli RNase III is a member of a structurally distinct superfamily that includes Dicer, a central enzyme in the mechanism of RNA interference. E.coli RNase III requires a divalent metal ion for activity, with Mg2+ as the preferred species. However, neither the function(s) nor the number of metal ions involved in catalysis is known. To gain information on metal ion involvement in catalysis, the rate of cleavage of the model substrate R1.1 RNA was determined as a function of Mg2+ concentration. Single-turnover conditions were applied, wherein phosphodiester cleavage was the rate-limiting event. The measured Hill coefficient (n (H)) is 2.0 +/- 0.1, indicative of the involvement of two Mg2+ ions in phosphodiester hydrolysis. It is also shown that 2-hydroxy-4H-isoquinoline-1,3-dione--an inhibitor of ribonucleases that employ two divalent metal ions in their catalytic sites--inhibits E.coli RNase III cleavage of R1.1 RNA. The IC50 for the compound is 14 microM for the Mg2+-supported reaction, and 8 microM for the Mn2+-supported reaction. The compound exhibits noncompetitive inhibitory kinetics, indicating that it does not perturb substrate binding. Neither the O-methylated version of the compound nor the unsubstituted imide inhibit substrate cleavage, which is consistent with a specific interaction of the N-hydroxyimide with two closely positioned divalent metal ions. A preliminary model is presented for functional roles of two divalent metal ions in the RNase III catalytic mechanism.","author":[{"dropping-particle":"","family":"Sun","given":"Weimei","non-dropping-particle":"","parse-names":false,"suffix":""},{"dropping-particle":"","family":"Pertzev","given":"Alexandre","non-dropping-particle":"","parse-names":false,"suffix":""},{"dropping-particle":"","family":"Nicholson","given":"Allen W","non-dropping-particle":"","parse-names":false,"suffix":""}],"container-title":"Nucleic acids research","id":"ITEM-1","issue":"3","issued":{"date-parts":[["2005"]]},"page":"807-15","publisher":"Oxford University Press","title":"Catalytic mechanism of Escherichia coli ribonuclease III: kinetic and inhibitor evidence for the involvement of two magnesium ions in RNA phosphodiester hydrolysis.","type":"article-journal","volume":"33"},"uris":["http://www.mendeley.com/documents/?uuid=1bfed7cd-496e-3311-8100-0c72a08bbf21"]}],"mendeley":{"formattedCitation":"(Sun, Pertzev and Nicholson, 2005)","plainTextFormattedCitation":"(Sun, Pertzev and Nicholson, 2005)","previouslyFormattedCitation":"(Sun, Pertzev and Nicholson, 2005)"},"properties":{"noteIndex":0},"schema":"https://github.com/citation-style-language/schema/raw/master/csl-citation.json"}</w:instrText>
      </w:r>
      <w:r w:rsidR="005C0E76">
        <w:fldChar w:fldCharType="separate"/>
      </w:r>
      <w:r w:rsidRPr="008750E1">
        <w:rPr>
          <w:noProof/>
        </w:rPr>
        <w:t>(Sun, Pertzev and Nicholson, 2005)</w:t>
      </w:r>
      <w:r w:rsidR="005C0E76">
        <w:fldChar w:fldCharType="end"/>
      </w:r>
      <w:r>
        <w:t>. One of the hydrogen bonds formed by one of the metal ions (usually an Mg</w:t>
      </w:r>
      <w:r w:rsidRPr="008750E1">
        <w:rPr>
          <w:vertAlign w:val="superscript"/>
        </w:rPr>
        <w:t>2+</w:t>
      </w:r>
      <w:r>
        <w:t xml:space="preserve"> ion) during this process is to one of the non-bridging oxygen atoms of the phosphate group. Phosphorothioate linkages have a sulphur atom in place of one of the non-bridging oxygen atoms, therefore the cleavage mechanism may be affected by phosphorothioate modifications. As the catalytic site of the RNase III domain does not directly interact with the ribose sugar or bases, 2’-fluoro and 5-hydroxymethyl modifications are unlikely to directly affect the cleavage mechanism, however these modifications may affect how other parts of the RNase III domain interact with the dsRNA, resulting in the orientation of the dsRNA compared to the catalytic site being altered. As the RNase III enzyme did manage to cleave 2’-fluoro and 5-hyroxymethyl dsRNA, these affects are likely to be minimal. Whether the RNase III domain failing to cleave phosphorothioate linkages in dsRNA, or both dsRBD and PAZ domains being unable to bind phosphorothioate dsRNA is the reason f</w:t>
      </w:r>
      <w:r w:rsidR="00D27B3A">
        <w:t xml:space="preserve">or phosphorothioate dsRNA being </w:t>
      </w:r>
      <w:r>
        <w:t xml:space="preserve">resistant to </w:t>
      </w:r>
      <w:r w:rsidRPr="008750E1">
        <w:rPr>
          <w:i/>
        </w:rPr>
        <w:t>Giardia</w:t>
      </w:r>
      <w:r>
        <w:t xml:space="preserve"> Dicer</w:t>
      </w:r>
      <w:r w:rsidR="00D27B3A">
        <w:t xml:space="preserve"> – and potentially resistant to bacterial RNase III –</w:t>
      </w:r>
      <w:r>
        <w:t xml:space="preserve"> remains unclear, and requires further validation. Previous evidence </w:t>
      </w:r>
      <w:r w:rsidRPr="000E25D8">
        <w:t xml:space="preserve">suggests bacterial RNase III can bind and cleave some phosphorothioate-containing substrates </w:t>
      </w:r>
      <w:r w:rsidR="005C0E76" w:rsidRPr="000E25D8">
        <w:fldChar w:fldCharType="begin" w:fldLock="1"/>
      </w:r>
      <w:r w:rsidR="00C57A7E" w:rsidRPr="000E25D8">
        <w:instrText>ADDIN CSL_CITATION {"citationItems":[{"id":"ITEM-1","itemData":{"ISSN":"0305-1048","PMID":"3279395","abstract":"To test the ability of an RNA processing enzyme to cleave chemically-modified RNA substrates, RNA transcripts containing RNase III cleavage sites were enzymatically synthesized in vitro to contain specific phosphorothioate diester internucleotide linkages. One transcript (R1.1 RNA) was generated using phage T7 RNA polymerase and a cloned segment of phage T7 DNA containing the R1.1 RNase III processing site. The second transcript was the phage T7 polycistronic early mRNA precursor, which was synthesized using E. coli RNA polymerase and T7 genomic DNA. The RNA transcripts contained phosphorothioate diester groups at positions including the scissile bonds. The modified RNAs were stable to incubation in Mg2+-containing buffer, and were specifically cleaved by RNase III. RNA oligonucleotide sequence analysis showed that the modified R1.1 RNA processing site was the same as the canonical site and contained a phosphorothioate bond. Furthermore, RNase III cleaved the phosphorothioate internucleotide bond with 5' polarity. RNase III cleavage of phosphorothioate substituted T7 polycistronic early mRNA precursor produced the same gel electrophoretic pattern as that obtained with the control transcript. Thus, RNase III cleavage specificity is not altered by phosphorothioate internucleotide linkages.","author":[{"dropping-particle":"","family":"Nicholson","given":"A W","non-dropping-particle":"","parse-names":false,"suffix":""},{"dropping-particle":"","family":"Niebling","given":"K R","non-dropping-particle":"","parse-names":false,"suffix":""},{"dropping-particle":"","family":"McOsker","given":"P L","non-dropping-particle":"","parse-names":false,"suffix":""},{"dropping-particle":"","family":"Robertson","given":"H D","non-dropping-particle":"","parse-names":false,"suffix":""}],"container-title":"Nucleic acids research","id":"ITEM-1","issue":"4","issued":{"date-parts":[["1988","2","25"]]},"page":"1577-91","publisher":"Oxford University Press","title":"Accurate in vitro cleavage by RNase III of phosphorothioate-substituted RNA processing signals in bacteriophage T7 early mRNA.","type":"article-journal","volume":"16"},"uris":["http://www.mendeley.com/documents/?uuid=6d86f0a3-cc99-3302-acd1-4416b2a7b44f"]}],"mendeley":{"formattedCitation":"(Nicholson &lt;i&gt;et al.&lt;/i&gt;, 1988)","plainTextFormattedCitation":"(Nicholson et al., 1988)","previouslyFormattedCitation":"(Nicholson &lt;i&gt;et al.&lt;/i&gt;, 1988)"},"properties":{"noteIndex":0},"schema":"https://github.com/citation-style-language/schema/raw/master/csl-citation.json"}</w:instrText>
      </w:r>
      <w:r w:rsidR="005C0E76" w:rsidRPr="000E25D8">
        <w:fldChar w:fldCharType="separate"/>
      </w:r>
      <w:r w:rsidRPr="000E25D8">
        <w:rPr>
          <w:noProof/>
        </w:rPr>
        <w:t xml:space="preserve">(Nicholson </w:t>
      </w:r>
      <w:r w:rsidRPr="000E25D8">
        <w:rPr>
          <w:i/>
          <w:noProof/>
        </w:rPr>
        <w:t>et al.</w:t>
      </w:r>
      <w:r w:rsidRPr="000E25D8">
        <w:rPr>
          <w:noProof/>
        </w:rPr>
        <w:t>, 1988)</w:t>
      </w:r>
      <w:r w:rsidR="005C0E76" w:rsidRPr="000E25D8">
        <w:fldChar w:fldCharType="end"/>
      </w:r>
      <w:r w:rsidRPr="000E25D8">
        <w:t xml:space="preserve">. Truncated RNase III enzymes with no dsRBD, consisting of only the RNase III domain itself, are catalytically active </w:t>
      </w:r>
      <w:r w:rsidR="005C0E76" w:rsidRPr="000E25D8">
        <w:fldChar w:fldCharType="begin" w:fldLock="1"/>
      </w:r>
      <w:r w:rsidRPr="000E25D8">
        <w:instrText>ADDIN CSL_CITATION {"citationItems":[{"id":"ITEM-1","itemData":{"DOI":"10.1111/j.1365-2958.2008.06207.x","ISSN":"0950-382X","author":[{"dropping-particle":"","family":"Redko","given":"Yulia","non-dropping-particle":"","parse-names":false,"suffix":""},{"dropping-particle":"","family":"Bechhofer","given":"David H.","non-dropping-particle":"","parse-names":false,"suffix":""},{"dropping-particle":"","family":"Condon","given":"Ciarán","non-dropping-particle":"","parse-names":false,"suffix":""}],"container-title":"Molecular Microbiology","id":"ITEM-1","issue":"5","issued":{"date-parts":[["2008","6"]]},"page":"1096-1106","title":"Mini-III, an unusual member of the RNase III family of enzymes, catalyses 23S ribosomal RNA maturation in B. subtilis","type":"article-journal","volume":"68"},"uris":["http://www.mendeley.com/documents/?uuid=73d76d9a-d1fc-31a7-8b33-63cd623b0221"]}],"mendeley":{"formattedCitation":"(Redko, Bechhofer and Condon, 2008)","plainTextFormattedCitation":"(Redko, Bechhofer and Condon, 2008)","previouslyFormattedCitation":"(Redko, Bechhofer and Condon, 2008)"},"properties":{"noteIndex":0},"schema":"https://github.com/citation-style-language/schema/raw/master/csl-citation.json"}</w:instrText>
      </w:r>
      <w:r w:rsidR="005C0E76" w:rsidRPr="000E25D8">
        <w:fldChar w:fldCharType="separate"/>
      </w:r>
      <w:r w:rsidRPr="000E25D8">
        <w:rPr>
          <w:noProof/>
        </w:rPr>
        <w:t>(Redko, Bechhofer and Condon, 2008)</w:t>
      </w:r>
      <w:r w:rsidR="005C0E76" w:rsidRPr="000E25D8">
        <w:fldChar w:fldCharType="end"/>
      </w:r>
      <w:r w:rsidRPr="000E25D8">
        <w:t xml:space="preserve"> and use of this “Mini-III” enzyme may shed light on this (see </w:t>
      </w:r>
      <w:r w:rsidR="000E25D8" w:rsidRPr="000E25D8">
        <w:t>F</w:t>
      </w:r>
      <w:r w:rsidRPr="000E25D8">
        <w:t>urther work, chapter 7). In summary, a range of chemically modified dsRNAs were tested as substrates for two simple RNase III/Dicer family enzymes. Which of the enzymes was capable of cleaving which of the chemically modified dsRNAs has provided insights on how well each of the</w:t>
      </w:r>
      <w:r>
        <w:t xml:space="preserve"> dsRNAs is likely to be processed by the more complex insect Dicer-2, and whether issues with processing are likely to be due to binding or cleavage of the dsRNA. However, insect Dicer-2 also possesses the ability to bind blunt dsRNA via the helicase domain, and may use a similar mechanism to bind and process dsRNA where dsRNA chemical modifications interfere with PAZ domain binding. </w:t>
      </w:r>
    </w:p>
    <w:p w:rsidR="0073713C" w:rsidRDefault="0073713C" w:rsidP="0073713C">
      <w:pPr>
        <w:spacing w:line="360" w:lineRule="auto"/>
        <w:ind w:firstLine="284"/>
      </w:pPr>
      <w:r>
        <w:t xml:space="preserve">It should also be noted that Argonaute proteins contain a PAZ domain </w:t>
      </w:r>
      <w:r w:rsidR="005C0E76">
        <w:fldChar w:fldCharType="begin" w:fldLock="1"/>
      </w:r>
      <w:r>
        <w:instrText>ADDIN CSL_CITATION {"citationItems":[{"id":"ITEM-1","itemData":{"DOI":"10.1038/nsb1016","abstract":"The presence of double-stranded RNA (dsRNA) in a eukaryotic cell can trigger an evolutionarily conserved gene silencing mechanism known as RNA interference or RNAi 1. This pathway generally responds to exogenously introduced dsRNAs by targeting homo-logous, endogenous RNAs for sequence-specific degradation 2. There are also numerous endogenous noncoding RNAs known as miRNAs, and at least some of these enter either the same or related silencing pathways, regulating gene expression at the level of either mRNA stability or protein synthesis 3. In many systems, the RNAi machinery has been linked to the metabolism of repetitive genomic sequences. For example, in Schizosaccharomyces pombe, an RNAi-related machinery is essential for regulating repetitive elements at the centromeres and mating type loci through effects on heterochromatin formation 4,5. A close relationship between these seemingly distinct processes is suggested by their sharing not only a common structure of the proposed silencing trigger, namely dsRNA, but also by the presence of certain common features that indicate related biochemical mechanisms. SiRNAs are a central element of RNAi-related pathways. These comprise a dsRNA of 19-24 nucleotides in which the double helix is bounded by two-nucleotide 3′ overhangs 6. Terminal phosphate groups at the 5′ ends of each strand have also been implicated as essential features for the incorporation of such small RNAs into the silencing pathway 7. SiRNAs are produced through the action of a specific RNase III family nuclease known as Dicer 8. This enzyme cleaves either dsRNAs or short hairpin miRNA precursors to generate the active forms of these silencing triggers 1. In the current working model of the RNAi mechanism, each of these structures enters an effector complex (or a series of related complexes) known as RISC, which contains as a signature component a member of the Argo-naute family of proteins 9,10. Argonaute proteins are evolutionarily conserved and are composed of two distinguishing domains, PAZ and PIWI 11,12. Whereas the PIWI domain is restricted to Argonautes, the PAZ domain is found also in Dicer family proteins 8. To better understand the biochemical function of Argonaute proteins, we have determined the crystal structure of the PAZ domain of Drosophila melanogaster Argonaute2 (Ago2-PAZ) and, based on this structural information, suggest a model for how this domain functions in Dicer and RISC. RESULTS Overall structure of Ago2-PAZ The cr…","author":[{"dropping-particle":"","family":"Song","given":"Ji-Joon","non-dropping-particle":"","parse-names":false,"suffix":""},{"dropping-particle":"","family":"Liu","given":"Jidong","non-dropping-particle":"","parse-names":false,"suffix":""},{"dropping-particle":"","family":"Tolia","given":"Niraj H","non-dropping-particle":"","parse-names":false,"suffix":""},{"dropping-particle":"","family":"Schneiderman","given":"Jonathan","non-dropping-particle":"","parse-names":false,"suffix":""},{"dropping-particle":"","family":"Smith","given":"Stephanie K","non-dropping-particle":"","parse-names":false,"suffix":""},{"dropping-particle":"","family":"Martienssen","given":"Robert A","non-dropping-particle":"","parse-names":false,"suffix":""},{"dropping-particle":"","family":"Hannon","given":"Gregory J","non-dropping-particle":"","parse-names":false,"suffix":""},{"dropping-particle":"","family":"Leemor Joshua-Tor","given":"&amp;","non-dropping-particle":"","parse-names":false,"suffix":""}],"container-title":"NATURE STRUCTURAL BIOLOGY","id":"ITEM-1","issued":{"date-parts":[["2003"]]},"title":"The crystal structure of the Argonaute2 PAZ domain reveals an RNA binding motif in RNAi effector complexes","type":"article-journal","volume":"10"},"uris":["http://www.mendeley.com/documents/?uuid=9c1be7c9-3082-385e-9b7f-de631d3157ea"]}],"mendeley":{"formattedCitation":"(Song &lt;i&gt;et al.&lt;/i&gt;, 2003)","plainTextFormattedCitation":"(Song et al., 2003)","previouslyFormattedCitation":"(Song &lt;i&gt;et al.&lt;/i&gt;, 2003)"},"properties":{"noteIndex":0},"schema":"https://github.com/citation-style-language/schema/raw/master/csl-citation.json"}</w:instrText>
      </w:r>
      <w:r w:rsidR="005C0E76">
        <w:fldChar w:fldCharType="separate"/>
      </w:r>
      <w:r w:rsidRPr="006C1998">
        <w:rPr>
          <w:noProof/>
        </w:rPr>
        <w:t xml:space="preserve">(Song </w:t>
      </w:r>
      <w:r w:rsidRPr="006C1998">
        <w:rPr>
          <w:i/>
          <w:noProof/>
        </w:rPr>
        <w:t>et al.</w:t>
      </w:r>
      <w:r w:rsidRPr="006C1998">
        <w:rPr>
          <w:noProof/>
        </w:rPr>
        <w:t>, 2003)</w:t>
      </w:r>
      <w:r w:rsidR="005C0E76">
        <w:fldChar w:fldCharType="end"/>
      </w:r>
      <w:r>
        <w:t xml:space="preserve">, therefore issues with RNAi using chemically modified dsRNA may be due to poor binding of both Dicer-2 and Argonaute-2. </w:t>
      </w:r>
    </w:p>
    <w:p w:rsidR="0073713C" w:rsidRDefault="0073713C" w:rsidP="0073713C">
      <w:pPr>
        <w:spacing w:line="360" w:lineRule="auto"/>
        <w:ind w:firstLine="284"/>
        <w:rPr>
          <w:color w:val="FF0000"/>
        </w:rPr>
      </w:pPr>
    </w:p>
    <w:p w:rsidR="0073713C" w:rsidRDefault="0073713C" w:rsidP="0073713C">
      <w:pPr>
        <w:pStyle w:val="Heading3"/>
        <w:spacing w:before="120" w:after="120" w:line="360" w:lineRule="auto"/>
      </w:pPr>
      <w:bookmarkStart w:id="150" w:name="_Toc18655892"/>
      <w:bookmarkStart w:id="151" w:name="_Toc35333981"/>
      <w:r>
        <w:lastRenderedPageBreak/>
        <w:t>Investigating the resistance of chemically modified dsRNA to degradation by insect nucleases</w:t>
      </w:r>
      <w:bookmarkEnd w:id="150"/>
      <w:bookmarkEnd w:id="151"/>
      <w:r>
        <w:t xml:space="preserve"> </w:t>
      </w:r>
    </w:p>
    <w:p w:rsidR="0073713C" w:rsidRPr="00D06C99" w:rsidRDefault="0073713C" w:rsidP="0073713C">
      <w:pPr>
        <w:pStyle w:val="Heading4"/>
        <w:numPr>
          <w:ilvl w:val="0"/>
          <w:numId w:val="0"/>
        </w:numPr>
        <w:spacing w:line="360" w:lineRule="auto"/>
        <w:ind w:firstLine="284"/>
      </w:pPr>
      <w:bookmarkStart w:id="152" w:name="_Toc18397941"/>
      <w:bookmarkStart w:id="153" w:name="_Toc18655893"/>
      <w:bookmarkStart w:id="154" w:name="_Toc35333982"/>
      <w:r w:rsidRPr="004B321B">
        <w:rPr>
          <w:b w:val="0"/>
        </w:rPr>
        <w:t>Stink bug saliva</w:t>
      </w:r>
      <w:r>
        <w:rPr>
          <w:b w:val="0"/>
        </w:rPr>
        <w:t xml:space="preserve"> contains a wide variety of proteins from both the stink bug itself, and the plants that form its diet </w:t>
      </w:r>
      <w:r w:rsidR="005C0E76">
        <w:rPr>
          <w:b w:val="0"/>
        </w:rPr>
        <w:fldChar w:fldCharType="begin" w:fldLock="1"/>
      </w:r>
      <w:r>
        <w:rPr>
          <w:b w:val="0"/>
        </w:rPr>
        <w:instrText>ADDIN CSL_CITATION {"citationItems":[{"id":"ITEM-1","itemData":{"DOI":"10.1371/journal.pone.0088483","ISSN":"1932-6203","abstract":"We examined the salivary gland structure of the brown marmorated stink bug (Pentatomidae: Halyomorpha halys) and developed methods for independent collection of watery saliva and sheath saliva. This stink bug has become a serious invasive pest of agriculture in the United States and its saliva is largely responsible for the damage it causes. We determined by protein gel analysis and shotgun proteomics that the suite of proteins comprising the sheath and watery saliva are very distinct. Our results indicate that a substantial amount of sheath proteins are derived from tomato when stink bugs feed on tomato fruit. Consequently, the sheath saliva is comprised of both insect and plant-derived proteins. Both sheath and watery saliva possessed amylase activities, but polyphenol oxidase and glucose oxidase activities were not detected in either saliva. Peroxidase activity was only detected in salivary sheaths, but only when stink bugs fed on tomato. Proteomic analysis indicated that the peroxidase was likely of plant origin. We also determined that sheath saliva, but not watery saliva elicited the jasmonate inducible defense gene proteinase inhibitor 2 (Pin2), but this induction was only observed when sheaths had been collected from tomato. This indicates that the eliciting factor of the saliva is likely of plant origin. Lastly, neither watery or sheath saliva affected the expression of the salicylate inducible gene pathogenesis related gene (Pr1a-P4).","author":[{"dropping-particle":"","family":"Peiffer","given":"Michelle","non-dropping-particle":"","parse-names":false,"suffix":""},{"dropping-particle":"","family":"Felton","given":"Gary W.","non-dropping-particle":"","parse-names":false,"suffix":""}],"container-title":"PLoS ONE","editor":[{"dropping-particle":"","family":"Marion-Poll","given":"Frederic","non-dropping-particle":"","parse-names":false,"suffix":""}],"id":"ITEM-1","issue":"2","issued":{"date-parts":[["2014","2","26"]]},"page":"e88483","publisher":"Public Library of Science","title":"Insights into the Saliva of the Brown Marmorated Stink Bug Halyomorpha halys (Hemiptera: Pentatomidae)","type":"article-journal","volume":"9"},"uris":["http://www.mendeley.com/documents/?uuid=a16f9c16-d918-35aa-85c3-1c4ded19c4ed"]}],"mendeley":{"formattedCitation":"(Peiffer and Felton, 2014)","plainTextFormattedCitation":"(Peiffer and Felton, 2014)","previouslyFormattedCitation":"(Peiffer and Felton, 2014)"},"properties":{"noteIndex":0},"schema":"https://github.com/citation-style-language/schema/raw/master/csl-citation.json"}</w:instrText>
      </w:r>
      <w:r w:rsidR="005C0E76">
        <w:rPr>
          <w:b w:val="0"/>
        </w:rPr>
        <w:fldChar w:fldCharType="separate"/>
      </w:r>
      <w:r w:rsidRPr="00345B69">
        <w:rPr>
          <w:b w:val="0"/>
          <w:noProof/>
        </w:rPr>
        <w:t>(Peiffer and Felton, 2014)</w:t>
      </w:r>
      <w:r w:rsidR="005C0E76">
        <w:rPr>
          <w:b w:val="0"/>
        </w:rPr>
        <w:fldChar w:fldCharType="end"/>
      </w:r>
      <w:r>
        <w:rPr>
          <w:b w:val="0"/>
        </w:rPr>
        <w:t>. It has very high nuclease activity which therefore results in degradation of ingested insecticidal dsRNA</w:t>
      </w:r>
      <w:r w:rsidR="00DA03E0">
        <w:rPr>
          <w:b w:val="0"/>
        </w:rPr>
        <w:t>,</w:t>
      </w:r>
      <w:r>
        <w:rPr>
          <w:b w:val="0"/>
        </w:rPr>
        <w:t xml:space="preserve"> which may </w:t>
      </w:r>
      <w:r w:rsidR="00DA03E0">
        <w:rPr>
          <w:b w:val="0"/>
        </w:rPr>
        <w:t>affect</w:t>
      </w:r>
      <w:r>
        <w:rPr>
          <w:b w:val="0"/>
        </w:rPr>
        <w:t xml:space="preserve"> RNAi-related knockdown of the target mRNA </w:t>
      </w:r>
      <w:r w:rsidR="005C0E76">
        <w:rPr>
          <w:b w:val="0"/>
        </w:rPr>
        <w:fldChar w:fldCharType="begin" w:fldLock="1"/>
      </w:r>
      <w:r>
        <w:rPr>
          <w:b w:val="0"/>
        </w:rPr>
        <w:instrText>ADDIN CSL_CITATION {"citationItems":[{"id":"ITEM-1","itemData":{"DOI":"10.1038/srep27587","ISSN":"2045-2322","abstract":"Distinct properties of proteases and nucleases in the gut, salivary gland and saliva of southern green stink bug, &lt;i&gt;Nezara viridula&lt;/i&gt;","author":[{"dropping-particle":"","family":"Lomate","given":"Purushottam R.","non-dropping-particle":"","parse-names":false,"suffix":""},{"dropping-particle":"","family":"Bonning","given":"Bryony C.","non-dropping-particle":"","parse-names":false,"suffix":""}],"container-title":"Scientific Reports","id":"ITEM-1","issue":"1","issued":{"date-parts":[["2016","9","10"]]},"page":"27587","publisher":"Nature Publishing Group","title":"Distinct properties of proteases and nucleases in the gut, salivary gland and saliva of southern green stink bug, Nezara viridula","type":"article-journal","volume":"6"},"uris":["http://www.mendeley.com/documents/?uuid=97ac4a7c-4741-3828-bd65-f318e3232cb0"]}],"mendeley":{"formattedCitation":"(Lomate and Bonning, 2016)","plainTextFormattedCitation":"(Lomate and Bonning, 2016)","previouslyFormattedCitation":"(Lomate and Bonning, 2016)"},"properties":{"noteIndex":0},"schema":"https://github.com/citation-style-language/schema/raw/master/csl-citation.json"}</w:instrText>
      </w:r>
      <w:r w:rsidR="005C0E76">
        <w:rPr>
          <w:b w:val="0"/>
        </w:rPr>
        <w:fldChar w:fldCharType="separate"/>
      </w:r>
      <w:r w:rsidRPr="00345B69">
        <w:rPr>
          <w:b w:val="0"/>
          <w:noProof/>
        </w:rPr>
        <w:t>(Lomate and Bonning, 2016)</w:t>
      </w:r>
      <w:r w:rsidR="005C0E76">
        <w:rPr>
          <w:b w:val="0"/>
        </w:rPr>
        <w:fldChar w:fldCharType="end"/>
      </w:r>
      <w:r>
        <w:rPr>
          <w:b w:val="0"/>
        </w:rPr>
        <w:t xml:space="preserve">. Low stability of dsRNA in stink bug saliva is therefore a major barrier to the success of insecticidal dsRNA in this species. Several of the chemical modifications examined here are known to increase resistance to nuclease degradation </w:t>
      </w:r>
      <w:r w:rsidR="005C0E76">
        <w:rPr>
          <w:b w:val="0"/>
        </w:rPr>
        <w:fldChar w:fldCharType="begin" w:fldLock="1"/>
      </w:r>
      <w:r w:rsidR="00C57A7E">
        <w:rPr>
          <w:b w:val="0"/>
        </w:rPr>
        <w:instrText>ADDIN CSL_CITATION {"citationItems":[{"id":"ITEM-1","itemData":{"DOI":"10.1074/jbc.271.24.14533","ISSN":"0021-9258","PMID":"8662854","abstract":"We have previously described structure-activity studies on a 17-mer uniform phosphorothioate antisense sequence targeted to human Ha-ras. In an effort to further improve the pharmacological properties of antisense oligonucleotides, structure-activity studies on this 17-mer sequence were expanded to examine both the effects of replacing phosphorothioate backbone linkages with phosphodiester linkages and the effects of incorporating various 2'-sugar modifications into phosphorothioate and phosphodiester oligonucleotides on oligonucleotide stability against nucleases in vitro and on antisense activity in cells. Replacement of three or more phosphorothioate linkages with phosphodiester linkages greatly compromised both nuclease resistance and antisense activity, and these effects correlated directly with the number of phosphodiester linkages incorporated into the oligonucleotide. However, substantial nuclease resistance, sufficient for obtaining potent antisense effects in cells, was conferred to phosphodiester oligonucleotides by incorporation of appropriate 2'-alkoxy sugar modifications. Nuclease stability and antisense activity imparted by these sugar modifications in phosphodiester backbones correlated with the size of the 2'-alkoxy substituent (pentoxy &gt; propoxy &gt; methoxy &gt; deoxy). Furthermore, antisense activity mediated by oligonucleotides that exhibit partial resistance to nucleolytic degradation was dependent on both oligonucleotide concentration and the duration of oligonucleotide treatment.","author":[{"dropping-particle":"","family":"Monia","given":"B P","non-dropping-particle":"","parse-names":false,"suffix":""},{"dropping-particle":"","family":"Johnston","given":"J F","non-dropping-particle":"","parse-names":false,"suffix":""},{"dropping-particle":"","family":"Sasmor","given":"H","non-dropping-particle":"","parse-names":false,"suffix":""},{"dropping-particle":"","family":"Cummins","given":"L L","non-dropping-particle":"","parse-names":false,"suffix":""}],"container-title":"The Journal of biological chemistry","id":"ITEM-1","issue":"24","issued":{"date-parts":[["1996","6","14"]]},"page":"14533-40","publisher":"American Society for Biochemistry and Molecular Biology","title":"Nuclease resistance and antisense activity of modified oligonucleotides targeted to Ha-ras.","type":"article-journal","volume":"271"},"uris":["http://www.mendeley.com/documents/?uuid=54e89493-210c-307d-a0bf-95f2abcf1597"]},{"id":"ITEM-2","itemData":{"DOI":"10.1038/ncomms7317","ISSN":"2041-1723","abstract":"Therapeutic oligonucleotides can be made more stable by substituting their achiral phosphodiester groups for chiral phosphorothioate linkages. Here, the authors present a synthesis of phosphorothioated RNAs, where the activator controls strand stereochemistry, and also the activity of assembled siRNAs.","author":[{"dropping-particle":"","family":"Jahns","given":"Hartmut","non-dropping-particle":"","parse-names":false,"suffix":""},{"dropping-particle":"","family":"Roos","given":"Martina","non-dropping-particle":"","parse-names":false,"suffix":""},{"dropping-particle":"","family":"Imig","given":"Jochen","non-dropping-particle":"","parse-names":false,"suffix":""},{"dropping-particle":"","family":"Baumann","given":"Fabienne","non-dropping-particle":"","parse-names":false,"suffix":""},{"dropping-particle":"","family":"Wang","given":"Yuluan","non-dropping-particle":"","parse-names":false,"suffix":""},{"dropping-particle":"","family":"Gilmour","given":"Ryan","non-dropping-particle":"","parse-names":false,"suffix":""},{"dropping-particle":"","family":"Hall","given":"Jonathan","non-dropping-particle":"","parse-names":false,"suffix":""}],"container-title":"Nature Communications","id":"ITEM-2","issue":"1","issued":{"date-parts":[["2015","12","6"]]},"page":"6317","publisher":"Nature Publishing Group","title":"Stereochemical bias introduced during RNA synthesis modulates the activity of phosphorothioate siRNAs","type":"article-journal","volume":"6"},"uris":["http://www.mendeley.com/documents/?uuid=94ae2c08-2a07-3a78-8de6-1074a96ed422"]},{"id":"ITEM-3","itemData":{"DOI":"10.1093/nar/gkx1239","ISSN":"0305-1048","author":[{"dropping-particle":"","family":"Shen","given":"Xiulong","non-dropping-particle":"","parse-names":false,"suffix":""},{"dropping-particle":"","family":"Corey","given":"David R","non-dropping-particle":"","parse-names":false,"suffix":""}],"container-title":"Nucleic Acids Research","id":"ITEM-3","issue":"4","issued":{"date-parts":[["2018","2","28"]]},"page":"1584-1600","publisher":"Narnia","title":"Chemistry, mechanism and clinical status of antisense oligonucleotides and duplex RNAs","type":"article-journal","volume":"46"},"uris":["http://www.mendeley.com/documents/?uuid=005e68f5-ed4a-3ec6-bc6b-31aa77bbeb2d"]}],"mendeley":{"formattedCitation":"(Monia &lt;i&gt;et al.&lt;/i&gt;, 1996; Jahns &lt;i&gt;et al.&lt;/i&gt;, 2015b; Shen and Corey, 2018a)","plainTextFormattedCitation":"(Monia et al., 1996; Jahns et al., 2015b; Shen and Corey, 2018a)","previouslyFormattedCitation":"(Monia &lt;i&gt;et al.&lt;/i&gt;, 1996; Jahns &lt;i&gt;et al.&lt;/i&gt;, 2015; Shen and Corey, 2018)"},"properties":{"noteIndex":0},"schema":"https://github.com/citation-style-language/schema/raw/master/csl-citation.json"}</w:instrText>
      </w:r>
      <w:r w:rsidR="005C0E76">
        <w:rPr>
          <w:b w:val="0"/>
        </w:rPr>
        <w:fldChar w:fldCharType="separate"/>
      </w:r>
      <w:r w:rsidR="00C57A7E" w:rsidRPr="00C57A7E">
        <w:rPr>
          <w:b w:val="0"/>
          <w:noProof/>
        </w:rPr>
        <w:t xml:space="preserve">(Monia </w:t>
      </w:r>
      <w:r w:rsidR="00C57A7E" w:rsidRPr="00C57A7E">
        <w:rPr>
          <w:b w:val="0"/>
          <w:i/>
          <w:noProof/>
        </w:rPr>
        <w:t>et al.</w:t>
      </w:r>
      <w:r w:rsidR="00C57A7E" w:rsidRPr="00C57A7E">
        <w:rPr>
          <w:b w:val="0"/>
          <w:noProof/>
        </w:rPr>
        <w:t xml:space="preserve">, 1996; Jahns </w:t>
      </w:r>
      <w:r w:rsidR="00C57A7E" w:rsidRPr="00C57A7E">
        <w:rPr>
          <w:b w:val="0"/>
          <w:i/>
          <w:noProof/>
        </w:rPr>
        <w:t>et al.</w:t>
      </w:r>
      <w:r w:rsidR="00C57A7E" w:rsidRPr="00C57A7E">
        <w:rPr>
          <w:b w:val="0"/>
          <w:noProof/>
        </w:rPr>
        <w:t>, 2015b; Shen and Corey, 2018a)</w:t>
      </w:r>
      <w:r w:rsidR="005C0E76">
        <w:rPr>
          <w:b w:val="0"/>
        </w:rPr>
        <w:fldChar w:fldCharType="end"/>
      </w:r>
      <w:r>
        <w:rPr>
          <w:b w:val="0"/>
        </w:rPr>
        <w:t xml:space="preserve">. </w:t>
      </w:r>
      <w:bookmarkEnd w:id="152"/>
      <w:bookmarkEnd w:id="153"/>
      <w:r>
        <w:rPr>
          <w:b w:val="0"/>
        </w:rPr>
        <w:t xml:space="preserve">Therefore it was proposed that chemical modifications of dsRNA could provide increased resistance to insect nucleases compared to unmodified dsRNA, and potentially demonstrate improved RNAi efficacy compared to unmodified dsRNA. As stink bug saliva was a potent, pertinent, and readily available source of insect nucleases this was used to study the </w:t>
      </w:r>
      <w:r w:rsidRPr="0018146E">
        <w:rPr>
          <w:b w:val="0"/>
        </w:rPr>
        <w:t xml:space="preserve">effects of dsRNA chemical modifications on </w:t>
      </w:r>
      <w:r>
        <w:rPr>
          <w:b w:val="0"/>
        </w:rPr>
        <w:t xml:space="preserve">dsRNA </w:t>
      </w:r>
      <w:r w:rsidRPr="0018146E">
        <w:rPr>
          <w:b w:val="0"/>
        </w:rPr>
        <w:t>degradation by insect nucleases</w:t>
      </w:r>
      <w:r>
        <w:rPr>
          <w:b w:val="0"/>
        </w:rPr>
        <w:t>.</w:t>
      </w:r>
      <w:bookmarkEnd w:id="154"/>
      <w:r w:rsidRPr="0018146E">
        <w:rPr>
          <w:b w:val="0"/>
        </w:rPr>
        <w:t xml:space="preserve"> </w:t>
      </w:r>
    </w:p>
    <w:p w:rsidR="0073713C" w:rsidRDefault="0073713C" w:rsidP="0073713C">
      <w:pPr>
        <w:pStyle w:val="Heading4"/>
        <w:spacing w:before="120" w:after="120" w:line="360" w:lineRule="auto"/>
        <w:ind w:left="851" w:hanging="864"/>
      </w:pPr>
      <w:bookmarkStart w:id="155" w:name="_Toc18655894"/>
      <w:bookmarkStart w:id="156" w:name="_Toc35333983"/>
      <w:r>
        <w:t>Optimisation of stink bug salival nuclease dsRNA degradation assay</w:t>
      </w:r>
      <w:bookmarkEnd w:id="155"/>
      <w:bookmarkEnd w:id="156"/>
    </w:p>
    <w:p w:rsidR="0073713C" w:rsidRPr="00EF2DF4" w:rsidRDefault="0073713C" w:rsidP="0073713C">
      <w:pPr>
        <w:spacing w:line="360" w:lineRule="auto"/>
        <w:ind w:firstLine="284"/>
        <w:rPr>
          <w:color w:val="FF0000"/>
        </w:rPr>
      </w:pPr>
      <w:r>
        <w:t xml:space="preserve">Stink bug saliva was determined as a relevant source of insect nucleases for use in determining potential differences in nuclease resistance between unmodified and chemically modified dsRNA. In order to collect stink bug saliva, feeding sachets were produced by vacuum pumping parafilm over a 96 well plate, loading the resulting indents with Sf9 insect media containing a range of antibiotics and fungicides to </w:t>
      </w:r>
      <w:r w:rsidRPr="001E1AC5">
        <w:t>prevent infection by bacteria and fungus present on or in the insects, and sealing the media in place (see method section 2.</w:t>
      </w:r>
      <w:r w:rsidR="001E1AC5" w:rsidRPr="001E1AC5">
        <w:t>3.1</w:t>
      </w:r>
      <w:r w:rsidRPr="001E1AC5">
        <w:t>). The completed sachets were placed over the top of 96 well mesh bottom plates containing one N2 stink</w:t>
      </w:r>
      <w:r>
        <w:t xml:space="preserve"> bug per well. The insects pierced the parafilm and fed from the media reservoirs, contaminating the Sf9 media with salival nucleases in the process. They were allowed to do this for three days before the remaining saliva-containing Sf9 media was extracted from the sachet by syringe. The collected media was pooled to homogenise the quantity and profile of salival nucleases present, and stored at -20°C until required. </w:t>
      </w:r>
    </w:p>
    <w:p w:rsidR="0073713C" w:rsidRDefault="0073713C" w:rsidP="0073713C">
      <w:pPr>
        <w:spacing w:line="360" w:lineRule="auto"/>
        <w:ind w:firstLine="284"/>
      </w:pPr>
    </w:p>
    <w:p w:rsidR="0073713C" w:rsidRDefault="0073713C" w:rsidP="0073713C">
      <w:pPr>
        <w:spacing w:line="360" w:lineRule="auto"/>
        <w:ind w:firstLine="284"/>
      </w:pPr>
      <w:r>
        <w:t>Prior to s</w:t>
      </w:r>
      <w:r w:rsidRPr="000B13F9">
        <w:t>tudying the effects of dsRNA chemical modifications on degradation</w:t>
      </w:r>
      <w:r>
        <w:t xml:space="preserve"> by insect salival nucleases, the assay was optimised. Six batches of stink bug saliva in Sf9 media were collected as </w:t>
      </w:r>
      <w:r w:rsidRPr="005D60B4">
        <w:t>detailed above. The level</w:t>
      </w:r>
      <w:r>
        <w:t xml:space="preserve"> of nuclease activity in the saliva media, the concentration of saliva media used, and the incubation time used in the assay were all co-optimised by setting up an assay to compare the ability of the six batches of saliva media to degrade unmodified dsRNA, at a range of saliva media dilutions and two time points: 2 hours and overnight (O/N). </w:t>
      </w:r>
    </w:p>
    <w:p w:rsidR="0073713C" w:rsidRPr="001E1AC5" w:rsidRDefault="0073713C" w:rsidP="0073713C">
      <w:pPr>
        <w:spacing w:line="360" w:lineRule="auto"/>
        <w:ind w:firstLine="284"/>
      </w:pPr>
      <w:r>
        <w:lastRenderedPageBreak/>
        <w:t xml:space="preserve">Samples </w:t>
      </w:r>
      <w:r w:rsidRPr="001E1AC5">
        <w:t>of unmodified Target B dsRNA were added to a range of dilutions of each batch of saliva media as described in method section 2.</w:t>
      </w:r>
      <w:r w:rsidR="001E1AC5" w:rsidRPr="001E1AC5">
        <w:t>3.1</w:t>
      </w:r>
      <w:r w:rsidRPr="001E1AC5">
        <w:t xml:space="preserve"> and incubated at room temperature. Samples were taken at 2 hours and after overnight incubation, and analysed by agarose gel electrophoresis. The results are shown in figure 4.5, with results for each batch of saliva media arranged in approximate order of increasing nuclease activity. The results demonstrate that batch 1 had very low nuclease activity, as the intact dsRNA was observed across all dilutions of salival nuclease used. Batches 2-4 had similar moderate levels of nuclease activity, batch 5 had increased nuclease activity compared to batches 2-5, and batch 6 had the highest nuclease activity. The saliva media batches with moderate nuclease activity (batches 2-4) demonstrated significant amounts of</w:t>
      </w:r>
      <w:r w:rsidR="00DA03E0">
        <w:t xml:space="preserve"> intact dsRNA remaining</w:t>
      </w:r>
      <w:r w:rsidRPr="001E1AC5">
        <w:t xml:space="preserve"> for the lowest 4 of 7 media dilutions at 2 hours, and for 3 of the 7 media dilutions after overnight incubation. The saliva media batches with high nuclease activity (batches 5 and 6) demonstrated significant amounts of intact dsRNA for the lowest 3 of 7 media dilutions at 2 hours. The lowest 3 of 7 dilutions of batch 5 also contained significant amounts of intact dsRNA after overnight incubation, whereas only the lowest 2 of 7 dilutions of batch 6 contained significant amounts of intact dsRNA remained after overnight incubation (see figure 4.5).   </w:t>
      </w:r>
    </w:p>
    <w:p w:rsidR="0073713C" w:rsidRDefault="0073713C" w:rsidP="0073713C">
      <w:pPr>
        <w:spacing w:line="360" w:lineRule="auto"/>
        <w:ind w:firstLine="284"/>
      </w:pPr>
      <w:r w:rsidRPr="001E1AC5">
        <w:t>Batch 5 of saliva media was selected for the main assay comparing</w:t>
      </w:r>
      <w:r>
        <w:t xml:space="preserve"> the nuclease resistance of unmodified and chemically modified dsRNA, due to the high level of nuclease activity it demonstrated. The range of saliva media dilutions was validated as appropriate for use for the main assay as significant variation in dsRNA stability was seen across the dilution range. Identical saliva media dilutions also demonstrated significant differences in dsRNA stability between the 2 hour and overnight time points. These were therefore used as the first and last time points for the main assay, along with 4 hour and 6 hour time points. </w:t>
      </w:r>
    </w:p>
    <w:p w:rsidR="0073713C" w:rsidRDefault="0073713C" w:rsidP="0073713C">
      <w:pPr>
        <w:spacing w:line="360" w:lineRule="auto"/>
        <w:ind w:firstLine="284"/>
      </w:pPr>
      <w:r>
        <w:t xml:space="preserve">   </w:t>
      </w:r>
    </w:p>
    <w:p w:rsidR="0073713C" w:rsidRPr="00A661E3" w:rsidRDefault="0073713C" w:rsidP="006973D5">
      <w:pPr>
        <w:pStyle w:val="Heading4"/>
        <w:spacing w:before="120" w:after="120" w:line="360" w:lineRule="auto"/>
        <w:ind w:left="851" w:hanging="864"/>
      </w:pPr>
      <w:bookmarkStart w:id="157" w:name="_Toc18655895"/>
      <w:bookmarkStart w:id="158" w:name="_Toc35333984"/>
      <w:r>
        <w:t>Investigating the resistance of chemically modified dsRNA to degradation by nucleases present in stink bug saliva</w:t>
      </w:r>
      <w:bookmarkEnd w:id="157"/>
      <w:bookmarkEnd w:id="158"/>
    </w:p>
    <w:p w:rsidR="0073713C" w:rsidRDefault="0073713C" w:rsidP="0073713C">
      <w:pPr>
        <w:spacing w:line="360" w:lineRule="auto"/>
        <w:ind w:firstLine="284"/>
      </w:pPr>
    </w:p>
    <w:p w:rsidR="0073713C" w:rsidRDefault="0073713C" w:rsidP="0073713C">
      <w:pPr>
        <w:spacing w:line="360" w:lineRule="auto"/>
        <w:ind w:firstLine="284"/>
      </w:pPr>
      <w:r>
        <w:t>In order to determine potential differences in nuclease resistance between unmodified and chemically modified dsRNA, a number of chemically modified dsRNAs were incubated with a range of dilutions of saliva media (batch 5), and samples removed for analysis at a number of time points.</w:t>
      </w:r>
    </w:p>
    <w:p w:rsidR="003A4D62" w:rsidRDefault="0073713C" w:rsidP="0073713C">
      <w:pPr>
        <w:spacing w:line="360" w:lineRule="auto"/>
        <w:ind w:firstLine="284"/>
      </w:pPr>
      <w:r>
        <w:t xml:space="preserve">The first row of a 96 well PCR plate was loaded with pure saliva media, and each subsequent row loaded with a 1:3 dilution of the previous row in water, down to a 1:729 dilution. A further row was dedicated to a water only control condition for each dsRNA to be tested. Two replicate sets of dilutions were set up for each dsRNA, with one whole set of replicates in each of two separate plates. </w:t>
      </w:r>
      <w:r w:rsidR="003A4D62">
        <w:t xml:space="preserve">  </w:t>
      </w:r>
      <w:r>
        <w:t xml:space="preserve">Equal </w:t>
      </w:r>
      <w:r w:rsidR="003A4D62">
        <w:t xml:space="preserve"> </w:t>
      </w:r>
      <w:r>
        <w:t xml:space="preserve">amounts </w:t>
      </w:r>
      <w:r w:rsidR="003A4D62">
        <w:t xml:space="preserve"> </w:t>
      </w:r>
      <w:r>
        <w:t xml:space="preserve">(2.6 µg) </w:t>
      </w:r>
      <w:r w:rsidR="003A4D62">
        <w:t xml:space="preserve"> </w:t>
      </w:r>
      <w:r>
        <w:t>of</w:t>
      </w:r>
      <w:r w:rsidR="003A4D62">
        <w:t xml:space="preserve"> </w:t>
      </w:r>
      <w:r>
        <w:t xml:space="preserve"> each</w:t>
      </w:r>
      <w:r w:rsidR="003A4D62">
        <w:t xml:space="preserve"> </w:t>
      </w:r>
      <w:r>
        <w:t xml:space="preserve"> of the dsRNAs were loaded into every well, and the plates</w:t>
      </w:r>
    </w:p>
    <w:p w:rsidR="003A4D62" w:rsidRDefault="00F769B8" w:rsidP="003A4D62">
      <w:pPr>
        <w:keepNext/>
        <w:spacing w:after="200"/>
        <w:jc w:val="left"/>
      </w:pPr>
      <w:r>
        <w:rPr>
          <w:noProof/>
          <w:lang w:eastAsia="en-GB"/>
        </w:rPr>
        <w:lastRenderedPageBreak/>
        <w:drawing>
          <wp:inline distT="0" distB="0" distL="0" distR="0">
            <wp:extent cx="5797703" cy="4518660"/>
            <wp:effectExtent l="19050" t="0" r="0"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l="38457" t="20804" r="20275" b="21986"/>
                    <a:stretch>
                      <a:fillRect/>
                    </a:stretch>
                  </pic:blipFill>
                  <pic:spPr bwMode="auto">
                    <a:xfrm>
                      <a:off x="0" y="0"/>
                      <a:ext cx="5800163" cy="4520577"/>
                    </a:xfrm>
                    <a:prstGeom prst="rect">
                      <a:avLst/>
                    </a:prstGeom>
                    <a:noFill/>
                    <a:ln w="9525">
                      <a:noFill/>
                      <a:miter lim="800000"/>
                      <a:headEnd/>
                      <a:tailEnd/>
                    </a:ln>
                  </pic:spPr>
                </pic:pic>
              </a:graphicData>
            </a:graphic>
          </wp:inline>
        </w:drawing>
      </w:r>
    </w:p>
    <w:p w:rsidR="006973D5" w:rsidRDefault="003A4D62" w:rsidP="006973D5">
      <w:pPr>
        <w:pStyle w:val="Caption"/>
        <w:spacing w:after="120"/>
        <w:rPr>
          <w:color w:val="auto"/>
        </w:rPr>
      </w:pPr>
      <w:bookmarkStart w:id="159" w:name="_Toc20411646"/>
      <w:r w:rsidRPr="003A4D62">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5</w:t>
      </w:r>
      <w:r w:rsidR="005C0E76">
        <w:rPr>
          <w:color w:val="auto"/>
        </w:rPr>
        <w:fldChar w:fldCharType="end"/>
      </w:r>
      <w:r w:rsidRPr="003A4D62">
        <w:rPr>
          <w:color w:val="auto"/>
        </w:rPr>
        <w:t xml:space="preserve"> Optimisation of insect saliva nuclease assay.</w:t>
      </w:r>
      <w:bookmarkEnd w:id="159"/>
      <w:r w:rsidRPr="003A4D62">
        <w:rPr>
          <w:color w:val="auto"/>
        </w:rPr>
        <w:t xml:space="preserve"> </w:t>
      </w:r>
    </w:p>
    <w:p w:rsidR="003A4D62" w:rsidRPr="003A4D62" w:rsidRDefault="003A4D62" w:rsidP="006973D5">
      <w:pPr>
        <w:pStyle w:val="Caption"/>
        <w:spacing w:after="120"/>
        <w:rPr>
          <w:b w:val="0"/>
          <w:color w:val="auto"/>
        </w:rPr>
      </w:pPr>
      <w:r w:rsidRPr="003A4D62">
        <w:rPr>
          <w:b w:val="0"/>
          <w:color w:val="auto"/>
        </w:rPr>
        <w:t xml:space="preserve">Gel electrophoretograms of unmodified Target B dsRNA incubated at room temperature with various batches of Sf9 cell culture media containing stink bug saliva. Saliva media at a range of dilutions in water, and reactions stopped at either 2 hrs or after incubation overnight (O/N) by addition of formamide loading dye and freezing at -20 °C. </w:t>
      </w:r>
    </w:p>
    <w:p w:rsidR="003A4D62" w:rsidRPr="003A4D62" w:rsidRDefault="003A4D62" w:rsidP="003A4D62">
      <w:pPr>
        <w:pStyle w:val="Caption"/>
        <w:jc w:val="left"/>
        <w:rPr>
          <w:color w:val="auto"/>
        </w:rPr>
      </w:pPr>
    </w:p>
    <w:p w:rsidR="0073713C" w:rsidRDefault="0073713C" w:rsidP="003A4D62">
      <w:pPr>
        <w:spacing w:line="360" w:lineRule="auto"/>
      </w:pPr>
      <w:r>
        <w:t>sealed and placed on a shaker plate to avoid sedimentation. The plates were incubated at room temperature, and samples were collected for each combination of dsRNA and saliva media dilution at 2, 4 and 6 hours</w:t>
      </w:r>
      <w:r w:rsidR="00DA03E0">
        <w:t>,</w:t>
      </w:r>
      <w:r>
        <w:t xml:space="preserve"> and a further sample collected after incubation overnight (O/N). Collected samples were dispensed into fresh 96 well PCR plates containing gel loading dye, and stored at -20°C until thawed for agarose gel analysis in order to prevent further nuclease degradation of the dsRNA.</w:t>
      </w:r>
    </w:p>
    <w:p w:rsidR="0073713C" w:rsidRDefault="0073713C" w:rsidP="0073713C">
      <w:pPr>
        <w:spacing w:line="360" w:lineRule="auto"/>
        <w:ind w:firstLine="284"/>
      </w:pPr>
    </w:p>
    <w:p w:rsidR="0073713C" w:rsidRPr="001E1AC5" w:rsidRDefault="0073713C" w:rsidP="0073713C">
      <w:pPr>
        <w:spacing w:line="360" w:lineRule="auto"/>
        <w:ind w:firstLine="284"/>
      </w:pPr>
      <w:r>
        <w:t xml:space="preserve">The </w:t>
      </w:r>
      <w:r w:rsidRPr="001E1AC5">
        <w:t>dsRNAs tested were all Target B dsRNAs and included: unmodified, Un-2PS, 2PS, Un-2 2’F, 2 2’F, 1HMr (see figure 3.1 for explanation of nomenclature). All replicates, time points and saliva media dilutions for all dsRNAs tested were analysed by gel electrophoresis (see figures 4.6 a, 4.7 a, 4.8 a). Gels were imaged, and the band intensity for each lane measured using Fiji (Image J) image analysis software (see method section 2.</w:t>
      </w:r>
      <w:r w:rsidR="001E1AC5" w:rsidRPr="001E1AC5">
        <w:t>3.2</w:t>
      </w:r>
      <w:r w:rsidRPr="001E1AC5">
        <w:t>). All dsRNA intensity was quantified, including partially degraded dsRNA fragments</w:t>
      </w:r>
      <w:r w:rsidR="00DA03E0">
        <w:t>,</w:t>
      </w:r>
      <w:r w:rsidRPr="001E1AC5">
        <w:t xml:space="preserve"> which was used to reflect the non</w:t>
      </w:r>
      <w:r>
        <w:t xml:space="preserve">-degraded dsRNA in this analysis. This </w:t>
      </w:r>
      <w:r>
        <w:lastRenderedPageBreak/>
        <w:t xml:space="preserve">also reflects the fact that these fragments would likely still be efficacious for RNAi </w:t>
      </w:r>
      <w:r w:rsidRPr="00010358">
        <w:rPr>
          <w:i/>
        </w:rPr>
        <w:t>in vivo</w:t>
      </w:r>
      <w:r>
        <w:t xml:space="preserve">. The band </w:t>
      </w:r>
      <w:r w:rsidRPr="001E1AC5">
        <w:t>intensities for each replicate of each time point and media dilution were normalised against the corresponding band intensity of the water only control band, to calculate the “Relative dsRNA stability index” (</w:t>
      </w:r>
      <w:r w:rsidR="001E1AC5" w:rsidRPr="001E1AC5">
        <w:t>see section 2.3.1</w:t>
      </w:r>
      <w:r w:rsidRPr="001E1AC5">
        <w:t xml:space="preserve">). The results are shown in figures 4.6 b, 4.7 b and 4.8 b as the average of the two replicates with the standard </w:t>
      </w:r>
      <w:r w:rsidR="00DA03E0">
        <w:t>deviation</w:t>
      </w:r>
      <w:r w:rsidRPr="001E1AC5">
        <w:t xml:space="preserve"> (S</w:t>
      </w:r>
      <w:r w:rsidR="00DA03E0">
        <w:t>D</w:t>
      </w:r>
      <w:r w:rsidRPr="001E1AC5">
        <w:t xml:space="preserve">). The quantification of the pure saliva media conditions has been omitted from the results for clarity (see below). </w:t>
      </w:r>
    </w:p>
    <w:p w:rsidR="0073713C" w:rsidRPr="001E1AC5" w:rsidRDefault="0073713C" w:rsidP="0073713C">
      <w:pPr>
        <w:spacing w:line="360" w:lineRule="auto"/>
        <w:ind w:firstLine="284"/>
      </w:pPr>
      <w:r w:rsidRPr="001E1AC5">
        <w:t>The results demonstrate that there were clear differences in the nuclease stability of the</w:t>
      </w:r>
      <w:r>
        <w:t xml:space="preserve"> unmodified and chemically modified dsRNAs. The differences in stability between dsRNAs are clearest at the 1/27 and 1/81 dilutions of saliva. The results show that phosphorothioate modified </w:t>
      </w:r>
      <w:r w:rsidRPr="001E1AC5">
        <w:t>dsRNA shows increased nuclease resistance to stink bug salival nucleases compared to modified dsRNA. The differences in the 1/27 dilutions between all time points is highlighted by the red box in figure 4.6 a and shows the presence of intact dsRNA in the 2PS-2PS dsRNA across all time points. In contrast, intact unmodified dsRNA was only observed at the 2 hr time point. The 2’-fluoro modified dsRNA was less stable than unmodified dsRNA in the presence of stink bug salival nucleases. The differences between the 1/27 and particularly the 1/81 dilutions of saliva media highlighted in the red box in figure 4.7 a</w:t>
      </w:r>
      <w:r w:rsidR="00DA03E0">
        <w:t>,</w:t>
      </w:r>
      <w:r w:rsidRPr="001E1AC5">
        <w:t xml:space="preserve"> show that at all time points the majority of the dsRNA has been degraded. However, intact dsRNA clearly remains at the 2-6 hr time points in the unmodified dsRNA. The 5-hydroxymethyl modified dsRNA showed little difference in stability compared to unmodified dsRNA (figure 4.8 a). A summary of the relative stability of the chemically modified dsRNA compared to the unmodified dsRNA for selected stink bug saliva media dilutions is presented in figure 4.9. The results highlight the increased relative stability of the phosphorothioate modified dsRNA compared to unmodified dsRNA.</w:t>
      </w:r>
    </w:p>
    <w:p w:rsidR="003A4D62" w:rsidRPr="001E1AC5" w:rsidRDefault="0073713C" w:rsidP="0073713C">
      <w:pPr>
        <w:spacing w:line="360" w:lineRule="auto"/>
        <w:ind w:firstLine="284"/>
      </w:pPr>
      <w:r w:rsidRPr="001E1AC5">
        <w:t xml:space="preserve">2’-Fluoro modifications have previously been shown to increase resistance of nucleic acids to degradation by nucleases. ssRNA with 2’-fluoro cytidine (2’FC) and 2’-fluoro uridine (2’FU) residues has been shown to be more resistant than unmodified ssRNA to RNase A and the nucleases found on human skin </w:t>
      </w:r>
      <w:r w:rsidR="005C0E76" w:rsidRPr="001E1AC5">
        <w:fldChar w:fldCharType="begin" w:fldLock="1"/>
      </w:r>
      <w:r w:rsidRPr="001E1AC5">
        <w:instrText>ADDIN CSL_CITATION {"citationItems":[{"id":"ITEM-1","itemData":{"author":[{"dropping-particle":"","family":"Meis","given":"Judith E.","non-dropping-particle":"","parse-names":false,"suffix":""},{"dropping-particle":"","family":"Chen","given":"FengLing","non-dropping-particle":"","parse-names":false,"suffix":""}],"container-title":"Epicentre Forum","id":"ITEM-1","issue":"1","issued":{"date-parts":[["2002"]]},"page":"10-11","title":"In Vitro Synthesis of 2’-Fluoro-Modified RNA Transcripts That Are Completely Resistant to RNase A Digestion Using the DuraScribe™ T7 Transcription Kit","type":"article-journal","volume":"9"},"uris":["http://www.mendeley.com/documents/?uuid=60883151-7297-3810-81e3-7f366b9b0a1b"]}],"mendeley":{"formattedCitation":"(Meis and Chen, 2002)","plainTextFormattedCitation":"(Meis and Chen, 2002)","previouslyFormattedCitation":"(Meis and Chen, 2002)"},"properties":{"noteIndex":0},"schema":"https://github.com/citation-style-language/schema/raw/master/csl-citation.json"}</w:instrText>
      </w:r>
      <w:r w:rsidR="005C0E76" w:rsidRPr="001E1AC5">
        <w:fldChar w:fldCharType="separate"/>
      </w:r>
      <w:r w:rsidRPr="001E1AC5">
        <w:rPr>
          <w:noProof/>
        </w:rPr>
        <w:t>(Meis and Chen, 2002)</w:t>
      </w:r>
      <w:r w:rsidR="005C0E76" w:rsidRPr="001E1AC5">
        <w:fldChar w:fldCharType="end"/>
      </w:r>
      <w:r w:rsidRPr="001E1AC5">
        <w:t>, and siRNAs with 2’-FC and 2’-FU residues</w:t>
      </w:r>
      <w:r>
        <w:t xml:space="preserve"> ha</w:t>
      </w:r>
      <w:r w:rsidR="00DA03E0">
        <w:t>ve</w:t>
      </w:r>
      <w:r>
        <w:t xml:space="preserve"> been demonstrated to be more resistant than unmodified siRNAs to nucleases in HeLa cell extract </w:t>
      </w:r>
      <w:r w:rsidR="005C0E76">
        <w:fldChar w:fldCharType="begin" w:fldLock="1"/>
      </w:r>
      <w:r>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analysis","type":"article-journal","volume":"9"},"uris":["http://www.mendeley.com/documents/?uuid=b575ef29-2702-31fc-b85c-c66c1af1e55b"]}],"mendeley":{"formattedCitation":"(Chiu and Rana, 2003)","plainTextFormattedCitation":"(Chiu and Rana, 2003)","previouslyFormattedCitation":"(Chiu and Rana, 2003)"},"properties":{"noteIndex":0},"schema":"https://github.com/citation-style-language/schema/raw/master/csl-citation.json"}</w:instrText>
      </w:r>
      <w:r w:rsidR="005C0E76">
        <w:fldChar w:fldCharType="separate"/>
      </w:r>
      <w:r w:rsidRPr="00316876">
        <w:rPr>
          <w:noProof/>
        </w:rPr>
        <w:t>(Chiu and Rana, 2003)</w:t>
      </w:r>
      <w:r w:rsidR="005C0E76">
        <w:fldChar w:fldCharType="end"/>
      </w:r>
      <w:r>
        <w:t xml:space="preserve">. In contrast, the results presented </w:t>
      </w:r>
      <w:r w:rsidR="00DA03E0">
        <w:t>here (</w:t>
      </w:r>
      <w:r>
        <w:t>above</w:t>
      </w:r>
      <w:r w:rsidR="00DA03E0">
        <w:t>)</w:t>
      </w:r>
      <w:r>
        <w:t xml:space="preserve"> show that 2’-fluoro dsRNA was less stable than </w:t>
      </w:r>
      <w:r w:rsidRPr="001E1AC5">
        <w:t xml:space="preserve">unmodified dsRNA when subjected to the particular range of nucleases present in stink bug saliva. Where 2’-fluoro modifications were only present in one strand, the dsRNA was correspondingly moderately less stable than unmodified dsRNA, though to a lesser degree than for dsRNAs with modifications in both strands. However, previous studies demonstrated 2’-fluoro chimeric oligonucleotides that were less stable than equivalents without 2’-fluoro modifications </w:t>
      </w:r>
      <w:r w:rsidR="005C0E76" w:rsidRPr="001E1AC5">
        <w:fldChar w:fldCharType="begin" w:fldLock="1"/>
      </w:r>
      <w:r w:rsidRPr="001E1AC5">
        <w:instrText>ADDIN CSL_CITATION {"citationItems":[{"id":"ITEM-1","itemData":{"DOI":"10.1074/jbc.271.24.14533","ISSN":"0021-9258","PMID":"8662854","abstract":"We have previously described structure-activity studies on a 17-mer uniform phosphorothioate antisense sequence targeted to human Ha-ras. In an effort to further improve the pharmacological properties of antisense oligonucleotides, structure-activity studies on this 17-mer sequence were expanded to examine both the effects of replacing phosphorothioate backbone linkages with phosphodiester linkages and the effects of incorporating various 2'-sugar modifications into phosphorothioate and phosphodiester oligonucleotides on oligonucleotide stability against nucleases in vitro and on antisense activity in cells. Replacement of three or more phosphorothioate linkages with phosphodiester linkages greatly compromised both nuclease resistance and antisense activity, and these effects correlated directly with the number of phosphodiester linkages incorporated into the oligonucleotide. However, substantial nuclease resistance, sufficient for obtaining potent antisense effects in cells, was conferred to phosphodiester oligonucleotides by incorporation of appropriate 2'-alkoxy sugar modifications. Nuclease stability and antisense activity imparted by these sugar modifications in phosphodiester backbones correlated with the size of the 2'-alkoxy substituent (pentoxy &gt; propoxy &gt; methoxy &gt; deoxy). Furthermore, antisense activity mediated by oligonucleotides that exhibit partial resistance to nucleolytic degradation was dependent on both oligonucleotide concentration and the duration of oligonucleotide treatment.","author":[{"dropping-particle":"","family":"Monia","given":"B P","non-dropping-particle":"","parse-names":false,"suffix":""},{"dropping-particle":"","family":"Johnston","given":"J F","non-dropping-particle":"","parse-names":false,"suffix":""},{"dropping-particle":"","family":"Sasmor","given":"H","non-dropping-particle":"","parse-names":false,"suffix":""},{"dropping-particle":"","family":"Cummins","given":"L L","non-dropping-particle":"","parse-names":false,"suffix":""}],"container-title":"The Journal of biological chemistry","id":"ITEM-1","issue":"24","issued":{"date-parts":[["1996","6","14"]]},"page":"14533-40","publisher":"American Society for Biochemistry and Molecular Biology","title":"Nuclease resistance and antisense activity of modified oligonucleotides targeted to Ha-ras.","type":"article-journal","volume":"271"},"uris":["http://www.mendeley.com/documents/?uuid=54e89493-210c-307d-a0bf-95f2abcf1597"]}],"mendeley":{"formattedCitation":"(Monia &lt;i&gt;et al.&lt;/i&gt;, 1996)","plainTextFormattedCitation":"(Monia et al., 1996)","previouslyFormattedCitation":"(Monia &lt;i&gt;et al.&lt;/i&gt;, 1996)"},"properties":{"noteIndex":0},"schema":"https://github.com/citation-style-language/schema/raw/master/csl-citation.json"}</w:instrText>
      </w:r>
      <w:r w:rsidR="005C0E76" w:rsidRPr="001E1AC5">
        <w:fldChar w:fldCharType="separate"/>
      </w:r>
      <w:r w:rsidRPr="001E1AC5">
        <w:rPr>
          <w:noProof/>
        </w:rPr>
        <w:t>(Monia et al., 1996)</w:t>
      </w:r>
      <w:r w:rsidR="005C0E76" w:rsidRPr="001E1AC5">
        <w:fldChar w:fldCharType="end"/>
      </w:r>
      <w:r w:rsidRPr="001E1AC5">
        <w:t>.</w:t>
      </w:r>
    </w:p>
    <w:p w:rsidR="003A4D62" w:rsidRDefault="00536943" w:rsidP="003A4D62">
      <w:pPr>
        <w:keepNext/>
        <w:spacing w:after="200"/>
        <w:jc w:val="left"/>
      </w:pPr>
      <w:r>
        <w:rPr>
          <w:noProof/>
          <w:lang w:eastAsia="en-GB"/>
        </w:rPr>
        <w:lastRenderedPageBreak/>
        <w:drawing>
          <wp:inline distT="0" distB="0" distL="0" distR="0">
            <wp:extent cx="5660992" cy="6043733"/>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660992" cy="6043733"/>
                    </a:xfrm>
                    <a:prstGeom prst="rect">
                      <a:avLst/>
                    </a:prstGeom>
                    <a:noFill/>
                  </pic:spPr>
                </pic:pic>
              </a:graphicData>
            </a:graphic>
          </wp:inline>
        </w:drawing>
      </w:r>
    </w:p>
    <w:p w:rsidR="003A4D62" w:rsidRDefault="003A4D62" w:rsidP="003A4D62">
      <w:pPr>
        <w:pStyle w:val="Caption"/>
        <w:rPr>
          <w:color w:val="auto"/>
        </w:rPr>
      </w:pPr>
    </w:p>
    <w:p w:rsidR="006973D5" w:rsidRDefault="003A4D62" w:rsidP="003A4D62">
      <w:pPr>
        <w:pStyle w:val="Caption"/>
        <w:rPr>
          <w:color w:val="auto"/>
        </w:rPr>
      </w:pPr>
      <w:bookmarkStart w:id="160" w:name="_Toc20411647"/>
      <w:r w:rsidRPr="003A4D62">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6</w:t>
      </w:r>
      <w:r w:rsidR="005C0E76">
        <w:rPr>
          <w:color w:val="auto"/>
        </w:rPr>
        <w:fldChar w:fldCharType="end"/>
      </w:r>
      <w:r w:rsidRPr="003A4D62">
        <w:rPr>
          <w:color w:val="auto"/>
        </w:rPr>
        <w:t xml:space="preserve"> Salival nuclease stability assay to determine the resistance of phosphorothioate dsRNA to degradation by stink bug salival nucleases.</w:t>
      </w:r>
      <w:bookmarkEnd w:id="160"/>
      <w:r w:rsidRPr="003A4D62">
        <w:rPr>
          <w:color w:val="auto"/>
        </w:rPr>
        <w:t xml:space="preserve"> </w:t>
      </w:r>
    </w:p>
    <w:p w:rsidR="003A4D62" w:rsidRPr="003A4D62" w:rsidRDefault="003A4D62" w:rsidP="003A4D62">
      <w:pPr>
        <w:pStyle w:val="Caption"/>
        <w:rPr>
          <w:b w:val="0"/>
          <w:color w:val="auto"/>
        </w:rPr>
      </w:pPr>
      <w:r w:rsidRPr="003A4D62">
        <w:rPr>
          <w:b w:val="0"/>
          <w:color w:val="auto"/>
        </w:rPr>
        <w:t xml:space="preserve">(a) Gel electrophoretograms of unmodified, Un-2PS and 2PS-2PS Target B dsRNA incubated at room temperature with Sf9 cell culture medium containing stink bug saliva. Saliva contaminated medium at a range of dilutions in water, and reactions stopped at either 2 hrs , 4 hrs, 6hrs or after incubation overnight (O/N) by addition of formamide loading dye and freezing at -20 °C. (b) Bar graph showing quantification of gel band intensity from (a) with the average and </w:t>
      </w:r>
      <w:r w:rsidR="002D4D20">
        <w:rPr>
          <w:b w:val="0"/>
          <w:color w:val="auto"/>
        </w:rPr>
        <w:t>SD</w:t>
      </w:r>
      <w:r w:rsidRPr="003A4D62">
        <w:rPr>
          <w:b w:val="0"/>
          <w:color w:val="auto"/>
        </w:rPr>
        <w:t xml:space="preserve"> of two</w:t>
      </w:r>
      <w:r>
        <w:rPr>
          <w:b w:val="0"/>
          <w:color w:val="auto"/>
        </w:rPr>
        <w:t xml:space="preserve"> replicate sets of incubations </w:t>
      </w:r>
      <w:r w:rsidRPr="003A4D62">
        <w:rPr>
          <w:b w:val="0"/>
          <w:color w:val="auto"/>
        </w:rPr>
        <w:t>and gels plotted.</w:t>
      </w:r>
    </w:p>
    <w:p w:rsidR="003A4D62" w:rsidRDefault="003A4D62">
      <w:pPr>
        <w:spacing w:after="200"/>
        <w:jc w:val="left"/>
        <w:rPr>
          <w:color w:val="FF0000"/>
        </w:rPr>
      </w:pPr>
      <w:r>
        <w:rPr>
          <w:color w:val="FF0000"/>
        </w:rPr>
        <w:br w:type="page"/>
      </w:r>
    </w:p>
    <w:p w:rsidR="000516D8" w:rsidRDefault="00536943" w:rsidP="000516D8">
      <w:pPr>
        <w:keepNext/>
        <w:spacing w:after="200"/>
        <w:jc w:val="left"/>
      </w:pPr>
      <w:r>
        <w:rPr>
          <w:noProof/>
          <w:lang w:eastAsia="en-GB"/>
        </w:rPr>
        <w:lastRenderedPageBreak/>
        <w:drawing>
          <wp:inline distT="0" distB="0" distL="0" distR="0">
            <wp:extent cx="5701047" cy="6043733"/>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5701047" cy="6043733"/>
                    </a:xfrm>
                    <a:prstGeom prst="rect">
                      <a:avLst/>
                    </a:prstGeom>
                    <a:noFill/>
                  </pic:spPr>
                </pic:pic>
              </a:graphicData>
            </a:graphic>
          </wp:inline>
        </w:drawing>
      </w:r>
    </w:p>
    <w:p w:rsidR="000516D8" w:rsidRDefault="000516D8" w:rsidP="000516D8">
      <w:pPr>
        <w:pStyle w:val="Caption"/>
        <w:rPr>
          <w:color w:val="auto"/>
        </w:rPr>
      </w:pPr>
    </w:p>
    <w:p w:rsidR="006973D5" w:rsidRDefault="000516D8" w:rsidP="000516D8">
      <w:pPr>
        <w:pStyle w:val="Caption"/>
        <w:rPr>
          <w:color w:val="auto"/>
        </w:rPr>
      </w:pPr>
      <w:bookmarkStart w:id="161" w:name="_Toc20411648"/>
      <w:r w:rsidRPr="000516D8">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7</w:t>
      </w:r>
      <w:r w:rsidR="005C0E76">
        <w:rPr>
          <w:color w:val="auto"/>
        </w:rPr>
        <w:fldChar w:fldCharType="end"/>
      </w:r>
      <w:r w:rsidRPr="000516D8">
        <w:rPr>
          <w:color w:val="auto"/>
        </w:rPr>
        <w:t xml:space="preserve"> Salival nuclease stability assay to determine the resistance of 2’-fluoro dsRNA to degradation by stink bug salival nucleases.</w:t>
      </w:r>
      <w:bookmarkEnd w:id="161"/>
      <w:r w:rsidRPr="000516D8">
        <w:rPr>
          <w:color w:val="auto"/>
        </w:rPr>
        <w:t xml:space="preserve"> </w:t>
      </w:r>
    </w:p>
    <w:p w:rsidR="000516D8" w:rsidRPr="000516D8" w:rsidRDefault="000516D8" w:rsidP="000516D8">
      <w:pPr>
        <w:pStyle w:val="Caption"/>
        <w:rPr>
          <w:b w:val="0"/>
          <w:color w:val="auto"/>
        </w:rPr>
      </w:pPr>
      <w:r w:rsidRPr="000516D8">
        <w:rPr>
          <w:b w:val="0"/>
          <w:color w:val="auto"/>
        </w:rPr>
        <w:t>(a) Gel electrophoretograms of unmodified, Un-2 2’F and 2 2’F-2 2’F Target B dsRNA incubated at room temperature with Sf9 cell culture medium containing stink bug saliva. Saliva contaminated medium at a range of dilutions in water, and reactions stopped at either 2 hrs , 4 hrs, 6hrs or after incubation overnight (O/N) by addition of formamide loading dye and freezing at -20 °C. (b) Bar graph showing quantification of gel band intensity from (a) with the average and S</w:t>
      </w:r>
      <w:r w:rsidR="002D4D20">
        <w:rPr>
          <w:b w:val="0"/>
          <w:color w:val="auto"/>
        </w:rPr>
        <w:t>D</w:t>
      </w:r>
      <w:r w:rsidRPr="000516D8">
        <w:rPr>
          <w:b w:val="0"/>
          <w:color w:val="auto"/>
        </w:rPr>
        <w:t xml:space="preserve"> of two</w:t>
      </w:r>
      <w:r>
        <w:rPr>
          <w:b w:val="0"/>
          <w:color w:val="auto"/>
        </w:rPr>
        <w:t xml:space="preserve"> replicate sets of incubations </w:t>
      </w:r>
      <w:r w:rsidRPr="000516D8">
        <w:rPr>
          <w:b w:val="0"/>
          <w:color w:val="auto"/>
        </w:rPr>
        <w:t>and gels plotted.</w:t>
      </w:r>
    </w:p>
    <w:p w:rsidR="003A4D62" w:rsidRDefault="003A4D62">
      <w:pPr>
        <w:spacing w:after="200"/>
        <w:jc w:val="left"/>
        <w:rPr>
          <w:color w:val="FF0000"/>
        </w:rPr>
      </w:pPr>
      <w:r>
        <w:rPr>
          <w:color w:val="FF0000"/>
        </w:rPr>
        <w:br w:type="page"/>
      </w:r>
    </w:p>
    <w:p w:rsidR="000516D8" w:rsidRDefault="00536943" w:rsidP="00536943">
      <w:pPr>
        <w:keepNext/>
        <w:spacing w:after="200"/>
        <w:jc w:val="center"/>
      </w:pPr>
      <w:r>
        <w:rPr>
          <w:noProof/>
          <w:lang w:eastAsia="en-GB"/>
        </w:rPr>
        <w:lastRenderedPageBreak/>
        <w:drawing>
          <wp:inline distT="0" distB="0" distL="0" distR="0">
            <wp:extent cx="5585334" cy="6043733"/>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5585334" cy="6043733"/>
                    </a:xfrm>
                    <a:prstGeom prst="rect">
                      <a:avLst/>
                    </a:prstGeom>
                    <a:noFill/>
                  </pic:spPr>
                </pic:pic>
              </a:graphicData>
            </a:graphic>
          </wp:inline>
        </w:drawing>
      </w:r>
    </w:p>
    <w:p w:rsidR="000516D8" w:rsidRDefault="000516D8" w:rsidP="000516D8">
      <w:pPr>
        <w:pStyle w:val="Caption"/>
        <w:rPr>
          <w:color w:val="auto"/>
        </w:rPr>
      </w:pPr>
    </w:p>
    <w:p w:rsidR="006973D5" w:rsidRDefault="000516D8" w:rsidP="000516D8">
      <w:pPr>
        <w:pStyle w:val="Caption"/>
        <w:rPr>
          <w:color w:val="auto"/>
        </w:rPr>
      </w:pPr>
      <w:bookmarkStart w:id="162" w:name="_Toc20411649"/>
      <w:r w:rsidRPr="000516D8">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8</w:t>
      </w:r>
      <w:r w:rsidR="005C0E76">
        <w:rPr>
          <w:color w:val="auto"/>
        </w:rPr>
        <w:fldChar w:fldCharType="end"/>
      </w:r>
      <w:r w:rsidRPr="000516D8">
        <w:rPr>
          <w:color w:val="auto"/>
        </w:rPr>
        <w:t xml:space="preserve"> Salival nuclease stability assay to determine the resistance of 5-hydroxymtheyl dsRNA to degradation by stink bug salival nucleases.</w:t>
      </w:r>
      <w:bookmarkEnd w:id="162"/>
      <w:r w:rsidRPr="000516D8">
        <w:rPr>
          <w:color w:val="auto"/>
        </w:rPr>
        <w:t xml:space="preserve"> </w:t>
      </w:r>
    </w:p>
    <w:p w:rsidR="000516D8" w:rsidRPr="000516D8" w:rsidRDefault="000516D8" w:rsidP="000516D8">
      <w:pPr>
        <w:pStyle w:val="Caption"/>
        <w:rPr>
          <w:b w:val="0"/>
          <w:color w:val="auto"/>
        </w:rPr>
      </w:pPr>
      <w:r w:rsidRPr="000516D8">
        <w:rPr>
          <w:b w:val="0"/>
          <w:color w:val="auto"/>
        </w:rPr>
        <w:t>(a) Gel electrophoretograms of unmodified and 1HMr Target B dsRNA incubated at room temperature with Sf9 cell culture medium containing stink bug saliva. Saliva contaminated medium at a range of dilutions in water, and reactions stopped at either 2 hrs , 4 hrs, 6hrs or after incubation overnight (O/N) by addition of formamide loading dye and freezing at -20 °C. (b) Bar graph showing quantification of gel band intensity from (a) with the average and S</w:t>
      </w:r>
      <w:r w:rsidR="002D4D20">
        <w:rPr>
          <w:b w:val="0"/>
          <w:color w:val="auto"/>
        </w:rPr>
        <w:t>D</w:t>
      </w:r>
      <w:r w:rsidRPr="000516D8">
        <w:rPr>
          <w:b w:val="0"/>
          <w:color w:val="auto"/>
        </w:rPr>
        <w:t xml:space="preserve"> of two replicate sets of incubations and gels plotted.</w:t>
      </w:r>
    </w:p>
    <w:p w:rsidR="003A4D62" w:rsidRPr="000516D8" w:rsidRDefault="003A4D62">
      <w:pPr>
        <w:spacing w:after="200"/>
        <w:jc w:val="left"/>
      </w:pPr>
      <w:r w:rsidRPr="000516D8">
        <w:br w:type="page"/>
      </w:r>
    </w:p>
    <w:p w:rsidR="000516D8" w:rsidRDefault="00536943" w:rsidP="00536943">
      <w:pPr>
        <w:keepNext/>
        <w:spacing w:after="200"/>
        <w:jc w:val="left"/>
      </w:pPr>
      <w:r w:rsidRPr="00536943">
        <w:rPr>
          <w:noProof/>
          <w:lang w:eastAsia="en-GB"/>
        </w:rPr>
        <w:lastRenderedPageBreak/>
        <w:drawing>
          <wp:inline distT="0" distB="0" distL="0" distR="0">
            <wp:extent cx="5670550" cy="3535680"/>
            <wp:effectExtent l="19050" t="0" r="635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1" cstate="print"/>
                    <a:srcRect l="1064"/>
                    <a:stretch>
                      <a:fillRect/>
                    </a:stretch>
                  </pic:blipFill>
                  <pic:spPr bwMode="auto">
                    <a:xfrm>
                      <a:off x="0" y="0"/>
                      <a:ext cx="5670550" cy="3535680"/>
                    </a:xfrm>
                    <a:prstGeom prst="rect">
                      <a:avLst/>
                    </a:prstGeom>
                    <a:noFill/>
                    <a:ln w="9525">
                      <a:noFill/>
                      <a:miter lim="800000"/>
                      <a:headEnd/>
                      <a:tailEnd/>
                    </a:ln>
                  </pic:spPr>
                </pic:pic>
              </a:graphicData>
            </a:graphic>
          </wp:inline>
        </w:drawing>
      </w:r>
    </w:p>
    <w:p w:rsidR="006973D5" w:rsidRDefault="000516D8" w:rsidP="006973D5">
      <w:pPr>
        <w:pStyle w:val="Caption"/>
        <w:spacing w:after="120"/>
        <w:rPr>
          <w:color w:val="auto"/>
        </w:rPr>
      </w:pPr>
      <w:bookmarkStart w:id="163" w:name="_Toc20411650"/>
      <w:r w:rsidRPr="000516D8">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4</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9</w:t>
      </w:r>
      <w:r w:rsidR="005C0E76">
        <w:rPr>
          <w:color w:val="auto"/>
        </w:rPr>
        <w:fldChar w:fldCharType="end"/>
      </w:r>
      <w:r w:rsidRPr="000516D8">
        <w:rPr>
          <w:color w:val="auto"/>
        </w:rPr>
        <w:t xml:space="preserve"> Summary graph of key data from figures 4.6 &amp; 4.7.</w:t>
      </w:r>
      <w:bookmarkEnd w:id="163"/>
    </w:p>
    <w:p w:rsidR="000516D8" w:rsidRPr="000516D8" w:rsidRDefault="000516D8" w:rsidP="006973D5">
      <w:pPr>
        <w:pStyle w:val="Caption"/>
        <w:spacing w:after="120"/>
        <w:rPr>
          <w:b w:val="0"/>
          <w:color w:val="auto"/>
        </w:rPr>
      </w:pPr>
      <w:r w:rsidRPr="000516D8">
        <w:rPr>
          <w:b w:val="0"/>
          <w:color w:val="auto"/>
        </w:rPr>
        <w:t>Bar graph of quantification of gel band intensity of dsRNA incubated with saliva medium dilutions from figures 4.5 and 4.6, summarising the saliva medium dilutions where the clearest differences in dsRNA stability were seen for different chemical modifications. Average and S</w:t>
      </w:r>
      <w:r w:rsidR="006E4DEE">
        <w:rPr>
          <w:b w:val="0"/>
          <w:color w:val="auto"/>
        </w:rPr>
        <w:t>D</w:t>
      </w:r>
      <w:r w:rsidRPr="000516D8">
        <w:rPr>
          <w:b w:val="0"/>
          <w:color w:val="auto"/>
        </w:rPr>
        <w:t xml:space="preserve"> of two replicate sets of incubations and gels plotted. </w:t>
      </w:r>
    </w:p>
    <w:p w:rsidR="003A4D62" w:rsidRDefault="003A4D62">
      <w:pPr>
        <w:spacing w:after="200"/>
        <w:jc w:val="left"/>
        <w:rPr>
          <w:color w:val="FF0000"/>
        </w:rPr>
      </w:pPr>
    </w:p>
    <w:p w:rsidR="0073713C" w:rsidRDefault="0073713C" w:rsidP="0073713C">
      <w:pPr>
        <w:spacing w:line="360" w:lineRule="auto"/>
        <w:ind w:firstLine="284"/>
        <w:rPr>
          <w:color w:val="FF0000"/>
        </w:rPr>
      </w:pPr>
      <w:r>
        <w:t xml:space="preserve">One further effect was noted; the dsRNA </w:t>
      </w:r>
      <w:r w:rsidRPr="001E1AC5">
        <w:t>incubated in pure saliva media appeared to fragment as denoted by the loss of the main band in each case (figures 4.6 a, 4.7 a, 4.8 a), though the fragments were then protected from further degradation compared to the partly diluted saliva media conditions</w:t>
      </w:r>
      <w:r w:rsidR="00483A2B">
        <w:t>,</w:t>
      </w:r>
      <w:r w:rsidRPr="001E1AC5">
        <w:t xml:space="preserve"> where almost complete degradation was observed (for example the</w:t>
      </w:r>
      <w:r>
        <w:t xml:space="preserve"> 1/3 dilution and in many cases the 1/9 dilution). The reason for this protection/lack of degradation is unclear.</w:t>
      </w:r>
    </w:p>
    <w:p w:rsidR="0073713C" w:rsidRDefault="0073713C" w:rsidP="0073713C">
      <w:pPr>
        <w:spacing w:line="360" w:lineRule="auto"/>
        <w:ind w:firstLine="284"/>
      </w:pPr>
      <w:r>
        <w:t>T</w:t>
      </w:r>
      <w:r w:rsidRPr="00947214">
        <w:t xml:space="preserve">he cleavage mechanism of RNase III/Dicer enzymes </w:t>
      </w:r>
      <w:r>
        <w:t>is an Mg</w:t>
      </w:r>
      <w:r w:rsidRPr="00293675">
        <w:rPr>
          <w:vertAlign w:val="superscript"/>
        </w:rPr>
        <w:t>2+</w:t>
      </w:r>
      <w:r>
        <w:t xml:space="preserve"> ion-dependent S</w:t>
      </w:r>
      <w:r w:rsidRPr="00293675">
        <w:rPr>
          <w:vertAlign w:val="subscript"/>
        </w:rPr>
        <w:t>N</w:t>
      </w:r>
      <w:r>
        <w:t>2 mechanism</w:t>
      </w:r>
      <w:r w:rsidRPr="00947214">
        <w:t xml:space="preserve"> </w:t>
      </w:r>
      <w:r>
        <w:t xml:space="preserve">involving the phosphodiester bond </w:t>
      </w:r>
      <w:r w:rsidR="005C0E76">
        <w:fldChar w:fldCharType="begin" w:fldLock="1"/>
      </w:r>
      <w:r>
        <w:instrText>ADDIN CSL_CITATION {"citationItems":[{"id":"ITEM-1","itemData":{"DOI":"10.1006/JMBI.2002.5413","ISSN":"0022-2836","abstract":"To better understand substrate recognition and catalysis by RNase III, we examined steady-state and pre-steady-state reaction kinetics, and changes in intrinsic enzyme fluorescence. The multiple turnover cleavage of a model RNA substrate shows a pre-steady-state burst of product formation followed by a slower phase, indicating that the steady-state reaction rate is not limited by substrate cleavage. RNase III catalyzed hydrolysis is slower at low pH, permitting the use of pre-steady-state kinetics to measure the dissociation constant for formation of the enzyme-substrate complex (Kd=5.4(±0.6) nM), and the rate constant for phosphodiester bond cleavage (kc=1.160(±0.001) min−1, pH 5.4). Isotope incorporation analysis shows that a single solvent oxygen atom is incorporated into the 5′ phosphate of the RNA product, which demonstrates that the cleavage step is irreversible. Analysis of the pH dependence of the single turnover rate constant, kc, fits best to a model for two or more titratable groups with pKa of ca 5.6, suggesting a role for conserved acidic residues in catalysis. Additionally, we find that kc is dependent on the pKa value of the hydrated divalent metal ion included in the reaction, providing evidence for participation of a metal ion hydroxide in catalysis, potentially in developing the nucleophile for the hydrolysis reaction. In order to assess whether conformational changes also contribute to the enzyme mechanism, we monitored intrinsic tryptophan fluorescence. During a single round of binding and cleavage by the enzyme we detect a biphasic change in fluorescence. The rate of the initial increase in fluorescence was dependent on substrate concentration yielding a second-order rate constant of 1.0(±0.1)×108 M−1 s−1, while the rate constant of the second phase was concentration independent (6.4(±0.8) s−1; pH 7.3). These data, together with the unique dependence of each phase on divalent metal ion identity and pH, support the hypothesis that the two fluorescence transitions, which we attribute to conformational changes, correlate with substrate binding and catalysis.","author":[{"dropping-particle":"","family":"Campbell","given":"Frank E","non-dropping-particle":"","parse-names":false,"suffix":""},{"dropping-particle":"","family":"Cassano","given":"Adam G","non-dropping-particle":"","parse-names":false,"suffix":""},{"dropping-particle":"","family":"Anderson","given":"Vernon E","non-dropping-particle":"","parse-names":false,"suffix":""},{"dropping-particle":"","family":"Harris","given":"Michael E","non-dropping-particle":"","parse-names":false,"suffix":""}],"container-title":"Journal of Molecular Biology","id":"ITEM-1","issue":"1","issued":{"date-parts":[["2002","3","15"]]},"page":"21-40","publisher":"Academic Press","title":"Pre-steady-state and stopped-flow fluorescence analysis of Escherichia coli ribonuclease III: insights into mechanism and conformational changes associated with binding and catalysis","type":"article-journal","volume":"317"},"uris":["http://www.mendeley.com/documents/?uuid=5351fbf5-881a-3187-83f1-65d9f01c0c7b"]},{"id":"ITEM-2","itemData":{"DOI":"10.1126/science.1114994","ISSN":"0036-8075","PMID":"16141079","abstract":"We report the 3.4 angstrom crystal structure of a catalytically active group I intron splicing intermediate containing the complete intron, both exons, the scissile phosphate, and all of the functional groups implicated in catalytic metal ion coordination, including the 2'-OH of the terminal guanosine. This structure suggests that, like protein phosphoryltransferases, an RNA phosphoryltransferase can use a two-metal-ion mechanism. Two Mg2+ ions are positioned 3.9 angstroms apart and are directly coordinated by all six of the biochemically predicted ligands. The evolutionary convergence of RNA and protein active sites on the same inorganic architecture highlights the intrinsic chemical capacity of the two-metal-ion catalytic mechanism for phosphoryl transfer.","author":[{"dropping-particle":"","family":"Stahley","given":"M. R.","non-dropping-particle":"","parse-names":false,"suffix":""},{"dropping-particle":"","family":"Strobel","given":"Scott A","non-dropping-particle":"","parse-names":false,"suffix":""},{"dropping-particle":"","family":"Li","given":"Fei","non-dropping-particle":"","parse-names":false,"suffix":""},{"dropping-particle":"","family":"Repic","given":"Adrian","non-dropping-particle":"","parse-names":false,"suffix":""},{"dropping-particle":"","family":"Brooks","given":"Angela N.","non-dropping-particle":"","parse-names":false,"suffix":""},{"dropping-particle":"","family":"Cande","given":"W. Zacheus","non-dropping-particle":"","parse-names":false,"suffix":""},{"dropping-particle":"","family":"Adams","given":"Paul D.","non-dropping-particle":"","parse-names":false,"suffix":""},{"dropping-particle":"","family":"Doudna","given":"Jennifer A.","non-dropping-particle":"","parse-names":false,"suffix":""}],"container-title":"Science","id":"ITEM-2","issue":"5740","issued":{"date-parts":[["2005","9","2"]]},"page":"1587-1590","publisher":"American Association for the Advancement of Science","title":"Structural Evidence for a Two-Metal-Ion Mechanism of Group I Intron Splicing","type":"article-journal","volume":"309"},"uris":["http://www.mendeley.com/documents/?uuid=b9ddd0fd-1a28-318e-bc84-06072153664b"]},{"id":"ITEM-3","itemData":{"DOI":"10.1093/nar/gki197","ISSN":"1362-4962","PMID":"15699182","abstract":"Escherichia coli ribonuclease III (RNase III; EC 3.1.24) is a double-stranded(ds)-RNA-specific endonuclease with key roles in diverse RNA maturation and decay pathways. E.coli RNase III is a member of a structurally distinct superfamily that includes Dicer, a central enzyme in the mechanism of RNA interference. E.coli RNase III requires a divalent metal ion for activity, with Mg2+ as the preferred species. However, neither the function(s) nor the number of metal ions involved in catalysis is known. To gain information on metal ion involvement in catalysis, the rate of cleavage of the model substrate R1.1 RNA was determined as a function of Mg2+ concentration. Single-turnover conditions were applied, wherein phosphodiester cleavage was the rate-limiting event. The measured Hill coefficient (n (H)) is 2.0 +/- 0.1, indicative of the involvement of two Mg2+ ions in phosphodiester hydrolysis. It is also shown that 2-hydroxy-4H-isoquinoline-1,3-dione--an inhibitor of ribonucleases that employ two divalent metal ions in their catalytic sites--inhibits E.coli RNase III cleavage of R1.1 RNA. The IC50 for the compound is 14 microM for the Mg2+-supported reaction, and 8 microM for the Mn2+-supported reaction. The compound exhibits noncompetitive inhibitory kinetics, indicating that it does not perturb substrate binding. Neither the O-methylated version of the compound nor the unsubstituted imide inhibit substrate cleavage, which is consistent with a specific interaction of the N-hydroxyimide with two closely positioned divalent metal ions. A preliminary model is presented for functional roles of two divalent metal ions in the RNase III catalytic mechanism.","author":[{"dropping-particle":"","family":"Sun","given":"Weimei","non-dropping-particle":"","parse-names":false,"suffix":""},{"dropping-particle":"","family":"Pertzev","given":"Alexandre","non-dropping-particle":"","parse-names":false,"suffix":""},{"dropping-particle":"","family":"Nicholson","given":"Allen W","non-dropping-particle":"","parse-names":false,"suffix":""}],"container-title":"Nucleic acids research","id":"ITEM-3","issue":"3","issued":{"date-parts":[["2005"]]},"page":"807-15","publisher":"Oxford University Press","title":"Catalytic mechanism of Escherichia coli ribonuclease III: kinetic and inhibitor evidence for the involvement of two magnesium ions in RNA phosphodiester hydrolysis.","type":"article-journal","volume":"33"},"uris":["http://www.mendeley.com/documents/?uuid=1bfed7cd-496e-3311-8100-0c72a08bbf21"]}],"mendeley":{"formattedCitation":"(Campbell &lt;i&gt;et al.&lt;/i&gt;, 2002; Stahley &lt;i&gt;et al.&lt;/i&gt;, 2005b; Sun, Pertzev and Nicholson, 2005)","plainTextFormattedCitation":"(Campbell et al., 2002; Stahley et al., 2005b; Sun, Pertzev and Nicholson, 2005)","previouslyFormattedCitation":"(Campbell &lt;i&gt;et al.&lt;/i&gt;, 2002; Stahley &lt;i&gt;et al.&lt;/i&gt;, 2005b; Sun, Pertzev and Nicholson, 2005)"},"properties":{"noteIndex":0},"schema":"https://github.com/citation-style-language/schema/raw/master/csl-citation.json"}</w:instrText>
      </w:r>
      <w:r w:rsidR="005C0E76">
        <w:fldChar w:fldCharType="separate"/>
      </w:r>
      <w:r w:rsidRPr="00EE12BF">
        <w:rPr>
          <w:noProof/>
        </w:rPr>
        <w:t xml:space="preserve">(Campbell </w:t>
      </w:r>
      <w:r w:rsidRPr="00EE12BF">
        <w:rPr>
          <w:i/>
          <w:noProof/>
        </w:rPr>
        <w:t>et al.</w:t>
      </w:r>
      <w:r w:rsidRPr="00EE12BF">
        <w:rPr>
          <w:noProof/>
        </w:rPr>
        <w:t xml:space="preserve">, 2002; Stahley </w:t>
      </w:r>
      <w:r w:rsidRPr="00EE12BF">
        <w:rPr>
          <w:i/>
          <w:noProof/>
        </w:rPr>
        <w:t>et al.</w:t>
      </w:r>
      <w:r w:rsidRPr="00EE12BF">
        <w:rPr>
          <w:noProof/>
        </w:rPr>
        <w:t>, 2005b; Sun, Pertzev and Nicholson, 2005)</w:t>
      </w:r>
      <w:r w:rsidR="005C0E76">
        <w:fldChar w:fldCharType="end"/>
      </w:r>
      <w:r>
        <w:t xml:space="preserve">. In contrast, the cleavage mechanism of many more general RNases such as RNase A, involves the 2’-OH group of the ribose sugar, which is deprotonated (by a histidine residue in the case of RNase A) in order to induce the 2’ oxygen atom to engage in nucleophilic attack of the phosphorus atom. This in turn leads to the double bond between the phosphorus and one of the non-bridging oxygen atoms being broken, and the non-bridging oxygen atom interacting with a lysine residue prior to the double bond reforming, and the bond between the phosphorus atom and a bridging oxygen being broken in order to cleave the RNA backbone  </w:t>
      </w:r>
      <w:r w:rsidR="005C0E76">
        <w:fldChar w:fldCharType="begin" w:fldLock="1"/>
      </w:r>
      <w:r>
        <w:instrText>ADDIN CSL_CITATION {"citationItems":[{"id":"ITEM-1","itemData":{"DOI":"10.1021/CR960427H","author":[{"dropping-particle":"","family":"Raines","given":"Ronald T.","non-dropping-particle":"","parse-names":false,"suffix":""}],"id":"ITEM-1","issue":"3","issued":{"date-parts":[["1998"]]},"page":"1045-1066","publisher":"American Chemical Society","title":"Ribonuclease A","type":"article-journal","volume":"98"},"uris":["http://www.mendeley.com/documents/?uuid=dd56cd97-aef7-3c45-87e3-b9ea6905283e"]}],"mendeley":{"formattedCitation":"(Raines, 1998)","plainTextFormattedCitation":"(Raines, 1998)","previouslyFormattedCitation":"(Raines, 1998)"},"properties":{"noteIndex":0},"schema":"https://github.com/citation-style-language/schema/raw/master/csl-citation.json"}</w:instrText>
      </w:r>
      <w:r w:rsidR="005C0E76">
        <w:fldChar w:fldCharType="separate"/>
      </w:r>
      <w:r w:rsidRPr="00DE02DC">
        <w:rPr>
          <w:noProof/>
        </w:rPr>
        <w:t>(Raines, 1998)</w:t>
      </w:r>
      <w:r w:rsidR="005C0E76">
        <w:fldChar w:fldCharType="end"/>
      </w:r>
      <w:r>
        <w:t>.</w:t>
      </w:r>
    </w:p>
    <w:p w:rsidR="0073713C" w:rsidRDefault="0073713C" w:rsidP="0073713C">
      <w:pPr>
        <w:spacing w:line="360" w:lineRule="auto"/>
        <w:ind w:firstLine="284"/>
      </w:pPr>
      <w:r>
        <w:t xml:space="preserve">In the heterogeneous mixture of RNases present in stink bug saliva (exonucleases and endonucleases), overall degradation of dsRNA is likely due to a combination of cleavage by enzymes </w:t>
      </w:r>
      <w:r>
        <w:lastRenderedPageBreak/>
        <w:t>which directly attack the phosphodiester linkage (like RNase III/Dicer), enzymes which facilitate RNA hydrolysis via nucleophilic attack of the 2’-OH group (like RNase A), and potentially non-enzymatic degradation of the dsRNA by RNA hydrolysis too. These mechanisms involve the phosphate non-bridging oxygen atoms, and the 2’-OH ribose group, and are therefore most likely to be affected by phosphorothioate and 2’-fluoro modifications to the dsRNA which are located on these groups, and this is borne out by the data obtained in this chapter, with phosphorothioate and 2’-fluoro dsRNAs demonstrating clear differences in nuclease resistance compared to unmodified dsRNA. However, the reduced nuclease resistance of 2’-fluoro dsRNA compared to unmodified dsRNA remains unexpected.</w:t>
      </w:r>
    </w:p>
    <w:p w:rsidR="0073713C" w:rsidRPr="00947214" w:rsidRDefault="0073713C" w:rsidP="0073713C">
      <w:pPr>
        <w:spacing w:line="360" w:lineRule="auto"/>
        <w:ind w:firstLine="284"/>
      </w:pPr>
      <w:r>
        <w:t xml:space="preserve">In summary, a range of chemically modified dsRNAs were tested for their ability to withstand degradation by the heterogeneous mixture of RNase enzymes present in stink bug saliva. The results give some insight into which chemically modified dsRNAs are likely to have increased or reduced nuclease stability compared to unmodified dsRNA. This information is important for predicting which chemically modified dsRNAs might demonstrate increased resistance to insect nucleases in </w:t>
      </w:r>
      <w:r w:rsidRPr="00C26852">
        <w:rPr>
          <w:i/>
        </w:rPr>
        <w:t>in vivo</w:t>
      </w:r>
      <w:r>
        <w:t xml:space="preserve"> downstream RNAi applications.</w:t>
      </w:r>
    </w:p>
    <w:p w:rsidR="000516D8" w:rsidRDefault="000516D8">
      <w:pPr>
        <w:spacing w:after="200"/>
        <w:jc w:val="left"/>
        <w:rPr>
          <w:b/>
          <w:color w:val="FF0000"/>
        </w:rPr>
      </w:pPr>
      <w:r>
        <w:rPr>
          <w:b/>
          <w:color w:val="FF0000"/>
        </w:rPr>
        <w:br w:type="page"/>
      </w:r>
    </w:p>
    <w:p w:rsidR="0073713C" w:rsidRPr="00FF7A5A" w:rsidRDefault="0073713C" w:rsidP="0073713C">
      <w:pPr>
        <w:pStyle w:val="Heading2"/>
        <w:spacing w:before="120" w:after="120" w:line="360" w:lineRule="auto"/>
        <w:ind w:left="567"/>
      </w:pPr>
      <w:bookmarkStart w:id="164" w:name="_Toc18655896"/>
      <w:bookmarkStart w:id="165" w:name="_Toc35333985"/>
      <w:r>
        <w:lastRenderedPageBreak/>
        <w:t>Conclusions</w:t>
      </w:r>
      <w:bookmarkEnd w:id="164"/>
      <w:bookmarkEnd w:id="165"/>
    </w:p>
    <w:p w:rsidR="0073713C" w:rsidRDefault="0073713C" w:rsidP="0073713C">
      <w:pPr>
        <w:spacing w:line="360" w:lineRule="auto"/>
        <w:ind w:firstLine="284"/>
      </w:pPr>
      <w:r w:rsidRPr="00B349DF">
        <w:t xml:space="preserve">dsRNA molecules must avoid degradation by nucleases </w:t>
      </w:r>
      <w:r>
        <w:t>prior to</w:t>
      </w:r>
      <w:r w:rsidRPr="00B349DF">
        <w:t xml:space="preserve"> reaching target sites and induci</w:t>
      </w:r>
      <w:r>
        <w:t>ng a sustainable RNAi response.</w:t>
      </w:r>
      <w:r w:rsidRPr="00B349DF">
        <w:t xml:space="preserve"> </w:t>
      </w:r>
      <w:r>
        <w:t>Nucleases present in the gut fluid, h</w:t>
      </w:r>
      <w:r w:rsidRPr="00B349DF">
        <w:t xml:space="preserve">emolymph, and saliva of </w:t>
      </w:r>
      <w:r w:rsidR="00483A2B">
        <w:t>different insects digest</w:t>
      </w:r>
      <w:r w:rsidRPr="00B349DF">
        <w:t xml:space="preserve"> dsRNA, </w:t>
      </w:r>
      <w:r>
        <w:t xml:space="preserve">and </w:t>
      </w:r>
      <w:r w:rsidRPr="00B349DF">
        <w:t>may</w:t>
      </w:r>
      <w:r>
        <w:t xml:space="preserve"> therefore</w:t>
      </w:r>
      <w:r w:rsidRPr="00B349DF">
        <w:t xml:space="preserve"> negatively impact RNAi efficacy </w:t>
      </w:r>
      <w:r>
        <w:t>of dsRNA biopesticides.  To study the effects of dsRNA chemical modifications on resistance of dsRNA against</w:t>
      </w:r>
      <w:r w:rsidRPr="00A107F2">
        <w:t xml:space="preserve"> insect nucleases</w:t>
      </w:r>
      <w:r>
        <w:t xml:space="preserve">, phosphorothioate, 2’-fluoro and 5-hydroxymethyl dsRNAs were used </w:t>
      </w:r>
      <w:r w:rsidRPr="00C9144C">
        <w:rPr>
          <w:i/>
        </w:rPr>
        <w:t>in vitro</w:t>
      </w:r>
      <w:r>
        <w:t xml:space="preserve"> to study their stability against insect nucleases present in insect saliva. In addition, the chemically modified dsRNAs were used as substrates for specific cleavage to esiRNAs by RNase III/Dicer enzymes and in each experiment compared to unmodified dsRNA. Both of these factors are potentially important in order for a dsRNA to be effective </w:t>
      </w:r>
      <w:r w:rsidRPr="00C42EBA">
        <w:rPr>
          <w:i/>
        </w:rPr>
        <w:t>in vivo</w:t>
      </w:r>
      <w:r>
        <w:t>.</w:t>
      </w:r>
    </w:p>
    <w:p w:rsidR="0073713C" w:rsidRDefault="0073713C" w:rsidP="0073713C">
      <w:pPr>
        <w:spacing w:line="360" w:lineRule="auto"/>
        <w:ind w:firstLine="284"/>
      </w:pPr>
      <w:r>
        <w:t xml:space="preserve">dsRNA with phosphorothioate modifications demonstrated increased resistance to stink bug salival nucleases, demonstrating the potential advantages of such chemical modifications in dsRNA biopesticides for improved RNAi efficacy. However, the results also showed that phosphorothioate modifications also reduced processing into functional esiRNAs by </w:t>
      </w:r>
      <w:r w:rsidR="00D27B3A">
        <w:t xml:space="preserve">some </w:t>
      </w:r>
      <w:r>
        <w:t>RNase III/Dicer enzymes</w:t>
      </w:r>
      <w:r w:rsidR="00D27B3A">
        <w:t xml:space="preserve"> in some contexts</w:t>
      </w:r>
      <w:r>
        <w:t>. Therefore these modifications may potentially prevent Dicer-2 processing of the</w:t>
      </w:r>
      <w:r w:rsidRPr="00B349DF">
        <w:t xml:space="preserve"> </w:t>
      </w:r>
      <w:r>
        <w:t xml:space="preserve">phosphorothioate long dsRNA into functional siRNAs and loading of the siRNA to Argonaute 2 </w:t>
      </w:r>
      <w:r w:rsidRPr="0018146E">
        <w:rPr>
          <w:i/>
        </w:rPr>
        <w:t>in vivo</w:t>
      </w:r>
      <w:r>
        <w:t xml:space="preserve"> and limiting their RNAi efficacy. The RNase III/Dicer enzymes tested here </w:t>
      </w:r>
      <w:r w:rsidRPr="0018146E">
        <w:rPr>
          <w:i/>
        </w:rPr>
        <w:t>in vitro</w:t>
      </w:r>
      <w:r>
        <w:t>, have simpler domain architecture compared to their insect Dicer-2 counterparts, therefore how translatable the results obtained with these enzymes are to insect Dicer-2 is unclear.</w:t>
      </w:r>
    </w:p>
    <w:p w:rsidR="0073713C" w:rsidRDefault="0073713C" w:rsidP="0073713C">
      <w:pPr>
        <w:spacing w:line="360" w:lineRule="auto"/>
        <w:ind w:firstLine="284"/>
      </w:pPr>
      <w:r>
        <w:t xml:space="preserve">2’-Fluoro modified dsRNA conversely demonstrated reduced resistance to degradation by stink bug salival nucleases. However, previous studies showed 2’-fluoro modifications increased stability of both siRNAs and ssRNA to mammalian nucleases </w:t>
      </w:r>
      <w:r w:rsidR="005C0E76">
        <w:fldChar w:fldCharType="begin" w:fldLock="1"/>
      </w:r>
      <w:r w:rsidR="00C57A7E">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id":"ITEM-2","itemData":{"DOI":"10.1093/nar/gkx1239","ISSN":"0305-1048","author":[{"dropping-particle":"","family":"Shen","given":"Xiulong","non-dropping-particle":"","parse-names":false,"suffix":""},{"dropping-particle":"","family":"Corey","given":"David R","non-dropping-particle":"","parse-names":false,"suffix":""}],"container-title":"Nucleic Acids Research","id":"ITEM-2","issue":"4","issued":{"date-parts":[["2018","2","28"]]},"page":"1584-1600","publisher":"Narnia","title":"Chemistry, mechanism and clinical status of antisense oligonucleotides and duplex RNAs","type":"article-journal","volume":"46"},"uris":["http://www.mendeley.com/documents/?uuid=005e68f5-ed4a-3ec6-bc6b-31aa77bbeb2d"]}],"mendeley":{"formattedCitation":"(Chiu and Rana, 2003; Shen and Corey, 2018a)","plainTextFormattedCitation":"(Chiu and Rana, 2003; Shen and Corey, 2018a)","previouslyFormattedCitation":"(Chiu and Rana, 2003; Shen and Corey, 2018)"},"properties":{"noteIndex":0},"schema":"https://github.com/citation-style-language/schema/raw/master/csl-citation.json"}</w:instrText>
      </w:r>
      <w:r w:rsidR="005C0E76">
        <w:fldChar w:fldCharType="separate"/>
      </w:r>
      <w:r w:rsidR="00C57A7E" w:rsidRPr="00C57A7E">
        <w:rPr>
          <w:noProof/>
        </w:rPr>
        <w:t>(Chiu and Rana, 2003; Shen and Corey, 2018a)</w:t>
      </w:r>
      <w:r w:rsidR="005C0E76">
        <w:fldChar w:fldCharType="end"/>
      </w:r>
      <w:r>
        <w:t xml:space="preserve">, though there is also evidence they reduce nuclease stability of chimeric </w:t>
      </w:r>
      <w:r w:rsidRPr="006973D5">
        <w:t xml:space="preserve">oligonucleotides </w:t>
      </w:r>
      <w:r w:rsidR="005C0E76" w:rsidRPr="006973D5">
        <w:fldChar w:fldCharType="begin" w:fldLock="1"/>
      </w:r>
      <w:r w:rsidRPr="006973D5">
        <w:instrText>ADDIN CSL_CITATION {"citationItems":[{"id":"ITEM-1","itemData":{"DOI":"10.1074/jbc.271.24.14533","ISSN":"0021-9258","PMID":"8662854","abstract":"We have previously described structure-activity studies on a 17-mer uniform phosphorothioate antisense sequence targeted to human Ha-ras. In an effort to further improve the pharmacological properties of antisense oligonucleotides, structure-activity studies on this 17-mer sequence were expanded to examine both the effects of replacing phosphorothioate backbone linkages with phosphodiester linkages and the effects of incorporating various 2'-sugar modifications into phosphorothioate and phosphodiester oligonucleotides on oligonucleotide stability against nucleases in vitro and on antisense activity in cells. Replacement of three or more phosphorothioate linkages with phosphodiester linkages greatly compromised both nuclease resistance and antisense activity, and these effects correlated directly with the number of phosphodiester linkages incorporated into the oligonucleotide. However, substantial nuclease resistance, sufficient for obtaining potent antisense effects in cells, was conferred to phosphodiester oligonucleotides by incorporation of appropriate 2'-alkoxy sugar modifications. Nuclease stability and antisense activity imparted by these sugar modifications in phosphodiester backbones correlated with the size of the 2'-alkoxy substituent (pentoxy &gt; propoxy &gt; methoxy &gt; deoxy). Furthermore, antisense activity mediated by oligonucleotides that exhibit partial resistance to nucleolytic degradation was dependent on both oligonucleotide concentration and the duration of oligonucleotide treatment.","author":[{"dropping-particle":"","family":"Monia","given":"B P","non-dropping-particle":"","parse-names":false,"suffix":""},{"dropping-particle":"","family":"Johnston","given":"J F","non-dropping-particle":"","parse-names":false,"suffix":""},{"dropping-particle":"","family":"Sasmor","given":"H","non-dropping-particle":"","parse-names":false,"suffix":""},{"dropping-particle":"","family":"Cummins","given":"L L","non-dropping-particle":"","parse-names":false,"suffix":""}],"container-title":"The Journal of biological chemistry","id":"ITEM-1","issue":"24","issued":{"date-parts":[["1996","6","14"]]},"page":"14533-40","publisher":"American Society for Biochemistry and Molecular Biology","title":"Nuclease resistance and antisense activity of modified oligonucleotides targeted to Ha-ras.","type":"article-journal","volume":"271"},"uris":["http://www.mendeley.com/documents/?uuid=54e89493-210c-307d-a0bf-95f2abcf1597"]}],"mendeley":{"formattedCitation":"(Monia &lt;i&gt;et al.&lt;/i&gt;, 1996)","plainTextFormattedCitation":"(Monia et al., 1996)","previouslyFormattedCitation":"(Monia &lt;i&gt;et al.&lt;/i&gt;, 1996)"},"properties":{"noteIndex":0},"schema":"https://github.com/citation-style-language/schema/raw/master/csl-citation.json"}</w:instrText>
      </w:r>
      <w:r w:rsidR="005C0E76" w:rsidRPr="006973D5">
        <w:fldChar w:fldCharType="separate"/>
      </w:r>
      <w:r w:rsidRPr="006973D5">
        <w:rPr>
          <w:noProof/>
        </w:rPr>
        <w:t xml:space="preserve">(Monia </w:t>
      </w:r>
      <w:r w:rsidRPr="006973D5">
        <w:rPr>
          <w:i/>
          <w:noProof/>
        </w:rPr>
        <w:t>et al.</w:t>
      </w:r>
      <w:r w:rsidRPr="006973D5">
        <w:rPr>
          <w:noProof/>
        </w:rPr>
        <w:t>, 1996)</w:t>
      </w:r>
      <w:r w:rsidR="005C0E76" w:rsidRPr="006973D5">
        <w:fldChar w:fldCharType="end"/>
      </w:r>
      <w:r w:rsidRPr="006973D5">
        <w:t>. Interestingly 2’-fluoro dsRNA modifications affected the ability of bacterial RNase</w:t>
      </w:r>
      <w:r>
        <w:t xml:space="preserve"> III and</w:t>
      </w:r>
      <w:r w:rsidRPr="00092F90">
        <w:rPr>
          <w:i/>
        </w:rPr>
        <w:t xml:space="preserve"> </w:t>
      </w:r>
      <w:r w:rsidRPr="00D717B1">
        <w:rPr>
          <w:i/>
        </w:rPr>
        <w:t>Giardia</w:t>
      </w:r>
      <w:r>
        <w:t xml:space="preserve"> Dicer processing of dsRNA to esiRNA differently. Bacterial RNase III effectively cleaved the dsRNA to esiRNAs similar to unmodified dsRNA. However, </w:t>
      </w:r>
      <w:r w:rsidRPr="00D717B1">
        <w:rPr>
          <w:i/>
        </w:rPr>
        <w:t>Giardia</w:t>
      </w:r>
      <w:r>
        <w:t xml:space="preserve"> Dicer only partly cleaved 2’-fluoro dsRNA to esiRNAs. As insect Dicer shares domains found in both of these enzymes, it is unclear how well insect Dicer-2 will process 2’-fluoro modified dsRNA </w:t>
      </w:r>
      <w:r w:rsidRPr="00D717B1">
        <w:rPr>
          <w:i/>
        </w:rPr>
        <w:t>in vivo</w:t>
      </w:r>
      <w:r>
        <w:t xml:space="preserve">. </w:t>
      </w:r>
    </w:p>
    <w:p w:rsidR="0073713C" w:rsidRDefault="0073713C" w:rsidP="0073713C">
      <w:pPr>
        <w:spacing w:line="360" w:lineRule="auto"/>
        <w:ind w:firstLine="284"/>
      </w:pPr>
      <w:r>
        <w:t>5-hydroxymethyl dsRNA demonstrated no clear difference in resistance to stink bug salival nucleases compared to unmodified dsRNA. Furthermore, the 5-hydroxymethyl dsRNA (similar to 2’-fluoro modified dsRNA) affected the ability of bacterial RNase III and</w:t>
      </w:r>
      <w:r w:rsidRPr="00092F90">
        <w:rPr>
          <w:i/>
        </w:rPr>
        <w:t xml:space="preserve"> </w:t>
      </w:r>
      <w:r w:rsidRPr="00D717B1">
        <w:rPr>
          <w:i/>
        </w:rPr>
        <w:t>Giardia</w:t>
      </w:r>
      <w:r>
        <w:t xml:space="preserve"> Dicer to process to dsRNA to esiRNAs differently.</w:t>
      </w:r>
      <w:r w:rsidRPr="00092F90">
        <w:t xml:space="preserve"> </w:t>
      </w:r>
      <w:r>
        <w:t xml:space="preserve">Bacterial RNase III effectively cleaved the 5-hydroxymethyl dsRNA to esiRNAs similar to unmodified dsRNA. However </w:t>
      </w:r>
      <w:r w:rsidRPr="00D717B1">
        <w:rPr>
          <w:i/>
        </w:rPr>
        <w:t>Giardia</w:t>
      </w:r>
      <w:r>
        <w:t xml:space="preserve"> Dicer only partly cleaved 5-hydroxymethyl dsRNA to esiRNAs.</w:t>
      </w:r>
    </w:p>
    <w:p w:rsidR="001E1AC5" w:rsidRDefault="0073713C" w:rsidP="0073713C">
      <w:pPr>
        <w:spacing w:line="360" w:lineRule="auto"/>
        <w:ind w:firstLine="284"/>
      </w:pPr>
      <w:r>
        <w:lastRenderedPageBreak/>
        <w:t xml:space="preserve">Overall the results from this chapter showed that dsRNA with phosphorothioate modifications has increased resistance to stink bug salival nucleases, demonstrating the potential advantages of such chemical modifications in dsRNA biopesticides </w:t>
      </w:r>
      <w:r w:rsidR="00483A2B">
        <w:t>as</w:t>
      </w:r>
      <w:r>
        <w:t xml:space="preserve"> an approach to increase RNAi efficacy. However, phosphorothioate dsRNA was a poor substrate for </w:t>
      </w:r>
      <w:r w:rsidR="00D27B3A">
        <w:t xml:space="preserve">some </w:t>
      </w:r>
      <w:r>
        <w:t>RNase III/Dicer enzymes</w:t>
      </w:r>
      <w:r w:rsidR="00D27B3A">
        <w:t xml:space="preserve"> in some contexts, although </w:t>
      </w:r>
      <w:r w:rsidR="002B585B">
        <w:t xml:space="preserve">investigation of </w:t>
      </w:r>
      <w:r w:rsidR="00D27B3A">
        <w:t xml:space="preserve">phosphorothioate dsRNA </w:t>
      </w:r>
      <w:r w:rsidR="002B585B">
        <w:t>processing by bacterial RNase III produced conflicting results and requires further investigation</w:t>
      </w:r>
      <w:r>
        <w:t>. In contrast</w:t>
      </w:r>
      <w:r w:rsidR="00483A2B">
        <w:t>,</w:t>
      </w:r>
      <w:r>
        <w:t xml:space="preserve"> no significant increased stability in stink bug saliva was observed for</w:t>
      </w:r>
      <w:r w:rsidRPr="000574C4">
        <w:t xml:space="preserve"> </w:t>
      </w:r>
      <w:r>
        <w:t xml:space="preserve">2’-fluoro and 5-hydroxymethyl dsRNA compared to unmodified dsRNA. These modified dsRNA were effectively processed to esiRNAs by bacterial RNase III but not by </w:t>
      </w:r>
      <w:r w:rsidRPr="006B049F">
        <w:rPr>
          <w:i/>
        </w:rPr>
        <w:t>Giardia</w:t>
      </w:r>
      <w:r>
        <w:t xml:space="preserve"> Dicer </w:t>
      </w:r>
      <w:r w:rsidRPr="0018146E">
        <w:rPr>
          <w:i/>
        </w:rPr>
        <w:t>in vitro</w:t>
      </w:r>
      <w:r>
        <w:t xml:space="preserve">. Therefore although these studies have provided further insight into the effects of such modifications </w:t>
      </w:r>
      <w:r w:rsidRPr="0018146E">
        <w:rPr>
          <w:i/>
        </w:rPr>
        <w:t>in vitro</w:t>
      </w:r>
      <w:r>
        <w:t xml:space="preserve"> against insect nucleases, it is  unclear how efficacious each of the dsRNAs will be for RNAi </w:t>
      </w:r>
      <w:r w:rsidRPr="006B049F">
        <w:rPr>
          <w:i/>
        </w:rPr>
        <w:t>in vivo</w:t>
      </w:r>
      <w:r>
        <w:t xml:space="preserve"> when other factors such as cellular uptake/transport and RISC assembly need to be taken into account. Investigating the ability of these chemically modified dsRNAs to induce RNAi both in insect cells and live insects is the subject of the subsequent two chapters.</w:t>
      </w:r>
    </w:p>
    <w:p w:rsidR="0073713C" w:rsidRPr="00E4142A" w:rsidRDefault="001E1AC5" w:rsidP="002B585B">
      <w:pPr>
        <w:spacing w:after="200"/>
        <w:jc w:val="left"/>
      </w:pPr>
      <w:r>
        <w:br w:type="page"/>
      </w:r>
    </w:p>
    <w:p w:rsidR="008953EC" w:rsidRDefault="008953EC" w:rsidP="00962A96">
      <w:pPr>
        <w:spacing w:after="200"/>
        <w:rPr>
          <w:color w:val="FF0000"/>
        </w:rPr>
      </w:pPr>
    </w:p>
    <w:p w:rsidR="00045427" w:rsidRDefault="00045427">
      <w:pPr>
        <w:spacing w:after="200"/>
        <w:jc w:val="left"/>
      </w:pPr>
      <w:r>
        <w:br w:type="page"/>
      </w:r>
    </w:p>
    <w:p w:rsidR="00045427" w:rsidRDefault="00045427" w:rsidP="00045427">
      <w:pPr>
        <w:spacing w:after="200"/>
        <w:jc w:val="center"/>
        <w:rPr>
          <w:sz w:val="72"/>
          <w:szCs w:val="72"/>
        </w:rPr>
      </w:pPr>
      <w:r>
        <w:rPr>
          <w:sz w:val="72"/>
          <w:szCs w:val="72"/>
        </w:rPr>
        <w:lastRenderedPageBreak/>
        <w:t>Chapter 5</w:t>
      </w:r>
    </w:p>
    <w:p w:rsidR="00045427" w:rsidRDefault="00045427" w:rsidP="00045427">
      <w:pPr>
        <w:spacing w:after="200"/>
        <w:jc w:val="center"/>
        <w:rPr>
          <w:sz w:val="72"/>
          <w:szCs w:val="72"/>
        </w:rPr>
      </w:pPr>
    </w:p>
    <w:p w:rsidR="00045427" w:rsidRDefault="00045427" w:rsidP="00045427">
      <w:pPr>
        <w:jc w:val="center"/>
        <w:rPr>
          <w:sz w:val="52"/>
          <w:szCs w:val="52"/>
        </w:rPr>
      </w:pPr>
      <w:r w:rsidRPr="00045427">
        <w:rPr>
          <w:i/>
          <w:sz w:val="52"/>
          <w:szCs w:val="52"/>
        </w:rPr>
        <w:t>In vitro</w:t>
      </w:r>
      <w:r w:rsidRPr="00045427">
        <w:rPr>
          <w:sz w:val="52"/>
          <w:szCs w:val="52"/>
        </w:rPr>
        <w:t xml:space="preserve"> analysis of RNAi efficacy of chemically modified dsRNA in </w:t>
      </w:r>
    </w:p>
    <w:p w:rsidR="00045427" w:rsidRDefault="00045427" w:rsidP="00045427">
      <w:pPr>
        <w:jc w:val="center"/>
      </w:pPr>
      <w:r w:rsidRPr="00045427">
        <w:rPr>
          <w:i/>
          <w:sz w:val="52"/>
          <w:szCs w:val="52"/>
        </w:rPr>
        <w:t>Drosophila</w:t>
      </w:r>
      <w:r w:rsidRPr="00045427">
        <w:rPr>
          <w:sz w:val="52"/>
          <w:szCs w:val="52"/>
        </w:rPr>
        <w:t xml:space="preserve"> Kc167 cells</w:t>
      </w:r>
    </w:p>
    <w:p w:rsidR="00045427" w:rsidRDefault="00045427">
      <w:pPr>
        <w:spacing w:after="200"/>
        <w:jc w:val="left"/>
      </w:pPr>
      <w:r>
        <w:br w:type="page"/>
      </w:r>
    </w:p>
    <w:p w:rsidR="00045427" w:rsidRDefault="00045427" w:rsidP="00045427">
      <w:pPr>
        <w:pStyle w:val="Heading1"/>
      </w:pPr>
      <w:bookmarkStart w:id="166" w:name="_Toc6752456"/>
      <w:bookmarkStart w:id="167" w:name="_Toc15562889"/>
      <w:bookmarkStart w:id="168" w:name="_Toc17295534"/>
      <w:bookmarkStart w:id="169" w:name="_Toc35333986"/>
      <w:r w:rsidRPr="001F590F">
        <w:rPr>
          <w:i/>
        </w:rPr>
        <w:lastRenderedPageBreak/>
        <w:t>In vitro</w:t>
      </w:r>
      <w:r w:rsidRPr="00C03466">
        <w:t xml:space="preserve"> analysis of RNAi </w:t>
      </w:r>
      <w:r>
        <w:t>efficacy of</w:t>
      </w:r>
      <w:r w:rsidRPr="00C03466">
        <w:t xml:space="preserve"> </w:t>
      </w:r>
      <w:r>
        <w:t xml:space="preserve">chemically </w:t>
      </w:r>
      <w:r w:rsidRPr="00C03466">
        <w:t xml:space="preserve">modified dsRNA in </w:t>
      </w:r>
      <w:bookmarkEnd w:id="166"/>
      <w:bookmarkEnd w:id="167"/>
      <w:r w:rsidRPr="00A22FEA">
        <w:rPr>
          <w:i/>
        </w:rPr>
        <w:t xml:space="preserve">Drosophila </w:t>
      </w:r>
      <w:r>
        <w:t>Kc167 cells</w:t>
      </w:r>
      <w:bookmarkEnd w:id="168"/>
      <w:bookmarkEnd w:id="169"/>
    </w:p>
    <w:p w:rsidR="00045427" w:rsidRPr="001F590F" w:rsidRDefault="00045427" w:rsidP="00045427"/>
    <w:p w:rsidR="00045427" w:rsidRDefault="00045427" w:rsidP="00045427">
      <w:pPr>
        <w:pStyle w:val="Heading2"/>
      </w:pPr>
      <w:bookmarkStart w:id="170" w:name="_Toc17295535"/>
      <w:bookmarkStart w:id="171" w:name="_Toc35333987"/>
      <w:r>
        <w:t>Abstract</w:t>
      </w:r>
      <w:bookmarkEnd w:id="170"/>
      <w:bookmarkEnd w:id="171"/>
    </w:p>
    <w:p w:rsidR="00045427" w:rsidRDefault="00045427" w:rsidP="00045427"/>
    <w:p w:rsidR="00045427" w:rsidRDefault="00045427" w:rsidP="00045427">
      <w:pPr>
        <w:spacing w:line="360" w:lineRule="auto"/>
        <w:ind w:firstLine="284"/>
      </w:pPr>
      <w:r>
        <w:t xml:space="preserve">There is currently no published data on the RNAi efficacy of chemically modified long dsRNA in insect models. The aim of this chapter was to study the effects of dsRNA chemical modifications on RNAi </w:t>
      </w:r>
      <w:r w:rsidRPr="00CE43CD">
        <w:rPr>
          <w:i/>
        </w:rPr>
        <w:t>in vitro</w:t>
      </w:r>
      <w:r>
        <w:t xml:space="preserve"> in insect cells. </w:t>
      </w:r>
      <w:r w:rsidRPr="00B17F36">
        <w:rPr>
          <w:i/>
        </w:rPr>
        <w:t>Drosophila</w:t>
      </w:r>
      <w:r>
        <w:rPr>
          <w:i/>
        </w:rPr>
        <w:t xml:space="preserve"> melanogaster</w:t>
      </w:r>
      <w:r>
        <w:t xml:space="preserve"> Kc167 cells were selected as the model system and dsRNA containing a range chemical modifications was synthesised, including phosphorothioate (PS), 2’-fluoro (2’F) and 5-hydroxymethyl (HMr). The ability of dsRNAs containing these modifications to knockdown their target mRNA was quantified by a dual luciferase assay reporter system transfected into the cells. </w:t>
      </w:r>
    </w:p>
    <w:p w:rsidR="00045427" w:rsidRDefault="00045427" w:rsidP="00045427">
      <w:pPr>
        <w:spacing w:line="360" w:lineRule="auto"/>
        <w:ind w:firstLine="284"/>
      </w:pPr>
      <w:r>
        <w:t>Various unmodified dsRNAs were synthesised, tested</w:t>
      </w:r>
      <w:r w:rsidR="006402BA">
        <w:t>,</w:t>
      </w:r>
      <w:r>
        <w:t xml:space="preserve"> and demonstrated to be efficacious for RNAi in this system. Optimum concentration windows within which to observe differences in the level of RNAi-induced mRNA knockdown were also determined for this assay. The firefly luciferase-targeting dsRNA FLuc, was subsequently chosen for quantitative analysis of the effect of dsRNA chemical modifications on RNAi. </w:t>
      </w:r>
    </w:p>
    <w:p w:rsidR="00045427" w:rsidRPr="004B49F6" w:rsidRDefault="00045427" w:rsidP="00045427">
      <w:pPr>
        <w:spacing w:line="360" w:lineRule="auto"/>
        <w:ind w:firstLine="284"/>
        <w:rPr>
          <w:color w:val="FF0000"/>
        </w:rPr>
      </w:pPr>
      <w:r>
        <w:t xml:space="preserve">The chemical modifications used in this study were shown not to be cytotoxic in </w:t>
      </w:r>
      <w:r w:rsidRPr="00562DDF">
        <w:rPr>
          <w:i/>
        </w:rPr>
        <w:t>Drosophila</w:t>
      </w:r>
      <w:r>
        <w:t xml:space="preserve"> Kc167 cells. Furthermore, quantitative analysis of the RNAi efficacy of the chemically modified dsRNAs using the dual luciferase reporter assay demonstrated that a number of chemically modified dsRNAs, including 1PS, 2PS and 1 2’F modified dsRNAs demonstrated greater RNAi efficacy compared to unmodified dsRNA. The EC50 of 2PS dsRNA was 2.8 ng, compared to 20.6 ng for unmodified dsRNA. The EC50 was 0.8 ng for 1 2’F dsRNA compared to 9.8 ng for unmodified dsRNA. T-test statistical  analysis confirmed these dsRNAs did have improved RNAi efficacy compared to unmodified dsRNA. 1HMr modified dsRNA demonstrated equivalent RNAi efficacy to unmodified dsRNA, and 2HMr and 2 2’F dsRNA demonstrated reduced RNAi efficacy compared to unmodified dsRNA. </w:t>
      </w:r>
    </w:p>
    <w:p w:rsidR="00045427" w:rsidRDefault="00045427" w:rsidP="00045427">
      <w:pPr>
        <w:spacing w:line="360" w:lineRule="auto"/>
        <w:ind w:firstLine="284"/>
      </w:pPr>
      <w:r>
        <w:t xml:space="preserve">The results presented in this chapter </w:t>
      </w:r>
      <w:r w:rsidRPr="00AA2F10">
        <w:t>demonstrate</w:t>
      </w:r>
      <w:r>
        <w:t xml:space="preserve"> for the first time</w:t>
      </w:r>
      <w:r w:rsidRPr="00AA2F10">
        <w:t xml:space="preserve"> that chemically modified dsRNAs can be used </w:t>
      </w:r>
      <w:r>
        <w:t>for RNAi applications in</w:t>
      </w:r>
      <w:r w:rsidRPr="00AA2F10">
        <w:t xml:space="preserve"> </w:t>
      </w:r>
      <w:r w:rsidRPr="00AA2F10">
        <w:rPr>
          <w:i/>
        </w:rPr>
        <w:t>Drosophila melanogaster</w:t>
      </w:r>
      <w:r w:rsidRPr="00AA2F10">
        <w:t xml:space="preserve"> Kc167 for RNAi applications. Based on the chemical modifications used in this study, the results show no significant loss of RNAi efficacy compared to unmodified dsRNA</w:t>
      </w:r>
      <w:r>
        <w:t>,</w:t>
      </w:r>
      <w:r w:rsidRPr="00AA2F10">
        <w:t xml:space="preserve"> therefore suggesting that these long dsRNA</w:t>
      </w:r>
      <w:r>
        <w:t>s can be successfully taken up by cells, and processed by Dicer-2 and RISC. Furthermore</w:t>
      </w:r>
      <w:r w:rsidR="006402BA">
        <w:t>,</w:t>
      </w:r>
      <w:r>
        <w:t xml:space="preserve"> a number of chemically modified dsRNAs showed improved RNAi efficacy, </w:t>
      </w:r>
      <w:r w:rsidRPr="0089075B">
        <w:t xml:space="preserve">and can be potentially used </w:t>
      </w:r>
      <w:r>
        <w:t>as</w:t>
      </w:r>
      <w:r w:rsidRPr="0089075B">
        <w:t xml:space="preserve"> dsRNA biopesticides to target major crop pests.</w:t>
      </w:r>
    </w:p>
    <w:p w:rsidR="00045427" w:rsidRDefault="00045427" w:rsidP="00045427">
      <w:pPr>
        <w:spacing w:line="360" w:lineRule="auto"/>
        <w:ind w:firstLine="284"/>
      </w:pPr>
    </w:p>
    <w:p w:rsidR="00045427" w:rsidRPr="005A1537" w:rsidRDefault="00045427" w:rsidP="00045427">
      <w:pPr>
        <w:spacing w:after="200"/>
        <w:jc w:val="left"/>
      </w:pPr>
      <w:r>
        <w:br w:type="page"/>
      </w:r>
    </w:p>
    <w:p w:rsidR="00045427" w:rsidRDefault="00045427" w:rsidP="00045427">
      <w:pPr>
        <w:pStyle w:val="Heading2"/>
      </w:pPr>
      <w:bookmarkStart w:id="172" w:name="_Toc17295536"/>
      <w:bookmarkStart w:id="173" w:name="_Toc507150640"/>
      <w:bookmarkStart w:id="174" w:name="_Toc35333988"/>
      <w:r>
        <w:lastRenderedPageBreak/>
        <w:t>Introduction</w:t>
      </w:r>
      <w:bookmarkEnd w:id="172"/>
      <w:bookmarkEnd w:id="174"/>
    </w:p>
    <w:p w:rsidR="00045427" w:rsidRDefault="00045427" w:rsidP="00045427">
      <w:pPr>
        <w:pStyle w:val="Heading3"/>
        <w:spacing w:after="120"/>
      </w:pPr>
      <w:bookmarkStart w:id="175" w:name="_Toc17295537"/>
      <w:bookmarkStart w:id="176" w:name="_Toc35333989"/>
      <w:r>
        <w:t>Overview</w:t>
      </w:r>
      <w:bookmarkEnd w:id="175"/>
      <w:bookmarkEnd w:id="176"/>
    </w:p>
    <w:p w:rsidR="00045427" w:rsidRDefault="00045427" w:rsidP="00045427">
      <w:pPr>
        <w:spacing w:line="360" w:lineRule="auto"/>
        <w:ind w:firstLine="284"/>
      </w:pPr>
      <w:r>
        <w:t xml:space="preserve">As far as we are aware, there is currently no published data on the RNAi efficacy of chemically modified long dsRNA in either </w:t>
      </w:r>
      <w:r w:rsidRPr="00852D79">
        <w:rPr>
          <w:i/>
        </w:rPr>
        <w:t>in vitro</w:t>
      </w:r>
      <w:r>
        <w:t xml:space="preserve"> or </w:t>
      </w:r>
      <w:r w:rsidRPr="00852D79">
        <w:rPr>
          <w:i/>
        </w:rPr>
        <w:t>in vivo</w:t>
      </w:r>
      <w:r>
        <w:t xml:space="preserve"> insect models. The aim of this chapter was to establish whether chemically modified dsRNA could induce RNAi in insect cells, and to study the effects of dsRNA chemical modifications on RNAi-induced knockdown levels. </w:t>
      </w:r>
      <w:r w:rsidRPr="00B17F36">
        <w:rPr>
          <w:i/>
        </w:rPr>
        <w:t>Drosophila</w:t>
      </w:r>
      <w:r>
        <w:rPr>
          <w:i/>
        </w:rPr>
        <w:t xml:space="preserve"> melanogaster</w:t>
      </w:r>
      <w:r>
        <w:t xml:space="preserve"> Kc167 cells were selected as the model system in which to assess the RNAi activity in insect cells of the various unmodified and chemically modified dsRNAs synthesised previously. </w:t>
      </w:r>
    </w:p>
    <w:p w:rsidR="00045427" w:rsidRPr="001E1AC5" w:rsidRDefault="00045427" w:rsidP="00045427">
      <w:pPr>
        <w:spacing w:line="360" w:lineRule="auto"/>
        <w:ind w:firstLine="284"/>
      </w:pPr>
      <w:r>
        <w:t>In order to ascertain changes in RNAi efficacy due to the presence of chemical modifications, the ability of the dsRNAs to knockdown their target mRNA was quantified by a dual luciferase assay reporter system. This method used luminesce</w:t>
      </w:r>
      <w:r w:rsidR="006402BA">
        <w:t>nce produced by two luciferases –</w:t>
      </w:r>
      <w:r>
        <w:t xml:space="preserve"> enzymes which cat</w:t>
      </w:r>
      <w:r w:rsidR="006402BA">
        <w:t>alyse light-producing reactions –</w:t>
      </w:r>
      <w:r>
        <w:t xml:space="preserve"> as readouts </w:t>
      </w:r>
      <w:r w:rsidR="005C0E76">
        <w:fldChar w:fldCharType="begin" w:fldLock="1"/>
      </w:r>
      <w:r>
        <w:instrText>ADDIN CSL_CITATION {"citationItems":[{"id":"ITEM-1","itemData":{"DOI":"10.1002/iub.134","ISSN":"15216543","PMID":"18949818","abstract":"Luciferase is a general term for enzymes catalyzing visible light emission by living organisms (bioluminescence). The studies carried out with Photinus pyralis (firefly) luciferase allowed the discovery of the reaction leading to light production. It can be regarded as a two-step process: the first corresponds to the reaction of luciferase's substrate, luciferin (LH(2)), with ATP-Mg(2+) generating inorganic pyrophosphate and an intermediate luciferyl-adenylate (LH(2)-AMP); the second is the oxidation and decarboxylation of LH(2)-AMP to oxyluciferin, the light emitter, producing CO(2), AMP, and photons of yellow-green light (550- 570 nm). In a dark reaction LH(2)-AMP is oxidized to dehydroluciferyl-adenylate (L-AMP). Luciferase also shows acyl-coenzyme A synthetase activity, which leads to the formation of dehydroluciferyl-coenzyme A (L-CoA), luciferyl-coenzyme A (LH(2)-CoA), and fatty acyl-CoAs. Moreover luciferase catalyzes the synthesis of dinucleoside polyphosphates from nucleosides with at least a 3'-phosphate chain plus an intact terminal pyrophosphate moiety. The LH(2) stereospecificity is a particular feature of the bioluminescent reaction where each isomer, D-LH(2) or L-LH(2), has a specific function. Practical applications of the luciferase system, either in its native form or with engineered proteins, encloses the analytical assay of metabolites like ATP and molecular biology studies with luc as a reporter gene, including the most recent and increasing field of bioimaging.","author":[{"dropping-particle":"","family":"Marques","given":"Simone M.","non-dropping-particle":"","parse-names":false,"suffix":""},{"dropping-particle":"","family":"Esteves da Silva","given":"Joaquim C. G.","non-dropping-particle":"","parse-names":false,"suffix":""}],"container-title":"IUBMB Life","id":"ITEM-1","issue":"1","issued":{"date-parts":[["2009","1"]]},"page":"6-17","title":"Firefly bioluminescence: A mechanistic approach of luciferase catalyzed reactions","type":"article-journal","volume":"61"},"uris":["http://www.mendeley.com/documents/?uuid=8e490dc4-b2dc-3510-bf2d-221b289d1dd4"]}],"mendeley":{"formattedCitation":"(Marques and Esteves da Silva, 2009)","plainTextFormattedCitation":"(Marques and Esteves da Silva, 2009)","previouslyFormattedCitation":"(Marques and Esteves da Silva, 2009)"},"properties":{"noteIndex":0},"schema":"https://github.com/citation-style-language/schema/raw/master/csl-citation.json"}</w:instrText>
      </w:r>
      <w:r w:rsidR="005C0E76">
        <w:fldChar w:fldCharType="separate"/>
      </w:r>
      <w:r w:rsidRPr="00BC1972">
        <w:rPr>
          <w:noProof/>
        </w:rPr>
        <w:t>(Marques and Esteves da Silva, 2009)</w:t>
      </w:r>
      <w:r w:rsidR="005C0E76">
        <w:fldChar w:fldCharType="end"/>
      </w:r>
      <w:r>
        <w:t xml:space="preserve">. The expression level of one of the luciferases present in cells – the firefly </w:t>
      </w:r>
      <w:r w:rsidRPr="00706EE4">
        <w:rPr>
          <w:i/>
        </w:rPr>
        <w:t>Photinus pyralis</w:t>
      </w:r>
      <w:r>
        <w:t xml:space="preserve"> – correlates to the level of mRNA knockdown induced by the dsRNAs. Successful mRNA knockdown therefore results in a reduction in luminescence produced by this luciferase (FL), with dsRNAs that are more efficacious for RNAi reducing the luminescence more than less efficacious dsRNAs.  A second luciferase from the sea pansy </w:t>
      </w:r>
      <w:r w:rsidRPr="00706EE4">
        <w:rPr>
          <w:i/>
        </w:rPr>
        <w:t>Renilla reniformis</w:t>
      </w:r>
      <w:r>
        <w:t xml:space="preserve">, produces a luminescence </w:t>
      </w:r>
      <w:r w:rsidRPr="001E1AC5">
        <w:t xml:space="preserve">emission spectrum (RL) with a different peak wavelength, </w:t>
      </w:r>
      <w:r w:rsidR="006402BA">
        <w:t xml:space="preserve">luminescence levels of </w:t>
      </w:r>
      <w:r w:rsidRPr="001E1AC5">
        <w:t>which should be unaffected by the target dsRNAs and can therefore be used for normalisation of FL values. Full details of the reporter system are outlined in section 5.2.2 below.</w:t>
      </w:r>
    </w:p>
    <w:p w:rsidR="00045427" w:rsidRPr="001E1AC5" w:rsidRDefault="00045427" w:rsidP="00045427">
      <w:pPr>
        <w:spacing w:line="360" w:lineRule="auto"/>
        <w:ind w:firstLine="284"/>
      </w:pPr>
    </w:p>
    <w:p w:rsidR="00045427" w:rsidRDefault="00045427" w:rsidP="00045427">
      <w:pPr>
        <w:spacing w:line="360" w:lineRule="auto"/>
        <w:ind w:firstLine="284"/>
      </w:pPr>
      <w:r w:rsidRPr="001E1AC5">
        <w:t>Insects that exhibit RNAi from the ingestion of dsRNA uptake the dsRNA from their gut</w:t>
      </w:r>
      <w:r>
        <w:t xml:space="preserve"> lumen by receptor-mediated endocytosis </w:t>
      </w:r>
      <w:r w:rsidR="005C0E76">
        <w:fldChar w:fldCharType="begin" w:fldLock="1"/>
      </w:r>
      <w:r>
        <w:instrText>ADDIN CSL_CITATION {"citationItems":[{"id":"ITEM-1","itemData":{"DOI":"10.1016/J.IBMB.2017.09.011","ISSN":"0965-1748","abstract":"RNA interference (RNAi) efficiency varies among insects studied. The barriers for successful RNAi include the presence of double-stranded ribonucleases (dsRNase) in the lumen and hemolymph that could potentially digest double-stranded RNA (dsRNA) and the variability in the transport of dsRNA into and within the cells. We recently showed that the dsRNAs are transported into lepidopteran cells, but they are not processed into small interference RNAs (siRNAs) because they are trapped in acidic bodies. In the current study, we focused on the identification of acidic bodies in which dsRNAs accumulate in Sf9 cells. Time-lapse imaging studies showed that dsRNAs enter Sf9 cells and accumulate in acidic bodies within 20 min after their addition to the medium. CypHer-5E-labeled dsRNA also accumulated in the midgut and fat body dissected from Spodoptera frugiperda larvae with similar patterns observed in Sf9 cells. Pharmacological inhibitor assays showed that the dsRNAs use clathrin mediated endocytosis pathway for transport into the cells. We investigated the potential dsRNA accumulation sites employing LysoTracker and double labeling experiments using the constructs to express a fusion of green fluorescence protein with early or late endosomal marker proteins and CypHer-5E-labeled dsRNA. Interestingly, CypHer-5E-labeled dsRNA accumulated predominantly in early and late endosomes. These data suggest that entrapment of internalized dsRNA in endosomes is one of the major factors contributing to inefficient RNAi response in lepidopteran insects.","author":[{"dropping-particle":"","family":"Yoon","given":"June-Sun","non-dropping-particle":"","parse-names":false,"suffix":""},{"dropping-particle":"","family":"Gurusamy","given":"Dhandapani","non-dropping-particle":"","parse-names":false,"suffix":""},{"dropping-particle":"","family":"Palli","given":"Subba Reddy","non-dropping-particle":"","parse-names":false,"suffix":""}],"container-title":"Insect Biochemistry and Molecular Biology","id":"ITEM-1","issued":{"date-parts":[["2017","11","1"]]},"page":"53-60","publisher":"Pergamon","title":"Accumulation of dsRNA in endosomes contributes to inefficient RNA interference in the fall armyworm, Spodoptera frugiperda","type":"article-journal","volume":"90"},"uris":["http://www.mendeley.com/documents/?uuid=01770f98-6eb4-3249-828b-e16065d0d6ea"]},{"id":"ITEM-2","itemData":{"DOI":"10.1038/ncb1439","ISSN":"1465-7392","PMID":"16862146","abstract":"Many metazoan cells can take up exogenous double-stranded (ds) RNA and use it to initiate an RNA silencing response, however, the mechanism for this uptake is ill-defined. Here, we identify the pathway for dsRNA uptake in Drosophila melanogaster S2 cells. Biochemical and cell biological analyses, and a genome-wide screen for components of the dsRNA-uptake machinery, indicated that dsRNA is taken up by an active process involving receptor-mediated endocytosis. Pharmacological inhibition of endocytic pathways disrupted exogenous dsRNA entry and the induction of gene silencing. This dsRNA uptake mechanism seems to be evolutionarily conserved, as knockdown of orthologues in Caenorhabditis elegans inactivated the RNA interference response in worms. Thus, this entry pathway is required for systemic RNA silencing in whole organisms. In Drosophila cells, pharmacological evidence suggests that dsRNA entry is mediated by pattern-recognition receptors. The possible role of these receptors in dsRNA entry may link RNA interference (RNAi) silencing to other innate immune responses.","author":[{"dropping-particle":"","family":"Saleh","given":"Maria-Carla","non-dropping-particle":"","parse-names":false,"suffix":""},{"dropping-particle":"","family":"Rij","given":"Ronald P","non-dropping-particle":"van","parse-names":false,"suffix":""},{"dropping-particle":"","family":"Hekele","given":"Armin","non-dropping-particle":"","parse-names":false,"suffix":""},{"dropping-particle":"","family":"Gillis","given":"Amethyst","non-dropping-particle":"","parse-names":false,"suffix":""},{"dropping-particle":"","family":"Foley","given":"Edan","non-dropping-particle":"","parse-names":false,"suffix":""},{"dropping-particle":"","family":"O'Farrell","given":"Patrick H","non-dropping-particle":"","parse-names":false,"suffix":""},{"dropping-particle":"","family":"Andino","given":"Raul","non-dropping-particle":"","parse-names":false,"suffix":""}],"container-title":"Nature cell biology","id":"ITEM-2","issue":"8","issued":{"date-parts":[["2006","8"]]},"page":"793-802","publisher":"NIH Public Access","title":"The endocytic pathway mediates cell entry of dsRNA to induce RNAi silencing.","type":"article-journal","volume":"8"},"uris":["http://www.mendeley.com/documents/?uuid=ab13e65d-1986-3961-be2f-6e0cd4e698cc"]},{"id":"ITEM-3","itemData":{"DOI":"10.1016/J.IBMB.2015.03.009","ISSN":"0965-1748","abstract":"RNA interference (RNAi) is a highly conserved gene regulatory mechanism in eukaryotic organisms; however, an understanding of mechanisms of cellular uptake of double-stranded RNA (dsRNA) in different organisms remains elusive. By using pharmacological inhibitors of different endocytic pathways in conjunction with RNAi of a marker gene (lethal giant larvae, TcLgl) in the red flour beetle (Tribolium castaneum), we demonstrated that two inhibitors (chlorpromazine and bafilomycin-A1) of clathrin-dependent endocytosis can nearly abolish or significantly diminish RNAi of TcLgl, whereas methyl-β-cyclodextrin and cytochalasin-D, known to inhibit other endocytic pathways, showed no effect on RNAi of TcLgl. By using Cy3-labeled TcLgl dsRNA, we observed significantly reduced cellular uptake of TcLgl dsRNA in midgut cells after larvae were injected with each of the two clathrin-dependent endocytosis inhibitors. By using an “RNAi of RNAi” strategy, we further demonstrated that suppression of each transcript of the four key genes encoding clathrin heavy chain (TcChc), clathrin coat assembly protein AP50 (TcAP50), vacuolar (H+)-ATPase subunit H (TcVhaSFD) and a ras-related protein (TcRab7) in clathrin-dependent endocytosis by RNAi can significantly impair RNAi of TcLgl. These results support our conclusion that clathrin-dependent endocytosis is a major mechanism in cellular uptake of dsRNA in T. castaneum. Our study also provides new insights into improving RNAi efficiency by enhancing dsRNA endosomal release.","author":[{"dropping-particle":"","family":"Xiao","given":"Da","non-dropping-particle":"","parse-names":false,"suffix":""},{"dropping-particle":"","family":"Gao","given":"Xiwu","non-dropping-particle":"","parse-names":false,"suffix":""},{"dropping-particle":"","family":"Xu","given":"Jiaping","non-dropping-particle":"","parse-names":false,"suffix":""},{"dropping-particle":"","family":"Liang","given":"Xiao","non-dropping-particle":"","parse-names":false,"suffix":""},{"dropping-particle":"","family":"Li","given":"Qingqing","non-dropping-particle":"","parse-names":false,"suffix":""},{"dropping-particle":"","family":"Yao","given":"Jianxiu","non-dropping-particle":"","parse-names":false,"suffix":""},{"dropping-particle":"","family":"Zhu","given":"Kun Yan","non-dropping-particle":"","parse-names":false,"suffix":""}],"container-title":"Insect Biochemistry and Molecular Biology","id":"ITEM-3","issued":{"date-parts":[["2015","5","1"]]},"page":"68-77","publisher":"Pergamon","title":"Clathrin-dependent endocytosis plays a predominant role in cellular uptake of double-stranded RNA in the red flour beetle","type":"article-journal","volume":"60"},"uris":["http://www.mendeley.com/documents/?uuid=0601246f-e811-3912-957e-28ebec56a150"]}],"mendeley":{"formattedCitation":"(Saleh, Ronald P van Rij, &lt;i&gt;et al.&lt;/i&gt;, 2006; Xiao &lt;i&gt;et al.&lt;/i&gt;, 2015; Yoon, Gurusamy and Palli, 2017)","plainTextFormattedCitation":"(Saleh, Ronald P van Rij, et al., 2006; Xiao et al., 2015; Yoon, Gurusamy and Palli, 2017)","previouslyFormattedCitation":"(Saleh, Ronald P van Rij, &lt;i&gt;et al.&lt;/i&gt;, 2006; Xiao &lt;i&gt;et al.&lt;/i&gt;, 2015; Yoon, Gurusamy and Palli, 2017)"},"properties":{"noteIndex":0},"schema":"https://github.com/citation-style-language/schema/raw/master/csl-citation.json"}</w:instrText>
      </w:r>
      <w:r w:rsidR="005C0E76">
        <w:fldChar w:fldCharType="separate"/>
      </w:r>
      <w:r w:rsidRPr="00382730">
        <w:rPr>
          <w:noProof/>
        </w:rPr>
        <w:t xml:space="preserve">(Saleh, Ronald P van Rij, </w:t>
      </w:r>
      <w:r w:rsidRPr="00382730">
        <w:rPr>
          <w:i/>
          <w:noProof/>
        </w:rPr>
        <w:t>et al.</w:t>
      </w:r>
      <w:r w:rsidRPr="00382730">
        <w:rPr>
          <w:noProof/>
        </w:rPr>
        <w:t xml:space="preserve">, 2006; Xiao </w:t>
      </w:r>
      <w:r w:rsidRPr="00382730">
        <w:rPr>
          <w:i/>
          <w:noProof/>
        </w:rPr>
        <w:t>et al.</w:t>
      </w:r>
      <w:r w:rsidRPr="00382730">
        <w:rPr>
          <w:noProof/>
        </w:rPr>
        <w:t>, 2015; Yoon, Gurusamy and Palli, 2017)</w:t>
      </w:r>
      <w:r w:rsidR="005C0E76">
        <w:fldChar w:fldCharType="end"/>
      </w:r>
      <w:r>
        <w:t>, along with a</w:t>
      </w:r>
      <w:r w:rsidR="006402BA">
        <w:t xml:space="preserve"> possible</w:t>
      </w:r>
      <w:r>
        <w:t xml:space="preserve"> alternative SID-like receptor </w:t>
      </w:r>
      <w:r w:rsidR="006402BA">
        <w:t xml:space="preserve">mediated </w:t>
      </w:r>
      <w:r>
        <w:t xml:space="preserve">pathway </w:t>
      </w:r>
      <w:r w:rsidR="005C0E76">
        <w:fldChar w:fldCharType="begin" w:fldLock="1"/>
      </w:r>
      <w:r>
        <w:instrText>ADDIN CSL_CITATION {"citationItems":[{"id":"ITEM-1","itemData":{"DOI":"10.1016/j.jinsphys.2009.10.004","ISBN":"1879-1611 (Electronic)\\n0022-1910 (Linking)","ISSN":"00221910","PMID":"19837076","abstract":"RNA interference already proved its usefulness in functional genomic research on insects, but it also has considerable potential for the control of pest insects. For this purpose, the insect should be able to autonomously take up the dsRNA, for example through feeding and digestion in its midgut. In this review we bring together current knowledge on the uptake mechanisms of dsRNA in insects and the potential of RNAi to affect pest insects. At least two pathways for dsRNA uptake in insects are described: the transmembrane channel-mediated uptake mechanism based on Caenorhabditis elegans' SID-1 protein and an 'alternative' endocytosis-mediated uptake mechanism. In the second part of the review dsRNA feeding experiments on insects are brought together for the first time, highlighting the achievement of implementing RNAi in insect control with the first successful experiments in transgenic plants and the diversity of successfully tested insect orders/species and target genes. We conclude with points of discussion and concerns regarding further research on dsRNA uptake mechanisms and the promising application possibilities for RNAi in insect control. © 2009 Elsevier Ltd. All rights reserved.","author":[{"dropping-particle":"","family":"Huvenne","given":"Hanneke","non-dropping-particle":"","parse-names":false,"suffix":""},{"dropping-particle":"","family":"Smagghe","given":"Guy","non-dropping-particle":"","parse-names":false,"suffix":""}],"container-title":"Journal of Insect Physiology","id":"ITEM-1","issue":"3","issued":{"date-parts":[["2010"]]},"page":"227-235","publisher":"Elsevier Ltd","title":"Mechanisms of dsRNA uptake in insects and potential of RNAi for pest control: A review","type":"article-journal","volume":"56"},"uris":["http://www.mendeley.com/documents/?uuid=f8e25a73-7fed-4f80-ae52-3493935f4286"]}],"mendeley":{"formattedCitation":"(Huvenne and Smagghe, 2010)","plainTextFormattedCitation":"(Huvenne and Smagghe, 2010)","previouslyFormattedCitation":"(Huvenne and Smagghe, 2010)"},"properties":{"noteIndex":0},"schema":"https://github.com/citation-style-language/schema/raw/master/csl-citation.json"}</w:instrText>
      </w:r>
      <w:r w:rsidR="005C0E76">
        <w:fldChar w:fldCharType="separate"/>
      </w:r>
      <w:r w:rsidRPr="004E32AC">
        <w:rPr>
          <w:noProof/>
        </w:rPr>
        <w:t>(Huvenne and Smagghe, 2010)</w:t>
      </w:r>
      <w:r w:rsidR="005C0E76">
        <w:fldChar w:fldCharType="end"/>
      </w:r>
      <w:r>
        <w:t xml:space="preserve"> in the same manner as </w:t>
      </w:r>
      <w:r w:rsidRPr="00852D79">
        <w:rPr>
          <w:i/>
        </w:rPr>
        <w:t>C. elegans</w:t>
      </w:r>
      <w:r>
        <w:t xml:space="preserve"> </w:t>
      </w:r>
      <w:r w:rsidR="005C0E76">
        <w:fldChar w:fldCharType="begin" w:fldLock="1"/>
      </w:r>
      <w:r>
        <w:instrText>ADDIN CSL_CITATION {"citationItems":[{"id":"ITEM-1","itemData":{"DOI":"10.1016/j.tibtech.2008.04.004","ISBN":"0167-7799 (Print)\\r0167-7799 (Linking)","ISSN":"01677799","PMID":"18501983","abstract":"Downregulation of the expression of specific genes through RNA interference (RNAi), has been widely used for genetic research in insects. The method has relied on the injection of double-stranded RNA (dsRNA), which is not possible for practical applications in crop protection. By contrast, specific suppression of gene expression in nematodes is possible through feeding with dsRNA. This approach was thought to be unfeasible in insects, but recent results have shown that dsRNA fed as a diet component can be effective in downregulating targeted genes. More significantly, expression of dsRNA directed against suitable insect target genes in transgenic plants has been shown to give protection against pests, opening the way for a new generation of insect-resistant crops. © 2008 Elsevier Ltd. All rights reserved.","author":[{"dropping-particle":"","family":"Price","given":"D. R G","non-dropping-particle":"","parse-names":false,"suffix":""},{"dropping-particle":"","family":"Gatehouse","given":"John a.","non-dropping-particle":"","parse-names":false,"suffix":""}],"container-title":"Trends in Biotechnology","id":"ITEM-1","issue":"7","issued":{"date-parts":[["2008"]]},"page":"393-400","title":"RNAi-mediated crop protection against insects","type":"article-journal","volume":"26"},"uris":["http://www.mendeley.com/documents/?uuid=471d642b-0358-470b-8652-ac4b692100c2"]}],"mendeley":{"formattedCitation":"(Price and Gatehouse, 2008)","plainTextFormattedCitation":"(Price and Gatehouse, 2008)","previouslyFormattedCitation":"(Price and Gatehouse, 2008)"},"properties":{"noteIndex":0},"schema":"https://github.com/citation-style-language/schema/raw/master/csl-citation.json"}</w:instrText>
      </w:r>
      <w:r w:rsidR="005C0E76">
        <w:fldChar w:fldCharType="separate"/>
      </w:r>
      <w:r w:rsidRPr="009F7DD3">
        <w:rPr>
          <w:noProof/>
        </w:rPr>
        <w:t>(Price and Gatehouse, 2008)</w:t>
      </w:r>
      <w:r w:rsidR="005C0E76">
        <w:fldChar w:fldCharType="end"/>
      </w:r>
      <w:r>
        <w:t xml:space="preserve">. </w:t>
      </w:r>
      <w:r w:rsidRPr="00665D34">
        <w:rPr>
          <w:i/>
        </w:rPr>
        <w:t>Drosophila</w:t>
      </w:r>
      <w:r>
        <w:t xml:space="preserve"> cells in culture similarly uptake naked dsRNA via scavenger receptors such as Eater</w:t>
      </w:r>
      <w:r w:rsidR="006402BA">
        <w:t>,</w:t>
      </w:r>
      <w:r>
        <w:t xml:space="preserve"> which bind the dsRNA and initiate its uptake by receptor mediated endocytosis </w:t>
      </w:r>
      <w:r w:rsidR="005C0E76">
        <w:fldChar w:fldCharType="begin" w:fldLock="1"/>
      </w:r>
      <w:r>
        <w:instrText>ADDIN CSL_CITATION {"citationItems":[{"id":"ITEM-1","itemData":{"DOI":"10.1074/jbc.M513868200","ISSN":"0021-9258","PMID":"16531407","abstract":"Double-stranded RNA (dsRNA) fragments are readily internalized and processed by Drosophila S2 cells, making these cells a widely used tool for the analysis of gene function by gene silencing through RNA interference (RNAi). The underlying mechanisms are insufficiently understood. To identify components of the RNAi pathway in S2 cells, we developed a screen based on rescue from RNAi-induced lethality. We identified Argonaute 2, a core component of the RNAi machinery, and three gene products previously unknown to be involved in RNAi in Drosophila: DEAD-box RNA helicase Belle, 26 S proteasome regulatory subunit 8 (Pros45), and clathrin heavy chain, a component of the endocytic machinery. Blocking endocytosis in S2 cells impaired RNAi, suggesting that dsRNA fragments are internalized by receptor-mediated endocytosis. Indeed, using a candidate gene approach, we identified two Drosophila scavenger receptors, SR-CI and Eater, which together accounted for more than 90% of the dsRNA uptake into S2 cells. When expressed in mammalian cells, SR-CI was sufficient to mediate internalization of dsRNA fragments. Our data provide insight into the mechanism of dsRNA internalization by Drosophila cells. These results have implications for dsRNA delivery into mammalian cells.","author":[{"dropping-particle":"","family":"Ulvila","given":"Johanna","non-dropping-particle":"","parse-names":false,"suffix":""},{"dropping-particle":"","family":"Parikka","given":"Mataleena","non-dropping-particle":"","parse-names":false,"suffix":""},{"dropping-particle":"","family":"Kleino","given":"Anni","non-dropping-particle":"","parse-names":false,"suffix":""},{"dropping-particle":"","family":"Sormunen","given":"Raija","non-dropping-particle":"","parse-names":false,"suffix":""},{"dropping-particle":"","family":"Ezekowitz","given":"R. Alan","non-dropping-particle":"","parse-names":false,"suffix":""},{"dropping-particle":"","family":"Kocks","given":"Christine","non-dropping-particle":"","parse-names":false,"suffix":""},{"dropping-particle":"","family":"Rämet","given":"Mika","non-dropping-particle":"","parse-names":false,"suffix":""}],"container-title":"Journal of Biological Chemistry","id":"ITEM-1","issue":"20","issued":{"date-parts":[["2006","5","19"]]},"page":"14370-14375","title":"Double-stranded RNA Is Internalized by Scavenger Receptor-mediated Endocytosis in &lt;i&gt;Drosophila&lt;/i&gt; S2 Cells","type":"article-journal","volume":"281"},"uris":["http://www.mendeley.com/documents/?uuid=c8bee7d0-f53f-3ba6-9c6f-e65da5f55ba4"]},{"id":"ITEM-2","itemData":{"DOI":"10.1038/ncb1439","ISSN":"1465-7392","PMID":"16862146","abstract":"Many metazoan cells can take up exogenous double-stranded (ds) RNA and use it to initiate an RNA silencing response, however, the mechanism for this uptake is ill-defined. Here, we identify the pathway for dsRNA uptake in Drosophila melanogaster S2 cells. Biochemical and cell biological analyses, and a genome-wide screen for components of the dsRNA-uptake machinery, indicated that dsRNA is taken up by an active process involving receptor-mediated endocytosis. Pharmacological inhibition of endocytic pathways disrupted exogenous dsRNA entry and the induction of gene silencing. This dsRNA uptake mechanism seems to be evolutionarily conserved, as knockdown of orthologues in Caenorhabditis elegans inactivated the RNA interference response in worms. Thus, this entry pathway is required for systemic RNA silencing in whole organisms. In Drosophila cells, pharmacological evidence suggests that dsRNA entry is mediated by pattern-recognition receptors. The possible role of these receptors in dsRNA entry may link RNA interference (RNAi) silencing to other innate immune responses.","author":[{"dropping-particle":"","family":"Saleh","given":"Maria-Carla","non-dropping-particle":"","parse-names":false,"suffix":""},{"dropping-particle":"","family":"Rij","given":"Ronald P.","non-dropping-particle":"van","parse-names":false,"suffix":""},{"dropping-particle":"","family":"Hekele","given":"Armin","non-dropping-particle":"","parse-names":false,"suffix":""},{"dropping-particle":"","family":"Gillis","given":"Amethyst","non-dropping-particle":"","parse-names":false,"suffix":""},{"dropping-particle":"","family":"Foley","given":"Edan","non-dropping-particle":"","parse-names":false,"suffix":""},{"dropping-particle":"","family":"O'Farrell","given":"Patrick H.","non-dropping-particle":"","parse-names":false,"suffix":""},{"dropping-particle":"","family":"Andino","given":"Raul","non-dropping-particle":"","parse-names":false,"suffix":""}],"container-title":"Nature Cell Biology","id":"ITEM-2","issue":"8","issued":{"date-parts":[["2006","8","23"]]},"page":"793-802","title":"The endocytic pathway mediates cell entry of dsRNA to induce RNAi silencing","type":"article-journal","volume":"8"},"uris":["http://www.mendeley.com/documents/?uuid=c58f09d2-6650-3ba8-ab22-34a5b55bb9ac"]}],"mendeley":{"formattedCitation":"(Saleh, Ronald P. van Rij, &lt;i&gt;et al.&lt;/i&gt;, 2006; Ulvila &lt;i&gt;et al.&lt;/i&gt;, 2006)","plainTextFormattedCitation":"(Saleh, Ronald P. van Rij, et al., 2006; Ulvila et al., 2006)","previouslyFormattedCitation":"(Saleh, Ronald P. van Rij, &lt;i&gt;et al.&lt;/i&gt;, 2006; Ulvila &lt;i&gt;et al.&lt;/i&gt;, 2006)"},"properties":{"noteIndex":0},"schema":"https://github.com/citation-style-language/schema/raw/master/csl-citation.json"}</w:instrText>
      </w:r>
      <w:r w:rsidR="005C0E76">
        <w:fldChar w:fldCharType="separate"/>
      </w:r>
      <w:r w:rsidRPr="00382730">
        <w:rPr>
          <w:noProof/>
        </w:rPr>
        <w:t xml:space="preserve">(Saleh, Ronald P. van Rij, </w:t>
      </w:r>
      <w:r w:rsidRPr="00382730">
        <w:rPr>
          <w:i/>
          <w:noProof/>
        </w:rPr>
        <w:t>et al.</w:t>
      </w:r>
      <w:r w:rsidRPr="00382730">
        <w:rPr>
          <w:noProof/>
        </w:rPr>
        <w:t xml:space="preserve">, 2006; Ulvila </w:t>
      </w:r>
      <w:r w:rsidRPr="00382730">
        <w:rPr>
          <w:i/>
          <w:noProof/>
        </w:rPr>
        <w:t>et al.</w:t>
      </w:r>
      <w:r w:rsidRPr="00382730">
        <w:rPr>
          <w:noProof/>
        </w:rPr>
        <w:t>, 2006)</w:t>
      </w:r>
      <w:r w:rsidR="005C0E76">
        <w:fldChar w:fldCharType="end"/>
      </w:r>
      <w:r w:rsidRPr="006402BA">
        <w:t>.</w:t>
      </w:r>
      <w:r>
        <w:t xml:space="preserve"> The absence of a transfection reagent for delivery of the dsRNA into the cells, prevents the ability of </w:t>
      </w:r>
      <w:r w:rsidR="006402BA">
        <w:t xml:space="preserve">the </w:t>
      </w:r>
      <w:r>
        <w:t>transfection reagent to bind and facilitate the uptake of modified dsRNA being a factor in the efficacy of the dsRNA</w:t>
      </w:r>
      <w:r w:rsidR="006402BA">
        <w:t>.</w:t>
      </w:r>
      <w:r>
        <w:t xml:space="preserve"> </w:t>
      </w:r>
      <w:r w:rsidR="006402BA">
        <w:t>T</w:t>
      </w:r>
      <w:r>
        <w:t>herefore</w:t>
      </w:r>
      <w:r w:rsidR="006402BA">
        <w:t>, this</w:t>
      </w:r>
      <w:r>
        <w:t xml:space="preserve"> represents a realistic model of the uptake of – and RNAi-induced knockdown by – dsRNA in the cells of live insects. It has previously been determined that siRNAs</w:t>
      </w:r>
      <w:r w:rsidR="006402BA">
        <w:t xml:space="preserve"> are not spontaneously uptaken by insect cells</w:t>
      </w:r>
      <w:r>
        <w:t xml:space="preserve"> </w:t>
      </w:r>
      <w:r w:rsidR="005C0E76">
        <w:fldChar w:fldCharType="begin" w:fldLock="1"/>
      </w:r>
      <w:r>
        <w:instrText>ADDIN CSL_CITATION {"citationItems":[{"id":"ITEM-1","itemData":{"DOI":"10.1038/ncb1439","ISSN":"1465-7392","PMID":"16862146","abstract":"Many metazoan cells can take up exogenous double-stranded (ds) RNA and use it to initiate an RNA silencing response, however, the mechanism for this uptake is ill-defined. Here, we identify the pathway for dsRNA uptake in Drosophila melanogaster S2 cells. Biochemical and cell biological analyses, and a genome-wide screen for components of the dsRNA-uptake machinery, indicated that dsRNA is taken up by an active process involving receptor-mediated endocytosis. Pharmacological inhibition of endocytic pathways disrupted exogenous dsRNA entry and the induction of gene silencing. This dsRNA uptake mechanism seems to be evolutionarily conserved, as knockdown of orthologues in Caenorhabditis elegans inactivated the RNA interference response in worms. Thus, this entry pathway is required for systemic RNA silencing in whole organisms. In Drosophila cells, pharmacological evidence suggests that dsRNA entry is mediated by pattern-recognition receptors. The possible role of these receptors in dsRNA entry may link RNA interference (RNAi) silencing to other innate immune responses.","author":[{"dropping-particle":"","family":"Saleh","given":"Maria-Carla","non-dropping-particle":"","parse-names":false,"suffix":""},{"dropping-particle":"","family":"Rij","given":"Ronald P.","non-dropping-particle":"van","parse-names":false,"suffix":""},{"dropping-particle":"","family":"Hekele","given":"Armin","non-dropping-particle":"","parse-names":false,"suffix":""},{"dropping-particle":"","family":"Gillis","given":"Amethyst","non-dropping-particle":"","parse-names":false,"suffix":""},{"dropping-particle":"","family":"Foley","given":"Edan","non-dropping-particle":"","parse-names":false,"suffix":""},{"dropping-particle":"","family":"O'Farrell","given":"Patrick H.","non-dropping-particle":"","parse-names":false,"suffix":""},{"dropping-particle":"","family":"Andino","given":"Raul","non-dropping-particle":"","parse-names":false,"suffix":""}],"container-title":"Nature Cell Biology","id":"ITEM-1","issue":"8","issued":{"date-parts":[["2006","8","23"]]},"page":"793-802","title":"The endocytic pathway mediates cell entry of dsRNA to induce RNAi silencing","type":"article-journal","volume":"8"},"uris":["http://www.mendeley.com/documents/?uuid=c58f09d2-6650-3ba8-ab22-34a5b55bb9ac"]}],"mendeley":{"formattedCitation":"(Saleh, Ronald P. van Rij, &lt;i&gt;et al.&lt;/i&gt;, 2006)","plainTextFormattedCitation":"(Saleh, Ronald P. van Rij, et al., 2006)","previouslyFormattedCitation":"(Saleh, Ronald P. van Rij, &lt;i&gt;et al.&lt;/i&gt;, 2006)"},"properties":{"noteIndex":0},"schema":"https://github.com/citation-style-language/schema/raw/master/csl-citation.json"}</w:instrText>
      </w:r>
      <w:r w:rsidR="005C0E76">
        <w:fldChar w:fldCharType="separate"/>
      </w:r>
      <w:r w:rsidRPr="00382730">
        <w:rPr>
          <w:noProof/>
        </w:rPr>
        <w:t xml:space="preserve">(Saleh, van Rij, </w:t>
      </w:r>
      <w:r w:rsidRPr="00382730">
        <w:rPr>
          <w:i/>
          <w:noProof/>
        </w:rPr>
        <w:t>et al.</w:t>
      </w:r>
      <w:r w:rsidRPr="00382730">
        <w:rPr>
          <w:noProof/>
        </w:rPr>
        <w:t>, 2006)</w:t>
      </w:r>
      <w:r w:rsidR="005C0E76">
        <w:fldChar w:fldCharType="end"/>
      </w:r>
      <w:r>
        <w:t xml:space="preserve">, </w:t>
      </w:r>
      <w:r w:rsidR="006402BA">
        <w:t>and</w:t>
      </w:r>
      <w:r>
        <w:t xml:space="preserve"> require a transfection reagent for delivery to cells, and therefore long dsRNA with modifications throughout their length formed the focus of the present investigation.</w:t>
      </w:r>
    </w:p>
    <w:p w:rsidR="00045427" w:rsidRPr="00C63D71" w:rsidRDefault="00045427" w:rsidP="00045427">
      <w:pPr>
        <w:spacing w:line="360" w:lineRule="auto"/>
        <w:ind w:firstLine="284"/>
        <w:rPr>
          <w:color w:val="FF0000"/>
        </w:rPr>
      </w:pPr>
      <w:r>
        <w:lastRenderedPageBreak/>
        <w:t xml:space="preserve">The degradation of dsRNAs inside insect cells, which is likely a factor in their ability to survive long enough to be incorporated into the RISC, and the variation in their nuclease stability due to the presence or lack of chemical modifications is taken into account by this model system. As the cells were cultured in serum-free media, the cell culture model does not account for degradation of the dsRNAs by extracellular nucleases in the gut lumen and hemolymph, however this factor was assessed </w:t>
      </w:r>
      <w:r w:rsidRPr="001E1AC5">
        <w:t xml:space="preserve">separately in chapter 4. </w:t>
      </w:r>
      <w:r w:rsidRPr="001E1AC5">
        <w:rPr>
          <w:i/>
        </w:rPr>
        <w:t>Drosophila</w:t>
      </w:r>
      <w:r w:rsidRPr="001E1AC5">
        <w:t xml:space="preserve"> cell cultures are regularly used for RNAi screens </w:t>
      </w:r>
      <w:r w:rsidR="005C0E76" w:rsidRPr="001E1AC5">
        <w:fldChar w:fldCharType="begin" w:fldLock="1"/>
      </w:r>
      <w:r w:rsidRPr="001E1AC5">
        <w:instrText>ADDIN CSL_CITATION {"citationItems":[{"id":"ITEM-1","itemData":{"DOI":"10.1038/cdd.2015.77","ISBN":"1350-9047","ISSN":"14765403","PMID":"26088162","abstract":"Programmed cell death (PCD) has an important role in sculpting organisms during development. However, much remains to be learned about the molecular mechanism of PCD. We found that ectopic expression of tousled-like kinase (tlk) in Drosophila initiated a new type of cell death. Furthermore, the TLK-induced cell death is likely to be independent of the canonical caspase pathway and other known caspase-independent pathways. Genetically, atg2 RNAi could rescue the TLK-induced cell death, and this function of atg2 was likely distinct from its role in autophagy. In the developing retina, loss of tlk resulted in reduced PCD in the interommatidial cells (IOCs). Similarly, an increased number of IOCs was present in the atg2 deletion mutant clones. However, double knockdown of tlk and atg2 by RNAi did not have a synergistic effect. These results suggested that ATG2 may function downstream of TLK. In addition to a role in development, tlk and atg2 RNAi could rescue calcium overload-induced cell death. Together, our results suggest that TLK mediates a new type of cell death pathway that occurs in both development and calcium cytotoxicity.","author":[{"dropping-particle":"","family":"Zhang","given":"Y.","non-dropping-particle":"","parse-names":false,"suffix":""},{"dropping-particle":"","family":"Cai","given":"R.","non-dropping-particle":"","parse-names":false,"suffix":""},{"dropping-particle":"","family":"Zhou","given":"R.","non-dropping-particle":"","parse-names":false,"suffix":""},{"dropping-particle":"","family":"Li","given":"Y.","non-dropping-particle":"","parse-names":false,"suffix":""},{"dropping-particle":"","family":"Liu","given":"L.","non-dropping-particle":"","parse-names":false,"suffix":""}],"container-title":"Cell Death and Differentiation","id":"ITEM-1","issue":"1","issued":{"date-parts":[["2016"]]},"page":"146-157","title":"Tousled-like kinase mediated a new type of cell death pathway in Drosophila","type":"article-journal","volume":"23"},"uris":["http://www.mendeley.com/documents/?uuid=edb942e6-4510-4e67-84f0-e83f4d661f91"]},{"id":"ITEM-2","itemData":{"DOI":"10.1016/j.ymeth.2014.02.018","ISBN":"1064-3745 (Print)\\n1064-3745 (Linking)","ISSN":"1095-9130","PMID":"24576618","abstract":"Here, I discuss how RNAi screening can be used effectively to uncover gene function. Specifically, I discuss the types of high-throughput assays that can be done in Drosophila cells and in vivo, RNAi reagent design and available reagent collections, automated screen pipelines, analysis of screen results, and approaches to RNAi results verification.","author":[{"dropping-particle":"","family":"Mohr","given":"Stephanie E","non-dropping-particle":"","parse-names":false,"suffix":""}],"container-title":"Methods (San Diego, Calif.)","id":"ITEM-2","issue":"1","issued":{"date-parts":[["2014"]]},"page":"82-8","title":"RNAi screening in Drosophila cells and in vivo.","type":"article-journal","volume":"68"},"uris":["http://www.mendeley.com/documents/?uuid=726aa1b0-b534-4143-a401-b76478b6712a"]},{"id":"ITEM-3","itemData":{"DOI":"10.1091/mbc.E15-07-0467","ISSN":"1059-1524","PMID":"26912791","abstract":"Cell based RNAi is a powerful approach to screen for modulators of many cellular processes. However, resulting candidate gene lists from cell-based assays comprise diverse effectors, both direct and indirect, and further dissecting their functions can be challenging. Here, we screened a genome-wide RNAi library for modulators of mitosis and cytokinesis in Drosophila S2 cells. The screen identified many previously known genes as well as modulators that have previously not been connected to cell cycle control. We then characterized ~300 candidate modifiers further by genetic interaction analysis using double RNAi and a multiparametric, imaging-based assay. We found that analyzing cell-cycle relevant phenotypes increased the sensitivity for associating novel gene function. Genetic interaction maps based on mitotic index and nuclear size grouped candidates into known regulatory complexes of mitosis or cytokinesis, respectively, and predicted previously uncharacterized components of known processes. For example, we confirmed a role for the Drosophila CCR4 mRNA processing complex component l(2)NC136 during the mitotic exit. Our results show that the combination of genome-scale RNAi screening and genetic interaction analysis using process-directed phenotypes provides a powerful two-step approach to assign components to specific pathways and complexes.","author":[{"dropping-particle":"","family":"Billmann","given":"M.","non-dropping-particle":"","parse-names":false,"suffix":""},{"dropping-particle":"","family":"Horn","given":"T.","non-dropping-particle":"","parse-names":false,"suffix":""},{"dropping-particle":"","family":"Fischer","given":"B.","non-dropping-particle":"","parse-names":false,"suffix":""},{"dropping-particle":"","family":"Sandmann","given":"T.","non-dropping-particle":"","parse-names":false,"suffix":""},{"dropping-particle":"","family":"Huber","given":"W.","non-dropping-particle":"","parse-names":false,"suffix":""},{"dropping-particle":"","family":"Boutros","given":"M.","non-dropping-particle":"","parse-names":false,"suffix":""}],"container-title":"Molecular Biology of the Cell","id":"ITEM-3","issue":"8","issued":{"date-parts":[["2016"]]},"page":"1397-1407","title":"A genetic interaction map of cell cycle regulators","type":"article-journal","volume":"27"},"uris":["http://www.mendeley.com/documents/?uuid=b85765f9-3a6a-44c4-9e2d-5b129b30e843"]},{"id":"ITEM-4","itemData":{"DOI":"10.1016/j.cell.2014.03.050","ISBN":"00928674","ISSN":"10974172","PMID":"24855951","abstract":"Developmental signaling is remarkably robust to environmental variation, including temperature. For example, in ectothermic animals such as Drosophila, Notch signaling is maintained within functional limits across a wide temperature range. We combine experimental and computational approaches to show that temperature compensation of Notch signaling is achieved by an unexpected variety of endocytic-dependent routes to Notch activation which, when superimposed on ligand-induced activation, act as a robustness module. Thermal compensation arises through an altered balance of fluxes within competing trafficking routes, coupled with temperature-dependent ubiquitination of Notch. This flexible ensemble of trafficking routes supports Notch signaling at low temperature but can be switched to restrain Notch signaling at high temperature and thus compensates for the inherent temperature sensitivity of ligand-induced activation. The outcome is to extend the physiological range over which normal development can occur. Similar mechanisms may provide thermal robustness for other developmental signals. © 2014 The Authors.","author":[{"dropping-particle":"","family":"Shimizu","given":"Hideyuki","non-dropping-particle":"","parse-names":false,"suffix":""},{"dropping-particle":"","family":"Woodcock","given":"Simon A.","non-dropping-particle":"","parse-names":false,"suffix":""},{"dropping-particle":"","family":"Wilkin","given":"Marian B.","non-dropping-particle":"","parse-names":false,"suffix":""},{"dropping-particle":"","family":"Trubenová","given":"Barbora","non-dropping-particle":"","parse-names":false,"suffix":""},{"dropping-particle":"","family":"Monk","given":"Nicholas A M","non-dropping-particle":"","parse-names":false,"suffix":""},{"dropping-particle":"","family":"Baron","given":"Martin","non-dropping-particle":"","parse-names":false,"suffix":""}],"container-title":"Cell","id":"ITEM-4","issue":"5","issued":{"date-parts":[["2014"]]},"page":"1160-1174","title":"Compensatory flux changes within an 1'endocytic trafficking network maintain thermal robustness of notch signaling","type":"article-journal","volume":"157"},"uris":["http://www.mendeley.com/documents/?uuid=1d4a1a6d-c573-46b0-a6bf-41668cbcf9af"]}],"mendeley":{"formattedCitation":"(Mohr, 2014; Shimizu &lt;i&gt;et al.&lt;/i&gt;, 2014; Billmann &lt;i&gt;et al.&lt;/i&gt;, 2016; Zhang &lt;i&gt;et al.&lt;/i&gt;, 2016)","plainTextFormattedCitation":"(Mohr, 2014; Shimizu et al., 2014; Billmann et al., 2016; Zhang et al., 2016)","previouslyFormattedCitation":"(Mohr, 2014; Shimizu &lt;i&gt;et al.&lt;/i&gt;, 2014; Billmann &lt;i&gt;et al.&lt;/i&gt;, 2016; Zhang &lt;i&gt;et al.&lt;/i&gt;, 2016)"},"properties":{"noteIndex":0},"schema":"https://github.com/citation-style-language/schema/raw/master/csl-citation.json"}</w:instrText>
      </w:r>
      <w:r w:rsidR="005C0E76" w:rsidRPr="001E1AC5">
        <w:fldChar w:fldCharType="separate"/>
      </w:r>
      <w:r w:rsidRPr="001E1AC5">
        <w:rPr>
          <w:noProof/>
        </w:rPr>
        <w:t xml:space="preserve">(Mohr, 2014; Shimizu </w:t>
      </w:r>
      <w:r w:rsidRPr="001E1AC5">
        <w:rPr>
          <w:i/>
          <w:noProof/>
        </w:rPr>
        <w:t>et al.</w:t>
      </w:r>
      <w:r w:rsidRPr="001E1AC5">
        <w:rPr>
          <w:noProof/>
        </w:rPr>
        <w:t xml:space="preserve">, 2014; Billmann </w:t>
      </w:r>
      <w:r w:rsidRPr="001E1AC5">
        <w:rPr>
          <w:i/>
          <w:noProof/>
        </w:rPr>
        <w:t>et al.</w:t>
      </w:r>
      <w:r w:rsidRPr="001E1AC5">
        <w:rPr>
          <w:noProof/>
        </w:rPr>
        <w:t xml:space="preserve">, 2016; Zhang </w:t>
      </w:r>
      <w:r w:rsidRPr="001E1AC5">
        <w:rPr>
          <w:i/>
          <w:noProof/>
        </w:rPr>
        <w:t>et al.</w:t>
      </w:r>
      <w:r w:rsidRPr="001E1AC5">
        <w:rPr>
          <w:noProof/>
        </w:rPr>
        <w:t>, 2016)</w:t>
      </w:r>
      <w:r w:rsidR="005C0E76" w:rsidRPr="001E1AC5">
        <w:fldChar w:fldCharType="end"/>
      </w:r>
      <w:r>
        <w:t xml:space="preserve"> and the requirements of the dsRNAs, culture and transfection conditions, and cellular dsRNA uptake and processing mechanisms are well understood. </w:t>
      </w:r>
    </w:p>
    <w:p w:rsidR="00045427" w:rsidRDefault="00045427" w:rsidP="00045427">
      <w:pPr>
        <w:spacing w:line="360" w:lineRule="auto"/>
        <w:ind w:firstLine="284"/>
      </w:pPr>
      <w:r>
        <w:t xml:space="preserve">The changes in RNAi activity </w:t>
      </w:r>
      <w:r w:rsidR="006402BA">
        <w:t>as a result of</w:t>
      </w:r>
      <w:r>
        <w:t xml:space="preserve"> RNA chemical modifications were assessed by </w:t>
      </w:r>
      <w:r w:rsidRPr="00EA487E">
        <w:t xml:space="preserve">the addition of a range of concentrations of unmodified dsRNA to </w:t>
      </w:r>
      <w:r>
        <w:t xml:space="preserve">cells grown in multi-well plates, and at the same time in separate wells, </w:t>
      </w:r>
      <w:r w:rsidRPr="005B5BF5">
        <w:t>addition</w:t>
      </w:r>
      <w:r>
        <w:t xml:space="preserve"> of the same concentrations of sequentially identical chemically modified</w:t>
      </w:r>
      <w:r w:rsidRPr="005B5BF5">
        <w:t xml:space="preserve"> dsRNA </w:t>
      </w:r>
      <w:r>
        <w:t>to cells. Knockdown of the target mRNA was assessed after a three to four day incubation period by measuring the level of luminescence produced by the protein translation product of the target mRNA.</w:t>
      </w:r>
    </w:p>
    <w:p w:rsidR="00045427" w:rsidRDefault="00045427" w:rsidP="00045427">
      <w:pPr>
        <w:pStyle w:val="Heading3"/>
      </w:pPr>
      <w:bookmarkStart w:id="177" w:name="_Toc17295538"/>
      <w:bookmarkStart w:id="178" w:name="_Toc35333990"/>
      <w:r>
        <w:t>Dual luciferase reporter system</w:t>
      </w:r>
      <w:bookmarkEnd w:id="177"/>
      <w:bookmarkEnd w:id="178"/>
    </w:p>
    <w:p w:rsidR="00045427" w:rsidRPr="00BB337B" w:rsidRDefault="00045427" w:rsidP="00045427"/>
    <w:p w:rsidR="00045427" w:rsidRDefault="00045427" w:rsidP="00045427">
      <w:pPr>
        <w:spacing w:line="360" w:lineRule="auto"/>
        <w:ind w:firstLine="284"/>
      </w:pPr>
      <w:r>
        <w:t xml:space="preserve">The reporter system used to quantitatively measure the knockdown efficacy of dsRNAs utilises the luminescence of the reaction catalysed by the </w:t>
      </w:r>
      <w:r w:rsidRPr="004E5EED">
        <w:t>firefly (</w:t>
      </w:r>
      <w:r w:rsidRPr="004E5EED">
        <w:rPr>
          <w:i/>
        </w:rPr>
        <w:t>Photinus pyralis</w:t>
      </w:r>
      <w:r w:rsidRPr="004E5EED">
        <w:t>)</w:t>
      </w:r>
      <w:r>
        <w:t xml:space="preserve"> luci</w:t>
      </w:r>
      <w:r w:rsidR="006402BA">
        <w:t>ferase enzyme as a readout (FL).</w:t>
      </w:r>
      <w:r>
        <w:t xml:space="preserve"> </w:t>
      </w:r>
      <w:r w:rsidR="006402BA">
        <w:t>T</w:t>
      </w:r>
      <w:r>
        <w:t xml:space="preserve">he promoter of the Firefly luciferase reporter gene contains a cluster of six binding sites </w:t>
      </w:r>
      <w:r w:rsidRPr="001E1AC5">
        <w:t xml:space="preserve">for the dimer of the </w:t>
      </w:r>
      <w:r w:rsidRPr="001E1AC5">
        <w:rPr>
          <w:i/>
        </w:rPr>
        <w:t>Drosophila</w:t>
      </w:r>
      <w:r w:rsidRPr="001E1AC5">
        <w:t xml:space="preserve"> STAT (Signal transducer and activator of transcription) protein STAT92E (figure 5.1 a) </w:t>
      </w:r>
      <w:r w:rsidR="005C0E76" w:rsidRPr="001E1AC5">
        <w:fldChar w:fldCharType="begin" w:fldLock="1"/>
      </w:r>
      <w:r w:rsidRPr="001E1AC5">
        <w:instrText>ADDIN CSL_CITATION {"citationItems":[{"id":"ITEM-1","itemData":{"DOI":"10.1534/genetics.105.046904","ISSN":"0016-6731","PMID":"16387886","abstract":"The JAK/STAT pathway was first identified in mammals as a signaling mechanism central to hematopoiesis and has since been shown to exert a wide range of pleiotropic effects on multiple developmental processes. Its inappropriate activation is also implicated in the development of numerous human malignancies, especially those derived from hematopoietic lineages. The JAK/STAT signaling cascade has been conserved through evolution and although the pathway identified in Drosophila has been closely examined, the full complement of genes required to correctly transduce signaling in vivo remains to be identified. We have used a dosage-sensitive dominant eye overgrowth phenotype caused by ectopic activation of the JAK/STAT pathway to screen 2267 independent, newly generated mutagenic P-element insertions. After multiple rounds of retesting, 23 interacting loci that represent genes not previously known to interact with JAK/STAT signaling have been identified. Analysis of these genes has identified three signal transduction pathways, seven potential components of the pathway itself, and six putative downstream pathway target genes. The use of forward genetics to identify loci and reverse genetic approaches to characterize them has allowed us to assemble a collection of genes whose products represent novel components and regulators of this important signal transduction cascade.","author":[{"dropping-particle":"","family":"Mukherjee","given":"Tina","non-dropping-particle":"","parse-names":false,"suffix":""},{"dropping-particle":"","family":"Schäfer","given":"Ulrich","non-dropping-particle":"","parse-names":false,"suffix":""},{"dropping-particle":"","family":"Zeidler","given":"Martin P","non-dropping-particle":"","parse-names":false,"suffix":""}],"container-title":"Genetics","id":"ITEM-1","issue":"3","issued":{"date-parts":[["2006","3"]]},"page":"1683-97","publisher":"Genetics Society of America","title":"Identification of Drosophila genes modulating Janus kinase/signal transducer and activator of transcription signal transduction.","type":"article-journal","volume":"172"},"uris":["http://www.mendeley.com/documents/?uuid=8a868c39-a693-3896-bf3e-5b83df100b27"]}],"mendeley":{"formattedCitation":"(Mukherjee, Schäfer and Zeidler, 2006)","plainTextFormattedCitation":"(Mukherjee, Schäfer and Zeidler, 2006)","previouslyFormattedCitation":"(Mukherjee, Schäfer and Zeidler, 2006)"},"properties":{"noteIndex":0},"schema":"https://github.com/citation-style-language/schema/raw/master/csl-citation.json"}</w:instrText>
      </w:r>
      <w:r w:rsidR="005C0E76" w:rsidRPr="001E1AC5">
        <w:fldChar w:fldCharType="separate"/>
      </w:r>
      <w:r w:rsidRPr="001E1AC5">
        <w:rPr>
          <w:noProof/>
        </w:rPr>
        <w:t>(Mukherjee, Schäfer and Zeidler, 2006)</w:t>
      </w:r>
      <w:r w:rsidR="005C0E76" w:rsidRPr="001E1AC5">
        <w:fldChar w:fldCharType="end"/>
      </w:r>
      <w:r w:rsidRPr="001E1AC5">
        <w:t xml:space="preserve">, binding of which to the promoter induces luciferase transcription </w:t>
      </w:r>
      <w:r w:rsidR="005C0E76" w:rsidRPr="001E1AC5">
        <w:fldChar w:fldCharType="begin" w:fldLock="1"/>
      </w:r>
      <w:r w:rsidRPr="001E1AC5">
        <w:instrText>ADDIN CSL_CITATION {"citationItems":[{"id":"ITEM-1","itemData":{"DOI":"10.1534/genetics.105.046904","ISSN":"0016-6731","PMID":"16387886","abstract":"The JAK/STAT pathway was first identified in mammals as a signaling mechanism central to hematopoiesis and has since been shown to exert a wide range of pleiotropic effects on multiple developmental processes. Its inappropriate activation is also implicated in the development of numerous human malignancies, especially those derived from hematopoietic lineages. The JAK/STAT signaling cascade has been conserved through evolution and although the pathway identified in Drosophila has been closely examined, the full complement of genes required to correctly transduce signaling in vivo remains to be identified. We have used a dosage-sensitive dominant eye overgrowth phenotype caused by ectopic activation of the JAK/STAT pathway to screen 2267 independent, newly generated mutagenic P-element insertions. After multiple rounds of retesting, 23 interacting loci that represent genes not previously known to interact with JAK/STAT signaling have been identified. Analysis of these genes has identified three signal transduction pathways, seven potential components of the pathway itself, and six putative downstream pathway target genes. The use of forward genetics to identify loci and reverse genetic approaches to characterize them has allowed us to assemble a collection of genes whose products represent novel components and regulators of this important signal transduction cascade.","author":[{"dropping-particle":"","family":"Mukherjee","given":"Tina","non-dropping-particle":"","parse-names":false,"suffix":""},{"dropping-particle":"","family":"Schäfer","given":"Ulrich","non-dropping-particle":"","parse-names":false,"suffix":""},{"dropping-particle":"","family":"Zeidler","given":"Martin P","non-dropping-particle":"","parse-names":false,"suffix":""}],"container-title":"Genetics","id":"ITEM-1","issue":"3","issued":{"date-parts":[["2006","3"]]},"page":"1683-97","publisher":"Genetics Society of America","title":"Identification of Drosophila genes modulating Janus kinase/signal transducer and activator of transcription signal transduction.","type":"article-journal","volume":"172"},"uris":["http://www.mendeley.com/documents/?uuid=8a868c39-a693-3896-bf3e-5b83df100b27"]},{"id":"ITEM-2","itemData":{"author":[{"dropping-particle":"","family":"Hombría","given":"James Castelli-gair","non-dropping-particle":"","parse-names":false,"suffix":""},{"dropping-particle":"","family":"Brown","given":"Stephen","non-dropping-particle":"","parse-names":false,"suffix":""}],"container-title":"Current Biology","id":"ITEM-2","issue":"02","issued":{"date-parts":[["2002"]]},"page":"569-575","title":"The Fertile Field of Drosophila JAK / STAT Signalling","type":"article-journal","volume":"12"},"uris":["http://www.mendeley.com/documents/?uuid=bb94f574-2150-4380-9646-d4cb3e4c9fbd"]}],"mendeley":{"formattedCitation":"(Hombría and Brown, 2002; Mukherjee, Schäfer and Zeidler, 2006)","plainTextFormattedCitation":"(Hombría and Brown, 2002; Mukherjee, Schäfer and Zeidler, 2006)","previouslyFormattedCitation":"(Hombría and Brown, 2002; Mukherjee, Schäfer and Zeidler, 2006)"},"properties":{"noteIndex":0},"schema":"https://github.com/citation-style-language/schema/raw/master/csl-citation.json"}</w:instrText>
      </w:r>
      <w:r w:rsidR="005C0E76" w:rsidRPr="001E1AC5">
        <w:fldChar w:fldCharType="separate"/>
      </w:r>
      <w:r w:rsidRPr="001E1AC5">
        <w:rPr>
          <w:noProof/>
        </w:rPr>
        <w:t>(Hombría and Brown, 2002; Mukherjee, Schäfer and Zeidler, 2006)</w:t>
      </w:r>
      <w:r w:rsidR="005C0E76" w:rsidRPr="001E1AC5">
        <w:fldChar w:fldCharType="end"/>
      </w:r>
      <w:r w:rsidRPr="001E1AC5">
        <w:t xml:space="preserve">. A reduction in luminescence corresponds to successful RNAi-induced knockdown by a dsRNA, which can be achieved either by directly targeting the mRNA of the Firefly luciferase itself as an example of an exogenous gene target (figure 5.1 b), or by targeting a dsRNA to one of the components of the JAK/STAT signalling pathway that produces the STAT92E dimer, as an example of an endogenous gene target (see figure 5.1 c). A reduction in the number of STAT dimers available will decrease the level of activation of transcription of the firefly luciferase. The pathway ligand Unpaired (Upd) is the only pathway component with multiple isoforms in </w:t>
      </w:r>
      <w:r w:rsidRPr="001E1AC5">
        <w:rPr>
          <w:i/>
        </w:rPr>
        <w:t>Drosophila</w:t>
      </w:r>
      <w:r w:rsidRPr="001E1AC5">
        <w:t xml:space="preserve">, therefore targeting any single one of the other main pathway proteins Domeless (Dome) </w:t>
      </w:r>
      <w:r w:rsidR="005C0E76" w:rsidRPr="001E1AC5">
        <w:fldChar w:fldCharType="begin" w:fldLock="1"/>
      </w:r>
      <w:r w:rsidRPr="001E1AC5">
        <w:instrText>ADDIN CSL_CITATION {"citationItems":[{"id":"ITEM-1","itemData":{"DOI":"10.1016/S0960-9822(01)00524-3","ISBN":"0960-9822 (Print)","ISSN":"09609822","PMID":"11696329","abstract":"The JAK/STAT signaling pathway plays important roles in vertebrate development and the regulation of complex cellular processes. Components of the pathway are conserved in Dictyostelium, Caenorhabditis, and Drosophila, yet the complete sequencing [1] and annotation of the D. melanogaster and C. elegans genomes [2] has falled to identify a receptor, raising the possibility that an alternative type of receptor exists for the invertebrate JAK/STAT pathway. Here we show that domeless (dome) codes for a transmembrane protein required for all JAK/STAT functions in the Drosophila embryo. This includes its known requirement for embryonic segmentation and a newly discovered function in trachea specification. The DOME protein has a similar extracellular structure to the vertebrate cytokine class I receptors, although its sequence has greatly diverged. Like many interleukin receptors, DOME has a cytokine binding homology module (CBM) and three extracellular fibronectin-type-III domains (FnIII). Despite its Iow degree of overall similarity, key amino acids required for signaling in the vertebrate cytokine class I receptors [3] are conserved in the CBM region. DOME is a signal-transducing receptor with most similarities to the IL-6 receptor family, but it also has characteristics found in the IL-3 receptor family. This suggests that the vertebrate families evolved from a single ancestral receptor that also gave rise to dome.","author":[{"dropping-particle":"","family":"Brown","given":"Stephen","non-dropping-particle":"","parse-names":false,"suffix":""},{"dropping-particle":"","family":"Hu","given":"Nan","non-dropping-particle":"","parse-names":false,"suffix":""},{"dropping-particle":"","family":"Hombría","given":"James Castelli Gair","non-dropping-particle":"","parse-names":false,"suffix":""}],"container-title":"Current Biology","id":"ITEM-1","issue":"21","issued":{"date-parts":[["2001"]]},"page":"1700-1705","title":"Identification of the first invertebrate interleukin JAK/STAT receptor, the Drosophila gene domeless","type":"article-journal","volume":"11"},"uris":["http://www.mendeley.com/documents/?uuid=502ba4b0-2f67-4b6e-8a88-5cad03118f56"]}],"mendeley":{"formattedCitation":"(Brown, Hu and Hombría, 2001)","plainTextFormattedCitation":"(Brown, Hu and Hombría, 2001)","previouslyFormattedCitation":"(Brown, Hu and Hombría, 2001)"},"properties":{"noteIndex":0},"schema":"https://github.com/citation-style-language/schema/raw/master/csl-citation.json"}</w:instrText>
      </w:r>
      <w:r w:rsidR="005C0E76" w:rsidRPr="001E1AC5">
        <w:fldChar w:fldCharType="separate"/>
      </w:r>
      <w:r w:rsidRPr="001E1AC5">
        <w:rPr>
          <w:noProof/>
        </w:rPr>
        <w:t>(Brown, Hu and Hombría, 2001)</w:t>
      </w:r>
      <w:r w:rsidR="005C0E76" w:rsidRPr="001E1AC5">
        <w:fldChar w:fldCharType="end"/>
      </w:r>
      <w:r w:rsidRPr="001E1AC5">
        <w:t xml:space="preserve">, Hopscotch/Janus Kinase (JAK) or STAT92E (STAT) </w:t>
      </w:r>
      <w:r w:rsidR="005C0E76" w:rsidRPr="001E1AC5">
        <w:fldChar w:fldCharType="begin" w:fldLock="1"/>
      </w:r>
      <w:r w:rsidRPr="001E1AC5">
        <w:instrText>ADDIN CSL_CITATION {"citationItems":[{"id":"ITEM-1","itemData":{"DOI":"10.1016/j.febslet.2005.08.079","ISSN":"00145793","author":[{"dropping-particle":"","family":"Hammond","given":"Scott M.","non-dropping-particle":"","parse-names":false,"suffix":""}],"container-title":"FEBS Letters","id":"ITEM-1","issue":"26","issued":{"date-parts":[["2005","10","31"]]},"page":"5822-5829","publisher":"John Wiley &amp; Sons, Ltd","title":"Dicing and slicing","type":"article-journal","volume":"579"},"uris":["http://www.mendeley.com/documents/?uuid=0b882f76-dc49-3636-a88c-daef61c15988"]}],"mendeley":{"formattedCitation":"(Hammond, 2005)","plainTextFormattedCitation":"(Hammond, 2005)","previouslyFormattedCitation":"(Hammond, 2005)"},"properties":{"noteIndex":0},"schema":"https://github.com/citation-style-language/schema/raw/master/csl-citation.json"}</w:instrText>
      </w:r>
      <w:r w:rsidR="005C0E76" w:rsidRPr="001E1AC5">
        <w:fldChar w:fldCharType="separate"/>
      </w:r>
      <w:r w:rsidRPr="001E1AC5">
        <w:rPr>
          <w:noProof/>
        </w:rPr>
        <w:t>(Hammond, 2005)</w:t>
      </w:r>
      <w:r w:rsidR="005C0E76" w:rsidRPr="001E1AC5">
        <w:fldChar w:fldCharType="end"/>
      </w:r>
      <w:r w:rsidRPr="001E1AC5">
        <w:t xml:space="preserve"> will result in comprehensive knockdown of the pathway signalling due to the lack of redundancy. The peak wavelength of the emission spectrum for firefly luciferase is 560 nm (figure 5.1 b &amp; c) </w:t>
      </w:r>
      <w:r w:rsidR="005C0E76" w:rsidRPr="001E1AC5">
        <w:fldChar w:fldCharType="begin" w:fldLock="1"/>
      </w:r>
      <w:r w:rsidRPr="001E1AC5">
        <w:instrText>ADDIN CSL_CITATION {"citationItems":[{"id":"ITEM-1","itemData":{"DOI":"10.1016/j.chembiol.2010.05.012","ISSN":"1879-1301","PMID":"20609414","abstract":"Understanding luciferase enzymology and the structure of compounds that modulate luciferase activity can be used to improve the design of luminescence-based assays. This review provides an overview of these popular reporters with an emphasis on the commonly used firefly luciferase from Photinus pyralis (FLuc). Large-scale chemical profile studies have identified a variety of scaffolds that inhibit FLuc. In some cell-based assays, these inhibitors can act in a counterintuitive way, leading to a gain in luminescent signal. Although formerly attributed to transcriptional activation, intracellular stabilization of FLuc is the primary mechanism underlying this observation. FLuc inhibition and stabilization can be complex, as illustrated by the compound PTC124, which is converted by FLuc in the presence of ATP to a high affinity multisubstrate adduct inhibitor, PTC124-AMP. The potential influence these findings can have on drug discovery efforts is provided here.","author":[{"dropping-particle":"","family":"Thorne","given":"Natasha","non-dropping-particle":"","parse-names":false,"suffix":""},{"dropping-particle":"","family":"Inglese","given":"James","non-dropping-particle":"","parse-names":false,"suffix":""},{"dropping-particle":"","family":"Auld","given":"Douglas S","non-dropping-particle":"","parse-names":false,"suffix":""}],"container-title":"Chemistry &amp; biology","id":"ITEM-1","issue":"6","issued":{"date-parts":[["2010","6","25"]]},"page":"646-57","publisher":"NIH Public Access","title":"Illuminating insights into firefly luciferase and other bioluminescent reporters used in chemical biology.","type":"article-journal","volume":"17"},"uris":["http://www.mendeley.com/documents/?uuid=b8c101dd-1587-3f00-8423-d598e1a6aeec"]}],"mendeley":{"formattedCitation":"(Thorne, Inglese and Auld, 2010)","plainTextFormattedCitation":"(Thorne, Inglese and Auld, 2010)","previouslyFormattedCitation":"(Thorne, Inglese and Auld, 2010)"},"properties":{"noteIndex":0},"schema":"https://github.com/citation-style-language/schema/raw/master/csl-citation.json"}</w:instrText>
      </w:r>
      <w:r w:rsidR="005C0E76" w:rsidRPr="001E1AC5">
        <w:fldChar w:fldCharType="separate"/>
      </w:r>
      <w:r w:rsidRPr="001E1AC5">
        <w:rPr>
          <w:noProof/>
        </w:rPr>
        <w:t>(Thorne, Inglese and Auld, 2010)</w:t>
      </w:r>
      <w:r w:rsidR="005C0E76" w:rsidRPr="001E1AC5">
        <w:fldChar w:fldCharType="end"/>
      </w:r>
      <w:r>
        <w:t>.</w:t>
      </w:r>
    </w:p>
    <w:p w:rsidR="006D2D9F" w:rsidRDefault="004478EA" w:rsidP="006D2D9F">
      <w:pPr>
        <w:keepNext/>
        <w:spacing w:after="200"/>
        <w:jc w:val="left"/>
      </w:pPr>
      <w:r>
        <w:rPr>
          <w:noProof/>
          <w:lang w:eastAsia="en-GB"/>
        </w:rPr>
        <w:lastRenderedPageBreak/>
        <w:drawing>
          <wp:inline distT="0" distB="0" distL="0" distR="0">
            <wp:extent cx="6062449" cy="6279912"/>
            <wp:effectExtent l="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6062449" cy="6279912"/>
                    </a:xfrm>
                    <a:prstGeom prst="rect">
                      <a:avLst/>
                    </a:prstGeom>
                    <a:noFill/>
                  </pic:spPr>
                </pic:pic>
              </a:graphicData>
            </a:graphic>
          </wp:inline>
        </w:drawing>
      </w:r>
    </w:p>
    <w:p w:rsidR="006973D5" w:rsidRDefault="006D2D9F" w:rsidP="006973D5">
      <w:pPr>
        <w:pStyle w:val="Caption"/>
        <w:spacing w:after="0"/>
        <w:rPr>
          <w:color w:val="auto"/>
        </w:rPr>
      </w:pPr>
      <w:bookmarkStart w:id="179" w:name="_Toc20411651"/>
      <w:r w:rsidRPr="006D2D9F">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w:t>
      </w:r>
      <w:r w:rsidR="005C0E76">
        <w:rPr>
          <w:color w:val="auto"/>
        </w:rPr>
        <w:fldChar w:fldCharType="end"/>
      </w:r>
      <w:r w:rsidRPr="006D2D9F">
        <w:rPr>
          <w:color w:val="auto"/>
        </w:rPr>
        <w:t xml:space="preserve"> Luciferase assay reporter system and interaction with the </w:t>
      </w:r>
      <w:r w:rsidRPr="006D2D9F">
        <w:rPr>
          <w:i/>
          <w:iCs/>
          <w:color w:val="auto"/>
        </w:rPr>
        <w:t>Drosophila</w:t>
      </w:r>
      <w:r w:rsidRPr="006D2D9F">
        <w:rPr>
          <w:color w:val="auto"/>
        </w:rPr>
        <w:t xml:space="preserve"> JAK/STAT pathway.</w:t>
      </w:r>
      <w:bookmarkEnd w:id="179"/>
      <w:r w:rsidRPr="006D2D9F">
        <w:rPr>
          <w:color w:val="auto"/>
        </w:rPr>
        <w:t xml:space="preserve"> </w:t>
      </w:r>
    </w:p>
    <w:p w:rsidR="006D2D9F" w:rsidRPr="006D2D9F" w:rsidRDefault="006D2D9F" w:rsidP="006973D5">
      <w:pPr>
        <w:pStyle w:val="Caption"/>
        <w:spacing w:after="0"/>
        <w:rPr>
          <w:b w:val="0"/>
          <w:color w:val="auto"/>
        </w:rPr>
      </w:pPr>
      <w:r w:rsidRPr="006D2D9F">
        <w:rPr>
          <w:b w:val="0"/>
          <w:color w:val="auto"/>
        </w:rPr>
        <w:t xml:space="preserve">(a) Schematic of the </w:t>
      </w:r>
      <w:r w:rsidRPr="006D2D9F">
        <w:rPr>
          <w:b w:val="0"/>
          <w:i/>
          <w:iCs/>
          <w:color w:val="auto"/>
        </w:rPr>
        <w:t>Drosophila</w:t>
      </w:r>
      <w:r w:rsidRPr="006D2D9F">
        <w:rPr>
          <w:b w:val="0"/>
          <w:color w:val="auto"/>
        </w:rPr>
        <w:t xml:space="preserve"> JAK/STAT pathway and link to the reporter system</w:t>
      </w:r>
      <w:r>
        <w:rPr>
          <w:b w:val="0"/>
          <w:color w:val="auto"/>
        </w:rPr>
        <w:t>.</w:t>
      </w:r>
      <w:r w:rsidRPr="006D2D9F">
        <w:rPr>
          <w:b w:val="0"/>
          <w:color w:val="auto"/>
        </w:rPr>
        <w:t xml:space="preserve"> (b) Schematic of the response of the reporter system to firefly luciferase dsRNA (FLuc). (c) Schematic of the response of the reporter system to STAT/Dome dsRNA. </w:t>
      </w:r>
    </w:p>
    <w:p w:rsidR="006D2D9F" w:rsidRDefault="006D2D9F" w:rsidP="00045427">
      <w:pPr>
        <w:spacing w:line="360" w:lineRule="auto"/>
        <w:ind w:firstLine="284"/>
      </w:pPr>
    </w:p>
    <w:p w:rsidR="00045427" w:rsidRDefault="00045427" w:rsidP="00045427">
      <w:pPr>
        <w:spacing w:line="360" w:lineRule="auto"/>
        <w:ind w:firstLine="284"/>
      </w:pPr>
      <w:r>
        <w:t xml:space="preserve">A second luciferase from the sea pansy, </w:t>
      </w:r>
      <w:r w:rsidRPr="00706EE4">
        <w:rPr>
          <w:i/>
        </w:rPr>
        <w:t>Renilla reniformis</w:t>
      </w:r>
      <w:r>
        <w:t xml:space="preserve">, under the control of a constitutive Actin promoter, catalyses a </w:t>
      </w:r>
      <w:r w:rsidRPr="001E1AC5">
        <w:t xml:space="preserve">different reaction which produces a luminescence (RL) emission spectrum with a peak wavelength of 480 nm (figure 5.1 b &amp; c) </w:t>
      </w:r>
      <w:r w:rsidR="005C0E76" w:rsidRPr="001E1AC5">
        <w:fldChar w:fldCharType="begin" w:fldLock="1"/>
      </w:r>
      <w:r w:rsidRPr="001E1AC5">
        <w:instrText>ADDIN CSL_CITATION {"citationItems":[{"id":"ITEM-1","itemData":{"DOI":"10.1016/j.chembiol.2010.05.012","ISSN":"1879-1301","PMID":"20609414","abstract":"Understanding luciferase enzymology and the structure of compounds that modulate luciferase activity can be used to improve the design of luminescence-based assays. This review provides an overview of these popular reporters with an emphasis on the commonly used firefly luciferase from Photinus pyralis (FLuc). Large-scale chemical profile studies have identified a variety of scaffolds that inhibit FLuc. In some cell-based assays, these inhibitors can act in a counterintuitive way, leading to a gain in luminescent signal. Although formerly attributed to transcriptional activation, intracellular stabilization of FLuc is the primary mechanism underlying this observation. FLuc inhibition and stabilization can be complex, as illustrated by the compound PTC124, which is converted by FLuc in the presence of ATP to a high affinity multisubstrate adduct inhibitor, PTC124-AMP. The potential influence these findings can have on drug discovery efforts is provided here.","author":[{"dropping-particle":"","family":"Thorne","given":"Natasha","non-dropping-particle":"","parse-names":false,"suffix":""},{"dropping-particle":"","family":"Inglese","given":"James","non-dropping-particle":"","parse-names":false,"suffix":""},{"dropping-particle":"","family":"Auld","given":"Douglas S","non-dropping-particle":"","parse-names":false,"suffix":""}],"container-title":"Chemistry &amp; biology","id":"ITEM-1","issue":"6","issued":{"date-parts":[["2010","6","25"]]},"page":"646-57","publisher":"NIH Public Access","title":"Illuminating insights into firefly luciferase and other bioluminescent reporters used in chemical biology.","type":"article-journal","volume":"17"},"uris":["http://www.mendeley.com/documents/?uuid=b8c101dd-1587-3f00-8423-d598e1a6aeec"]}],"mendeley":{"formattedCitation":"(Thorne, Inglese and Auld, 2010)","plainTextFormattedCitation":"(Thorne, Inglese and Auld, 2010)","previouslyFormattedCitation":"(Thorne, Inglese and Auld, 2010)"},"properties":{"noteIndex":0},"schema":"https://github.com/citation-style-language/schema/raw/master/csl-citation.json"}</w:instrText>
      </w:r>
      <w:r w:rsidR="005C0E76" w:rsidRPr="001E1AC5">
        <w:fldChar w:fldCharType="separate"/>
      </w:r>
      <w:r w:rsidRPr="001E1AC5">
        <w:rPr>
          <w:noProof/>
        </w:rPr>
        <w:t>(Thorne, Inglese and Auld, 2010)</w:t>
      </w:r>
      <w:r w:rsidR="005C0E76" w:rsidRPr="001E1AC5">
        <w:fldChar w:fldCharType="end"/>
      </w:r>
      <w:r w:rsidRPr="001E1AC5">
        <w:t xml:space="preserve">. </w:t>
      </w:r>
      <w:r w:rsidRPr="001E1AC5">
        <w:rPr>
          <w:i/>
        </w:rPr>
        <w:t>Renilla</w:t>
      </w:r>
      <w:r w:rsidRPr="001E1AC5">
        <w:t xml:space="preserve"> luciferase expression levels and luminescence are unaffected</w:t>
      </w:r>
      <w:r>
        <w:t xml:space="preserve"> by RNAi-induced knockdown of Firefly luciferase or the </w:t>
      </w:r>
      <w:r w:rsidRPr="00BC0FED">
        <w:rPr>
          <w:i/>
        </w:rPr>
        <w:t>Drosophila</w:t>
      </w:r>
      <w:r>
        <w:t xml:space="preserve"> JAK/STAT pathway. Luminescence from this luciferase – RL – can therefore be used to normalise FL values in order to compensate for differences in cell seeding </w:t>
      </w:r>
      <w:r>
        <w:lastRenderedPageBreak/>
        <w:t xml:space="preserve">density or reporter plasmid transfection efficiency between different wells in the assay plate, as well as monitoring for possible cytotoxic effects of dsRNA, modifications, or contaminants present in the assay plates. Monitoring of RL values therefore serves to confirm that a difference in reduction in Firefly luciferase (FL) activity between different dsRNAs is due to RNAi-induced knockdown, and not an artefact of a poor transfection, an unhealthy cell culture, an error in the number of cells dispensed, or a cytotoxic contaminant in the dsRNA solution. The luminescence produced by the luciferases can be read by a plate reader, and the difference in peak wavelength allows luminescence produced by </w:t>
      </w:r>
      <w:r w:rsidR="00F945E3">
        <w:t>each</w:t>
      </w:r>
      <w:r>
        <w:t xml:space="preserve"> luciferase to be distinguished from luminescence </w:t>
      </w:r>
      <w:r w:rsidR="00F945E3">
        <w:t>from</w:t>
      </w:r>
      <w:r>
        <w:t xml:space="preserve"> the other. </w:t>
      </w:r>
    </w:p>
    <w:p w:rsidR="00045427" w:rsidRDefault="00045427" w:rsidP="00045427">
      <w:pPr>
        <w:spacing w:line="360" w:lineRule="auto"/>
        <w:ind w:firstLine="284"/>
      </w:pPr>
      <w:r>
        <w:t xml:space="preserve">The two luciferases and their respective promoters are situated on two separate plasmids; a third plasmid was also utilised in the luciferase assay, which consisted of the sequence for the JAK/STAT </w:t>
      </w:r>
      <w:r w:rsidRPr="001E1AC5">
        <w:t>pathway ligand Upd under the control of a constitutive Actin promoter. The Upd plasmid provides an excess of the ligand in order to increase the level of JAK/STAT pathway activity in the cell culture (figure 5.1 a); this ensures that enough copies of the STAT dimer are produced to activate the transcription of Firefly</w:t>
      </w:r>
      <w:r>
        <w:t xml:space="preserve"> luciferase such that the level of firefly luciferase – and therefore also the level of its subsequent RNAi-induced knockdown – are detectable. These three plasmids were transfected into </w:t>
      </w:r>
      <w:r w:rsidRPr="007E1AE3">
        <w:rPr>
          <w:i/>
        </w:rPr>
        <w:t>Drosophila</w:t>
      </w:r>
      <w:r>
        <w:t xml:space="preserve"> Kc167 cells one day prior to the start of each knockdown experiment.</w:t>
      </w:r>
    </w:p>
    <w:p w:rsidR="00045427" w:rsidRDefault="00045427" w:rsidP="00045427">
      <w:pPr>
        <w:spacing w:line="360" w:lineRule="auto"/>
        <w:ind w:firstLine="284"/>
      </w:pPr>
      <w:r>
        <w:t xml:space="preserve">Firefly luciferase luminescence values (FL) were normalised against </w:t>
      </w:r>
      <w:r w:rsidRPr="000017D8">
        <w:rPr>
          <w:i/>
        </w:rPr>
        <w:t>Renilla</w:t>
      </w:r>
      <w:r>
        <w:t xml:space="preserve"> luciferase luminescence values  (RL), and the FL/RL values of dsRNAs were again normalised against the FL/RL values of control wells treated with water, giving results as an index between 0 (complete knockdown) and 1 (no detectable knockdown) plus or minus errors. </w:t>
      </w:r>
    </w:p>
    <w:p w:rsidR="00045427" w:rsidRDefault="00045427" w:rsidP="00045427">
      <w:pPr>
        <w:spacing w:line="360" w:lineRule="auto"/>
        <w:ind w:firstLine="284"/>
      </w:pPr>
    </w:p>
    <w:p w:rsidR="00045427" w:rsidRPr="002E7139" w:rsidRDefault="00045427" w:rsidP="00045427">
      <w:pPr>
        <w:spacing w:line="360" w:lineRule="auto"/>
        <w:ind w:firstLine="284"/>
      </w:pPr>
      <m:oMathPara>
        <m:oMath>
          <m:r>
            <m:rPr>
              <m:sty m:val="p"/>
            </m:rPr>
            <w:rPr>
              <w:rFonts w:ascii="Cambria Math" w:hAnsi="Cambria Math"/>
            </w:rPr>
            <m:t>Normalised</m:t>
          </m:r>
          <m:d>
            <m:dPr>
              <m:ctrlPr>
                <w:rPr>
                  <w:rFonts w:ascii="Cambria Math" w:hAnsi="Cambria Math"/>
                </w:rPr>
              </m:ctrlPr>
            </m:dPr>
            <m:e>
              <m:f>
                <m:fPr>
                  <m:type m:val="skw"/>
                  <m:ctrlPr>
                    <w:rPr>
                      <w:rFonts w:ascii="Cambria Math" w:hAnsi="Cambria Math"/>
                    </w:rPr>
                  </m:ctrlPr>
                </m:fPr>
                <m:num>
                  <m:r>
                    <m:rPr>
                      <m:sty m:val="p"/>
                    </m:rPr>
                    <w:rPr>
                      <w:rFonts w:ascii="Cambria Math" w:hAnsi="Cambria Math"/>
                    </w:rPr>
                    <m:t>FL</m:t>
                  </m:r>
                </m:num>
                <m:den>
                  <m:r>
                    <m:rPr>
                      <m:sty m:val="p"/>
                    </m:rPr>
                    <w:rPr>
                      <w:rFonts w:ascii="Cambria Math" w:hAnsi="Cambria Math"/>
                    </w:rPr>
                    <m:t>RL</m:t>
                  </m:r>
                </m:den>
              </m:f>
            </m:e>
          </m:d>
          <m:r>
            <m:rPr>
              <m:sty m:val="p"/>
            </m:rPr>
            <w:rPr>
              <w:rFonts w:ascii="Cambria Math" w:hAnsi="Cambria Math"/>
            </w:rPr>
            <m:t xml:space="preserve"> Fluorescence=</m:t>
          </m:r>
          <m:f>
            <m:fPr>
              <m:ctrlPr>
                <w:rPr>
                  <w:rFonts w:ascii="Cambria Math" w:hAnsi="Cambria Math"/>
                </w:rPr>
              </m:ctrlPr>
            </m:fPr>
            <m:num>
              <m:sSub>
                <m:sSubPr>
                  <m:ctrlPr>
                    <w:rPr>
                      <w:rFonts w:ascii="Cambria Math" w:hAnsi="Cambria Math"/>
                    </w:rPr>
                  </m:ctrlPr>
                </m:sSubPr>
                <m:e>
                  <m:d>
                    <m:dPr>
                      <m:ctrlPr>
                        <w:rPr>
                          <w:rFonts w:ascii="Cambria Math" w:hAnsi="Cambria Math"/>
                        </w:rPr>
                      </m:ctrlPr>
                    </m:dPr>
                    <m:e>
                      <m:f>
                        <m:fPr>
                          <m:type m:val="skw"/>
                          <m:ctrlPr>
                            <w:rPr>
                              <w:rFonts w:ascii="Cambria Math" w:hAnsi="Cambria Math"/>
                            </w:rPr>
                          </m:ctrlPr>
                        </m:fPr>
                        <m:num>
                          <m:r>
                            <m:rPr>
                              <m:sty m:val="p"/>
                            </m:rPr>
                            <w:rPr>
                              <w:rFonts w:ascii="Cambria Math" w:hAnsi="Cambria Math"/>
                            </w:rPr>
                            <m:t>FL</m:t>
                          </m:r>
                        </m:num>
                        <m:den>
                          <m:r>
                            <m:rPr>
                              <m:sty m:val="p"/>
                            </m:rPr>
                            <w:rPr>
                              <w:rFonts w:ascii="Cambria Math" w:hAnsi="Cambria Math"/>
                            </w:rPr>
                            <m:t>RL</m:t>
                          </m:r>
                        </m:den>
                      </m:f>
                    </m:e>
                  </m:d>
                </m:e>
                <m:sub>
                  <m:r>
                    <m:rPr>
                      <m:sty m:val="p"/>
                    </m:rPr>
                    <w:rPr>
                      <w:rFonts w:ascii="Cambria Math" w:hAnsi="Cambria Math"/>
                    </w:rPr>
                    <m:t>dsRNA</m:t>
                  </m:r>
                </m:sub>
              </m:sSub>
            </m:num>
            <m:den>
              <m:sSub>
                <m:sSubPr>
                  <m:ctrlPr>
                    <w:rPr>
                      <w:rFonts w:ascii="Cambria Math" w:hAnsi="Cambria Math"/>
                    </w:rPr>
                  </m:ctrlPr>
                </m:sSubPr>
                <m:e>
                  <m:d>
                    <m:dPr>
                      <m:ctrlPr>
                        <w:rPr>
                          <w:rFonts w:ascii="Cambria Math" w:hAnsi="Cambria Math"/>
                        </w:rPr>
                      </m:ctrlPr>
                    </m:dPr>
                    <m:e>
                      <m:f>
                        <m:fPr>
                          <m:type m:val="skw"/>
                          <m:ctrlPr>
                            <w:rPr>
                              <w:rFonts w:ascii="Cambria Math" w:hAnsi="Cambria Math"/>
                            </w:rPr>
                          </m:ctrlPr>
                        </m:fPr>
                        <m:num>
                          <m:r>
                            <m:rPr>
                              <m:sty m:val="p"/>
                            </m:rPr>
                            <w:rPr>
                              <w:rFonts w:ascii="Cambria Math" w:hAnsi="Cambria Math"/>
                            </w:rPr>
                            <m:t>FL</m:t>
                          </m:r>
                        </m:num>
                        <m:den>
                          <m:r>
                            <m:rPr>
                              <m:sty m:val="p"/>
                            </m:rPr>
                            <w:rPr>
                              <w:rFonts w:ascii="Cambria Math" w:hAnsi="Cambria Math"/>
                            </w:rPr>
                            <m:t>RL</m:t>
                          </m:r>
                        </m:den>
                      </m:f>
                    </m:e>
                  </m:d>
                </m:e>
                <m:sub>
                  <m:r>
                    <m:rPr>
                      <m:sty m:val="p"/>
                    </m:rPr>
                    <w:rPr>
                      <w:rFonts w:ascii="Cambria Math" w:hAnsi="Cambria Math"/>
                    </w:rPr>
                    <m:t>No dsRNA control</m:t>
                  </m:r>
                </m:sub>
              </m:sSub>
            </m:den>
          </m:f>
        </m:oMath>
      </m:oMathPara>
    </w:p>
    <w:p w:rsidR="00045427" w:rsidRPr="004D4993" w:rsidRDefault="00045427" w:rsidP="00045427">
      <w:pPr>
        <w:spacing w:line="360" w:lineRule="auto"/>
        <w:ind w:firstLine="284"/>
      </w:pPr>
    </w:p>
    <w:p w:rsidR="00045427" w:rsidRDefault="00045427" w:rsidP="00045427">
      <w:pPr>
        <w:spacing w:line="360" w:lineRule="auto"/>
        <w:ind w:firstLine="284"/>
      </w:pPr>
      <w:r>
        <w:t xml:space="preserve">All luciferase assays were conducted in </w:t>
      </w:r>
      <w:r w:rsidRPr="00EF4CC4">
        <w:rPr>
          <w:i/>
        </w:rPr>
        <w:t xml:space="preserve">Drosophila </w:t>
      </w:r>
      <w:r w:rsidRPr="00AD585E">
        <w:rPr>
          <w:i/>
        </w:rPr>
        <w:t>melanogaster</w:t>
      </w:r>
      <w:r w:rsidRPr="00AD585E">
        <w:t xml:space="preserve"> Kc167 cell</w:t>
      </w:r>
      <w:r>
        <w:t xml:space="preserve"> cultures. These were chosen over the more </w:t>
      </w:r>
      <w:r w:rsidRPr="00AD585E">
        <w:t>common S2 cell lines as there</w:t>
      </w:r>
      <w:r>
        <w:t xml:space="preserve"> is data suggesting that Kc167 cells provide a better response to luciferase assays than S2/S2R+ cells </w:t>
      </w:r>
      <w:r w:rsidR="005C0E76">
        <w:fldChar w:fldCharType="begin" w:fldLock="1"/>
      </w:r>
      <w:r w:rsidR="00C57A7E">
        <w:instrText>ADDIN CSL_CITATION {"citationItems":[{"id":"ITEM-1","itemData":{"DOI":"10.1186/1471-2164-13-506","ISBN":"1471-2164","ISSN":"1471-2164","PMID":"23006893","abstract":"BACKGROUND: Genome-scale RNA-interference (RNAi) screens are becoming ever more common gene discovery tools. However, whilst every screen identifies interacting genes, less attention has been given to how factors such as library design and post-screening bioinformatics may be effecting the data generated.\\n\\nRESULTS: Here we present a new genome-wide RNAi screen of the Drosophila JAK/STAT signalling pathway undertaken in the Sheffield RNAi Screening Facility (SRSF). This screen was carried out using a second-generation, computationally optimised dsRNA library and analysed using current methods and bioinformatic tools. To examine advances in RNAi screening technology, we compare this screen to a biologically very similar screen undertaken in 2005 with a first-generation library. Both screens used the same cell line, reporters and experimental design, with the SRSF screen identifying 42 putative regulators of JAK/STAT signalling, 22 of which verified in a secondary screen and 16 verified with an independent probe design. Following reanalysis of the original screen data, comparisons of the two gene lists allows us to make estimates of false discovery rates in the SRSF data and to conduct an assessment of off-target effects (OTEs) associated with both libraries. We discuss the differences and similarities between the resulting data sets and examine the relative improvements in gene discovery protocols.\\n\\nCONCLUSIONS: Our work represents one of the first direct comparisons between first- and second-generation libraries and shows that modern library designs together with methodological advances have had a significant influence on genome-scale RNAi screens.","author":[{"dropping-particle":"","family":"Fisher","given":"Katherine H","non-dropping-particle":"","parse-names":false,"suffix":""},{"dropping-particle":"","family":"Wright","given":"Victoria M","non-dropping-particle":"","parse-names":false,"suffix":""},{"dropping-particle":"","family":"Taylor","given":"Amy","non-dropping-particle":"","parse-names":false,"suffix":""},{"dropping-particle":"","family":"Zeidler","given":"Martin P","non-dropping-particle":"","parse-names":false,"suffix":""},{"dropping-particle":"","family":"Brown","given":"Stephen","non-dropping-particle":"","parse-names":false,"suffix":""}],"container-title":"BMC Genomics","id":"ITEM-1","issue":"1","issued":{"date-parts":[["2012"]]},"page":"506","publisher":"BMC Genomics","title":"Advances in genome-wide RNAi cellular screens: a case study using the Drosophila JAK/STAT pathway","type":"article-journal","volume":"13"},"uris":["http://www.mendeley.com/documents/?uuid=65406636-9b37-4557-8581-892a65b40b20"]},{"id":"ITEM-2","itemData":{"DOI":"10.1038/nature03869","ISSN":"1476-4687","PMID":"16094372","abstract":"Signalling pathways mediating the transduction of information between cells are essential for development, cellular differentiation and homeostasis. Their dysregulation is also frequently associated with human malignancies. The Janus tyrosine kinase/signal transducer and activator of transcription (JAK/STAT) pathway represents one such signalling cascade whose evolutionarily conserved roles include cell proliferation and haematopoiesis. Here we describe a systematic genome-wide survey for genes required for JAK/STAT pathway activity. Analysis of 20,026 RNA interference (RNAi)-induced phenotypes in cultured Drosophila melanogaster haemocyte-like cells identified interacting genes encoding 4 known and 86 previously uncharacterized proteins. Subsequently, cell-based epistasis experiments were used to classify these proteins on the basis of their interaction with known components of the signalling cascade. In addition to multiple human disease gene homologues, we have found the tyrosine phosphatase Ptp61F and the Drosophila homologue of BRWD3, a bromo-domain-containing protein disrupted in leukaemia. Moreover, in vivo analysis demonstrates that disrupted dBRWD3 and overexpressed Ptp61F function as suppressors of leukaemia-like blood cell tumours. This screen represents a comprehensive identification of novel loci required for JAK/STAT signalling and provides molecular insights into an important pathway relevant for human cancer. Human homologues of identified pathway modifiers may constitute targets for therapeutic interventions.","author":[{"dropping-particle":"","family":"Müller","given":"Patrick","non-dropping-particle":"","parse-names":false,"suffix":""},{"dropping-particle":"","family":"Kuttenkeuler","given":"David","non-dropping-particle":"","parse-names":false,"suffix":""},{"dropping-particle":"","family":"Gesellchen","given":"Viola","non-dropping-particle":"","parse-names":false,"suffix":""},{"dropping-particle":"","family":"Zeidler","given":"Martin P","non-dropping-particle":"","parse-names":false,"suffix":""},{"dropping-particle":"","family":"Boutros","given":"Michael","non-dropping-particle":"","parse-names":false,"suffix":""}],"container-title":"Nature","id":"ITEM-2","issue":"7052","issued":{"date-parts":[["2005","8","11"]]},"page":"871-5","title":"Identification of JAK/STAT signalling components by genome-wide RNA interference.","type":"article-journal","volume":"436"},"uris":["http://www.mendeley.com/documents/?uuid=ae70b067-06e7-3812-9df6-5a3b4e1b9578"]}],"mendeley":{"formattedCitation":"(Müller &lt;i&gt;et al.&lt;/i&gt;, 2005; Fisher &lt;i&gt;et al.&lt;/i&gt;, 2012b)","plainTextFormattedCitation":"(Müller et al., 2005; Fisher et al., 2012b)","previouslyFormattedCitation":"(Müller &lt;i&gt;et al.&lt;/i&gt;, 2005; Fisher &lt;i&gt;et al.&lt;/i&gt;, 2012)"},"properties":{"noteIndex":0},"schema":"https://github.com/citation-style-language/schema/raw/master/csl-citation.json"}</w:instrText>
      </w:r>
      <w:r w:rsidR="005C0E76">
        <w:fldChar w:fldCharType="separate"/>
      </w:r>
      <w:r w:rsidR="00C57A7E" w:rsidRPr="00C57A7E">
        <w:rPr>
          <w:noProof/>
        </w:rPr>
        <w:t xml:space="preserve">(Müller </w:t>
      </w:r>
      <w:r w:rsidR="00C57A7E" w:rsidRPr="00C57A7E">
        <w:rPr>
          <w:i/>
          <w:noProof/>
        </w:rPr>
        <w:t>et al.</w:t>
      </w:r>
      <w:r w:rsidR="00C57A7E" w:rsidRPr="00C57A7E">
        <w:rPr>
          <w:noProof/>
        </w:rPr>
        <w:t xml:space="preserve">, 2005; Fisher </w:t>
      </w:r>
      <w:r w:rsidR="00C57A7E" w:rsidRPr="00C57A7E">
        <w:rPr>
          <w:i/>
          <w:noProof/>
        </w:rPr>
        <w:t>et al.</w:t>
      </w:r>
      <w:r w:rsidR="00C57A7E" w:rsidRPr="00C57A7E">
        <w:rPr>
          <w:noProof/>
        </w:rPr>
        <w:t>, 2012b)</w:t>
      </w:r>
      <w:r w:rsidR="005C0E76">
        <w:fldChar w:fldCharType="end"/>
      </w:r>
      <w:r>
        <w:t xml:space="preserve">. Kc167 cells were acquired from the DGRC </w:t>
      </w:r>
      <w:r w:rsidRPr="00623898">
        <w:t>at Harvard.</w:t>
      </w:r>
    </w:p>
    <w:p w:rsidR="00045427" w:rsidRDefault="00045427" w:rsidP="00045427">
      <w:pPr>
        <w:spacing w:line="360" w:lineRule="auto"/>
        <w:ind w:firstLine="284"/>
      </w:pPr>
      <w:r>
        <w:t>Both prior to and during the course of the main luciferase assay screening experiments, the method was developed and refined in order to overcome challenges including: the breakdown of a component of the homemade assay initially used; and issues with sensitivity, reagent dilution, and luminescence bleed between wells with the subsequent use of a proprietary kit version of the assay. These issues were successfully resolved and the chemically modified dsRNAs screened in order to reliably ascertain variation in their dose-dependent RNAi-induced knockdown efficacy.</w:t>
      </w:r>
    </w:p>
    <w:p w:rsidR="00045427" w:rsidRPr="0042251D" w:rsidRDefault="00045427" w:rsidP="00045427">
      <w:pPr>
        <w:pStyle w:val="Heading2"/>
      </w:pPr>
      <w:bookmarkStart w:id="180" w:name="_Toc17295539"/>
      <w:bookmarkStart w:id="181" w:name="_Toc35333991"/>
      <w:bookmarkEnd w:id="173"/>
      <w:r>
        <w:lastRenderedPageBreak/>
        <w:t>Results and discussion</w:t>
      </w:r>
      <w:bookmarkEnd w:id="180"/>
      <w:bookmarkEnd w:id="181"/>
    </w:p>
    <w:p w:rsidR="00045427" w:rsidRDefault="00045427" w:rsidP="00045427">
      <w:pPr>
        <w:pStyle w:val="Heading3"/>
      </w:pPr>
      <w:bookmarkStart w:id="182" w:name="_Toc17295540"/>
      <w:bookmarkStart w:id="183" w:name="_Toc507150642"/>
      <w:bookmarkStart w:id="184" w:name="_Toc35333992"/>
      <w:r>
        <w:t>Method development and troubleshooting</w:t>
      </w:r>
      <w:bookmarkEnd w:id="182"/>
      <w:bookmarkEnd w:id="184"/>
    </w:p>
    <w:p w:rsidR="00045427" w:rsidRDefault="00045427" w:rsidP="00045427">
      <w:pPr>
        <w:rPr>
          <w:color w:val="FF0000"/>
        </w:rPr>
      </w:pPr>
    </w:p>
    <w:p w:rsidR="00045427" w:rsidRDefault="00045427" w:rsidP="00045427">
      <w:pPr>
        <w:spacing w:line="360" w:lineRule="auto"/>
        <w:ind w:firstLine="284"/>
      </w:pPr>
      <w:r>
        <w:t>An initial luciferase assay was carried out using unmodified dsRNAs in order to ascertain two key facts. Firstly</w:t>
      </w:r>
      <w:r w:rsidR="006402BA">
        <w:t>,</w:t>
      </w:r>
      <w:r>
        <w:t xml:space="preserve"> that both endogenous gene products in the JAK/STAT pathway – such as Domeless and STAT92E, and exogenous gene products – such as firefly luciferase, could be effectively knocked down in insect cells by the long dsRNAs selected, in order to validate these dsRNAs for further use in screening the effect of RNA modifications on RNAi in insect cells. Secondly to confirm a previous observation from literature that while long dsRNAs can effect RNAi from naked delivery without a transfection reagent, siRNAs do not </w:t>
      </w:r>
      <w:r w:rsidR="005C0E76">
        <w:fldChar w:fldCharType="begin" w:fldLock="1"/>
      </w:r>
      <w:r>
        <w:instrText>ADDIN CSL_CITATION {"citationItems":[{"id":"ITEM-1","itemData":{"DOI":"10.1038/ncb1439","ISSN":"1465-7392","PMID":"16862146","abstract":"Many metazoan cells can take up exogenous double-stranded (ds) RNA and use it to initiate an RNA silencing response, however, the mechanism for this uptake is ill-defined. Here, we identify the pathway for dsRNA uptake in Drosophila melanogaster S2 cells. Biochemical and cell biological analyses, and a genome-wide screen for components of the dsRNA-uptake machinery, indicated that dsRNA is taken up by an active process involving receptor-mediated endocytosis. Pharmacological inhibition of endocytic pathways disrupted exogenous dsRNA entry and the induction of gene silencing. This dsRNA uptake mechanism seems to be evolutionarily conserved, as knockdown of orthologues in Caenorhabditis elegans inactivated the RNA interference response in worms. Thus, this entry pathway is required for systemic RNA silencing in whole organisms. In Drosophila cells, pharmacological evidence suggests that dsRNA entry is mediated by pattern-recognition receptors. The possible role of these receptors in dsRNA entry may link RNA interference (RNAi) silencing to other innate immune responses.","author":[{"dropping-particle":"","family":"Saleh","given":"Maria-Carla","non-dropping-particle":"","parse-names":false,"suffix":""},{"dropping-particle":"","family":"Rij","given":"Ronald P.","non-dropping-particle":"van","parse-names":false,"suffix":""},{"dropping-particle":"","family":"Hekele","given":"Armin","non-dropping-particle":"","parse-names":false,"suffix":""},{"dropping-particle":"","family":"Gillis","given":"Amethyst","non-dropping-particle":"","parse-names":false,"suffix":""},{"dropping-particle":"","family":"Foley","given":"Edan","non-dropping-particle":"","parse-names":false,"suffix":""},{"dropping-particle":"","family":"O'Farrell","given":"Patrick H.","non-dropping-particle":"","parse-names":false,"suffix":""},{"dropping-particle":"","family":"Andino","given":"Raul","non-dropping-particle":"","parse-names":false,"suffix":""}],"container-title":"Nature Cell Biology","id":"ITEM-1","issue":"8","issued":{"date-parts":[["2006","8","23"]]},"page":"793-802","title":"The endocytic pathway mediates cell entry of dsRNA to induce RNAi silencing","type":"article-journal","volume":"8"},"uris":["http://www.mendeley.com/documents/?uuid=c58f09d2-6650-3ba8-ab22-34a5b55bb9ac"]}],"mendeley":{"formattedCitation":"(Saleh, Ronald P. van Rij, &lt;i&gt;et al.&lt;/i&gt;, 2006)","plainTextFormattedCitation":"(Saleh, Ronald P. van Rij, et al., 2006)","previouslyFormattedCitation":"(Saleh, Ronald P. van Rij, &lt;i&gt;et al.&lt;/i&gt;, 2006)"},"properties":{"noteIndex":0},"schema":"https://github.com/citation-style-language/schema/raw/master/csl-citation.json"}</w:instrText>
      </w:r>
      <w:r w:rsidR="005C0E76">
        <w:fldChar w:fldCharType="separate"/>
      </w:r>
      <w:r w:rsidRPr="00382730">
        <w:rPr>
          <w:noProof/>
        </w:rPr>
        <w:t xml:space="preserve">(Saleh, Ronald P. van Rij, </w:t>
      </w:r>
      <w:r w:rsidRPr="00382730">
        <w:rPr>
          <w:i/>
          <w:noProof/>
        </w:rPr>
        <w:t>et al.</w:t>
      </w:r>
      <w:r w:rsidRPr="00382730">
        <w:rPr>
          <w:noProof/>
        </w:rPr>
        <w:t>, 2006)</w:t>
      </w:r>
      <w:r w:rsidR="005C0E76">
        <w:fldChar w:fldCharType="end"/>
      </w:r>
      <w:r w:rsidRPr="0075517A">
        <w:rPr>
          <w:color w:val="FF0000"/>
        </w:rPr>
        <w:t>.</w:t>
      </w:r>
    </w:p>
    <w:p w:rsidR="00045427" w:rsidRPr="001E1AC5" w:rsidRDefault="00045427" w:rsidP="00045427">
      <w:pPr>
        <w:spacing w:line="360" w:lineRule="auto"/>
        <w:ind w:firstLine="284"/>
      </w:pPr>
      <w:r>
        <w:t xml:space="preserve">Long </w:t>
      </w:r>
      <w:r w:rsidRPr="001E1AC5">
        <w:t>dsRNAs targeting the STAT92E, Domeless, and Firefly luciferase mRNAs were selected (see chapter 3, table3.</w:t>
      </w:r>
      <w:r w:rsidR="001E1AC5" w:rsidRPr="001E1AC5">
        <w:t>1</w:t>
      </w:r>
      <w:r w:rsidRPr="001E1AC5">
        <w:t>). A negative control dsRNA</w:t>
      </w:r>
      <w:r w:rsidR="005A7DD5">
        <w:t xml:space="preserve"> (F59C6.5)</w:t>
      </w:r>
      <w:r w:rsidRPr="001E1AC5">
        <w:t xml:space="preserve"> targeting</w:t>
      </w:r>
      <w:r w:rsidR="005A7DD5">
        <w:t xml:space="preserve"> a</w:t>
      </w:r>
      <w:r w:rsidRPr="001E1AC5">
        <w:t xml:space="preserve"> </w:t>
      </w:r>
      <w:r w:rsidRPr="001E1AC5">
        <w:rPr>
          <w:i/>
        </w:rPr>
        <w:t>Caenorhabditis elegans</w:t>
      </w:r>
      <w:r w:rsidRPr="001E1AC5">
        <w:t xml:space="preserve"> protein similar to human NADH dehydrogenase [ubiquinone] 1 beta subcomplex subunit 10, was selected. dsRNAs targeting each of these genes were produced, as well as mixed pools of siRNAs (esiRNAs) produced by digesting the long dsRNAs to siRNAs with bacterial RNase III (figure 5.2 a). </w:t>
      </w:r>
    </w:p>
    <w:p w:rsidR="00045427" w:rsidRPr="001E1AC5" w:rsidRDefault="00045427" w:rsidP="00045427">
      <w:pPr>
        <w:spacing w:line="360" w:lineRule="auto"/>
        <w:ind w:firstLine="284"/>
      </w:pPr>
      <w:r w:rsidRPr="001E1AC5">
        <w:t xml:space="preserve">The assay was carried out in 384 well plate format, with 8 replicate wells for each dsRNA or esiRNA mixture, and 250 ng of RNA per well (see table 5.1). Previous data suggested that this concentration of dsRNA would induce the maximum level of RNAi-induced knockdown achievable </w:t>
      </w:r>
      <w:r w:rsidR="005C0E76" w:rsidRPr="001E1AC5">
        <w:fldChar w:fldCharType="begin" w:fldLock="1"/>
      </w:r>
      <w:r w:rsidRPr="001E1AC5">
        <w:instrText>ADDIN CSL_CITATION {"citationItems":[{"id":"ITEM-1","itemData":{"DOI":"10.1186/gb-2010-11-6-r61","ISSN":"1474-760X","PMID":"20550664","abstract":"RNA interference (RNAi) screens have enabled the systematic analysis of many biological processes in cultured cells and whole organisms. The success of such screens and the interpretation of the data depend on the stringent design of RNAi libraries. We describe and validate NEXT-RNAi, a software for the automated design and evaluation of RNAi sequences on a genome-wide scale. NEXT-RNAi is implemented as open-source software and is accessible at http://www.nextrnai.org/.","author":[{"dropping-particle":"","family":"Horn","given":"Thomas","non-dropping-particle":"","parse-names":false,"suffix":""},{"dropping-particle":"","family":"Sandmann","given":"Thomas","non-dropping-particle":"","parse-names":false,"suffix":""},{"dropping-particle":"","family":"Boutros","given":"Michael","non-dropping-particle":"","parse-names":false,"suffix":""}],"container-title":"Genome biology","id":"ITEM-1","issue":"6","issued":{"date-parts":[["2010"]]},"page":"R61","publisher":"BioMed Central","title":"Design and evaluation of genome-wide libraries for RNA interference screens.","type":"article-journal","volume":"11"},"uris":["http://www.mendeley.com/documents/?uuid=6e559b40-7d93-3db5-8a0f-7c7f2ea113c6"]}],"mendeley":{"formattedCitation":"(Horn, Sandmann and Boutros, 2010)","plainTextFormattedCitation":"(Horn, Sandmann and Boutros, 2010)","previouslyFormattedCitation":"(Horn, Sandmann and Boutros, 2010)"},"properties":{"noteIndex":0},"schema":"https://github.com/citation-style-language/schema/raw/master/csl-citation.json"}</w:instrText>
      </w:r>
      <w:r w:rsidR="005C0E76" w:rsidRPr="001E1AC5">
        <w:fldChar w:fldCharType="separate"/>
      </w:r>
      <w:r w:rsidRPr="001E1AC5">
        <w:rPr>
          <w:noProof/>
        </w:rPr>
        <w:t>(Horn, Sandmann and Boutros, 2010)</w:t>
      </w:r>
      <w:r w:rsidR="005C0E76" w:rsidRPr="001E1AC5">
        <w:fldChar w:fldCharType="end"/>
      </w:r>
      <w:r w:rsidRPr="001E1AC5">
        <w:t>.  Cells were incubated with</w:t>
      </w:r>
      <w:r>
        <w:t xml:space="preserve"> dsRNA for 3 days, after which the cells </w:t>
      </w:r>
      <w:r w:rsidRPr="001E1AC5">
        <w:t xml:space="preserve">were lysed and the substrates for the firefly and </w:t>
      </w:r>
      <w:r w:rsidRPr="001E1AC5">
        <w:rPr>
          <w:i/>
        </w:rPr>
        <w:t>Renilla</w:t>
      </w:r>
      <w:r w:rsidRPr="001E1AC5">
        <w:t xml:space="preserve"> luciferases added sequentially. The luminescence produced by each reaction at its peak emission wavelength was measured separately in a Varioskan Flash plate reader (see section </w:t>
      </w:r>
      <w:r w:rsidR="001E1AC5" w:rsidRPr="001E1AC5">
        <w:t>2.4.3</w:t>
      </w:r>
      <w:r w:rsidRPr="001E1AC5">
        <w:t>). The (FL/RL)</w:t>
      </w:r>
      <w:r w:rsidRPr="001E1AC5">
        <w:rPr>
          <w:vertAlign w:val="subscript"/>
        </w:rPr>
        <w:t>Target</w:t>
      </w:r>
      <w:r w:rsidRPr="001E1AC5">
        <w:t>/(FL/RL)</w:t>
      </w:r>
      <w:r w:rsidRPr="001E1AC5">
        <w:rPr>
          <w:vertAlign w:val="subscript"/>
        </w:rPr>
        <w:t>No dsRNA control</w:t>
      </w:r>
      <w:r w:rsidRPr="001E1AC5">
        <w:t xml:space="preserve"> values are plotted in figure 5.2 b. </w:t>
      </w:r>
    </w:p>
    <w:p w:rsidR="00045427" w:rsidRPr="00383072" w:rsidRDefault="00045427" w:rsidP="00045427">
      <w:pPr>
        <w:spacing w:line="360" w:lineRule="auto"/>
      </w:pPr>
    </w:p>
    <w:p w:rsidR="00F945E3" w:rsidRPr="00F945E3" w:rsidRDefault="00F945E3" w:rsidP="00F945E3">
      <w:pPr>
        <w:pStyle w:val="Caption"/>
        <w:keepNext/>
        <w:rPr>
          <w:color w:val="auto"/>
        </w:rPr>
      </w:pPr>
      <w:bookmarkStart w:id="185" w:name="_Toc20405262"/>
      <w:r w:rsidRPr="00F945E3">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1</w:t>
      </w:r>
      <w:r w:rsidR="005C0E76">
        <w:rPr>
          <w:color w:val="auto"/>
        </w:rPr>
        <w:fldChar w:fldCharType="end"/>
      </w:r>
      <w:r w:rsidRPr="00F945E3">
        <w:rPr>
          <w:color w:val="auto"/>
        </w:rPr>
        <w:t xml:space="preserve"> dsRNAs and concentrations used in the dual luciferase assay in figure 5.2 b.</w:t>
      </w:r>
      <w:bookmarkEnd w:id="185"/>
    </w:p>
    <w:tbl>
      <w:tblPr>
        <w:tblStyle w:val="TableGrid"/>
        <w:tblW w:w="0" w:type="auto"/>
        <w:jc w:val="center"/>
        <w:tblInd w:w="1951" w:type="dxa"/>
        <w:tblLook w:val="04A0"/>
      </w:tblPr>
      <w:tblGrid>
        <w:gridCol w:w="1129"/>
        <w:gridCol w:w="2415"/>
        <w:gridCol w:w="2126"/>
      </w:tblGrid>
      <w:tr w:rsidR="00045427" w:rsidTr="004D046F">
        <w:trPr>
          <w:jc w:val="center"/>
        </w:trPr>
        <w:tc>
          <w:tcPr>
            <w:tcW w:w="1129" w:type="dxa"/>
            <w:vAlign w:val="center"/>
          </w:tcPr>
          <w:p w:rsidR="00045427" w:rsidRPr="00383072" w:rsidRDefault="00045427" w:rsidP="004D046F">
            <w:pPr>
              <w:spacing w:line="360" w:lineRule="auto"/>
              <w:jc w:val="center"/>
              <w:rPr>
                <w:b/>
              </w:rPr>
            </w:pPr>
            <w:r>
              <w:rPr>
                <w:b/>
              </w:rPr>
              <w:t>dsRNA</w:t>
            </w:r>
          </w:p>
        </w:tc>
        <w:tc>
          <w:tcPr>
            <w:tcW w:w="2415" w:type="dxa"/>
            <w:vAlign w:val="center"/>
          </w:tcPr>
          <w:p w:rsidR="00045427" w:rsidRPr="00383072" w:rsidRDefault="00045427" w:rsidP="004D046F">
            <w:pPr>
              <w:spacing w:line="360" w:lineRule="auto"/>
              <w:jc w:val="center"/>
              <w:rPr>
                <w:b/>
              </w:rPr>
            </w:pPr>
            <w:r>
              <w:rPr>
                <w:b/>
              </w:rPr>
              <w:t>Modification</w:t>
            </w:r>
          </w:p>
        </w:tc>
        <w:tc>
          <w:tcPr>
            <w:tcW w:w="2126" w:type="dxa"/>
            <w:vAlign w:val="center"/>
          </w:tcPr>
          <w:p w:rsidR="00045427" w:rsidRPr="00383072" w:rsidRDefault="00045427" w:rsidP="004D046F">
            <w:pPr>
              <w:spacing w:line="360" w:lineRule="auto"/>
              <w:jc w:val="center"/>
              <w:rPr>
                <w:b/>
              </w:rPr>
            </w:pPr>
            <w:r>
              <w:rPr>
                <w:b/>
              </w:rPr>
              <w:t>Concentrations (ng)</w:t>
            </w:r>
          </w:p>
        </w:tc>
      </w:tr>
      <w:tr w:rsidR="00045427" w:rsidTr="004D046F">
        <w:trPr>
          <w:jc w:val="center"/>
        </w:trPr>
        <w:tc>
          <w:tcPr>
            <w:tcW w:w="1129" w:type="dxa"/>
            <w:vMerge w:val="restart"/>
            <w:vAlign w:val="center"/>
          </w:tcPr>
          <w:p w:rsidR="00045427" w:rsidRPr="00383072" w:rsidRDefault="00045427" w:rsidP="004D046F">
            <w:pPr>
              <w:spacing w:line="360" w:lineRule="auto"/>
              <w:jc w:val="center"/>
            </w:pPr>
            <w:r w:rsidRPr="00383072">
              <w:t>Stat</w:t>
            </w:r>
            <w:r>
              <w:t>3</w:t>
            </w:r>
          </w:p>
        </w:tc>
        <w:tc>
          <w:tcPr>
            <w:tcW w:w="2415" w:type="dxa"/>
            <w:vAlign w:val="center"/>
          </w:tcPr>
          <w:p w:rsidR="00045427" w:rsidRPr="00383072" w:rsidRDefault="00045427" w:rsidP="004D046F">
            <w:pPr>
              <w:spacing w:line="360" w:lineRule="auto"/>
              <w:jc w:val="center"/>
            </w:pPr>
            <w:r>
              <w:t>Unmodified (dsRNA)</w:t>
            </w:r>
          </w:p>
        </w:tc>
        <w:tc>
          <w:tcPr>
            <w:tcW w:w="2126" w:type="dxa"/>
            <w:vAlign w:val="center"/>
          </w:tcPr>
          <w:p w:rsidR="00045427" w:rsidRPr="00383072" w:rsidRDefault="00045427" w:rsidP="004D046F">
            <w:pPr>
              <w:spacing w:line="360" w:lineRule="auto"/>
              <w:jc w:val="center"/>
            </w:pPr>
            <w:r>
              <w:t>250</w:t>
            </w:r>
          </w:p>
        </w:tc>
      </w:tr>
      <w:tr w:rsidR="00045427" w:rsidTr="004D046F">
        <w:trPr>
          <w:jc w:val="center"/>
        </w:trPr>
        <w:tc>
          <w:tcPr>
            <w:tcW w:w="1129" w:type="dxa"/>
            <w:vMerge/>
            <w:vAlign w:val="center"/>
          </w:tcPr>
          <w:p w:rsidR="00045427" w:rsidRPr="00383072" w:rsidRDefault="00045427" w:rsidP="004D046F">
            <w:pPr>
              <w:spacing w:line="360" w:lineRule="auto"/>
              <w:jc w:val="center"/>
            </w:pPr>
          </w:p>
        </w:tc>
        <w:tc>
          <w:tcPr>
            <w:tcW w:w="2415" w:type="dxa"/>
            <w:vAlign w:val="center"/>
          </w:tcPr>
          <w:p w:rsidR="00045427" w:rsidRPr="00383072" w:rsidRDefault="00045427" w:rsidP="004D046F">
            <w:pPr>
              <w:spacing w:line="360" w:lineRule="auto"/>
              <w:jc w:val="center"/>
            </w:pPr>
            <w:r>
              <w:t>Unmodified (esiRNA)</w:t>
            </w:r>
          </w:p>
        </w:tc>
        <w:tc>
          <w:tcPr>
            <w:tcW w:w="2126" w:type="dxa"/>
            <w:vAlign w:val="center"/>
          </w:tcPr>
          <w:p w:rsidR="00045427" w:rsidRDefault="00045427" w:rsidP="004D046F">
            <w:pPr>
              <w:jc w:val="center"/>
            </w:pPr>
            <w:r w:rsidRPr="00E61DC8">
              <w:t>250</w:t>
            </w:r>
          </w:p>
        </w:tc>
      </w:tr>
      <w:tr w:rsidR="00045427" w:rsidTr="004D046F">
        <w:trPr>
          <w:jc w:val="center"/>
        </w:trPr>
        <w:tc>
          <w:tcPr>
            <w:tcW w:w="1129" w:type="dxa"/>
            <w:vMerge w:val="restart"/>
            <w:vAlign w:val="center"/>
          </w:tcPr>
          <w:p w:rsidR="00045427" w:rsidRPr="00383072" w:rsidRDefault="00045427" w:rsidP="004D046F">
            <w:pPr>
              <w:spacing w:line="360" w:lineRule="auto"/>
              <w:jc w:val="center"/>
            </w:pPr>
            <w:r>
              <w:t>Dome11</w:t>
            </w:r>
          </w:p>
        </w:tc>
        <w:tc>
          <w:tcPr>
            <w:tcW w:w="2415" w:type="dxa"/>
            <w:vAlign w:val="center"/>
          </w:tcPr>
          <w:p w:rsidR="00045427" w:rsidRPr="00383072" w:rsidRDefault="00045427" w:rsidP="004D046F">
            <w:pPr>
              <w:spacing w:line="360" w:lineRule="auto"/>
              <w:jc w:val="center"/>
            </w:pPr>
            <w:r>
              <w:t>Unmodified (dsRNA)</w:t>
            </w:r>
          </w:p>
        </w:tc>
        <w:tc>
          <w:tcPr>
            <w:tcW w:w="2126" w:type="dxa"/>
            <w:vAlign w:val="center"/>
          </w:tcPr>
          <w:p w:rsidR="00045427" w:rsidRDefault="00045427" w:rsidP="004D046F">
            <w:pPr>
              <w:jc w:val="center"/>
            </w:pPr>
            <w:r w:rsidRPr="00E61DC8">
              <w:t>250</w:t>
            </w:r>
          </w:p>
        </w:tc>
      </w:tr>
      <w:tr w:rsidR="00045427" w:rsidTr="004D046F">
        <w:trPr>
          <w:jc w:val="center"/>
        </w:trPr>
        <w:tc>
          <w:tcPr>
            <w:tcW w:w="1129" w:type="dxa"/>
            <w:vMerge/>
            <w:vAlign w:val="center"/>
          </w:tcPr>
          <w:p w:rsidR="00045427" w:rsidRPr="00383072" w:rsidRDefault="00045427" w:rsidP="004D046F">
            <w:pPr>
              <w:spacing w:line="360" w:lineRule="auto"/>
              <w:jc w:val="center"/>
            </w:pPr>
          </w:p>
        </w:tc>
        <w:tc>
          <w:tcPr>
            <w:tcW w:w="2415" w:type="dxa"/>
            <w:vAlign w:val="center"/>
          </w:tcPr>
          <w:p w:rsidR="00045427" w:rsidRPr="00383072" w:rsidRDefault="00045427" w:rsidP="004D046F">
            <w:pPr>
              <w:spacing w:line="360" w:lineRule="auto"/>
              <w:jc w:val="center"/>
            </w:pPr>
            <w:r>
              <w:t>Unmodified (esiRNA)</w:t>
            </w:r>
          </w:p>
        </w:tc>
        <w:tc>
          <w:tcPr>
            <w:tcW w:w="2126" w:type="dxa"/>
            <w:vAlign w:val="center"/>
          </w:tcPr>
          <w:p w:rsidR="00045427" w:rsidRDefault="00045427" w:rsidP="004D046F">
            <w:pPr>
              <w:jc w:val="center"/>
            </w:pPr>
            <w:r w:rsidRPr="00E61DC8">
              <w:t>250</w:t>
            </w:r>
          </w:p>
        </w:tc>
      </w:tr>
      <w:tr w:rsidR="00045427" w:rsidTr="004D046F">
        <w:trPr>
          <w:jc w:val="center"/>
        </w:trPr>
        <w:tc>
          <w:tcPr>
            <w:tcW w:w="1129" w:type="dxa"/>
            <w:vMerge w:val="restart"/>
            <w:vAlign w:val="center"/>
          </w:tcPr>
          <w:p w:rsidR="00045427" w:rsidRPr="00383072" w:rsidRDefault="00045427" w:rsidP="004D046F">
            <w:pPr>
              <w:spacing w:line="360" w:lineRule="auto"/>
              <w:jc w:val="center"/>
            </w:pPr>
            <w:r>
              <w:t>FLuc</w:t>
            </w:r>
          </w:p>
        </w:tc>
        <w:tc>
          <w:tcPr>
            <w:tcW w:w="2415" w:type="dxa"/>
            <w:vAlign w:val="center"/>
          </w:tcPr>
          <w:p w:rsidR="00045427" w:rsidRPr="00383072" w:rsidRDefault="00045427" w:rsidP="004D046F">
            <w:pPr>
              <w:spacing w:line="360" w:lineRule="auto"/>
              <w:jc w:val="center"/>
            </w:pPr>
            <w:r>
              <w:t>Unmodified (dsRNA)</w:t>
            </w:r>
          </w:p>
        </w:tc>
        <w:tc>
          <w:tcPr>
            <w:tcW w:w="2126" w:type="dxa"/>
            <w:vAlign w:val="center"/>
          </w:tcPr>
          <w:p w:rsidR="00045427" w:rsidRDefault="00045427" w:rsidP="004D046F">
            <w:pPr>
              <w:jc w:val="center"/>
            </w:pPr>
            <w:r w:rsidRPr="00E61DC8">
              <w:t>250</w:t>
            </w:r>
          </w:p>
        </w:tc>
      </w:tr>
      <w:tr w:rsidR="00045427" w:rsidTr="004D046F">
        <w:trPr>
          <w:jc w:val="center"/>
        </w:trPr>
        <w:tc>
          <w:tcPr>
            <w:tcW w:w="1129" w:type="dxa"/>
            <w:vMerge/>
            <w:vAlign w:val="center"/>
          </w:tcPr>
          <w:p w:rsidR="00045427" w:rsidRDefault="00045427" w:rsidP="004D046F">
            <w:pPr>
              <w:spacing w:line="360" w:lineRule="auto"/>
              <w:jc w:val="center"/>
            </w:pPr>
          </w:p>
        </w:tc>
        <w:tc>
          <w:tcPr>
            <w:tcW w:w="2415" w:type="dxa"/>
            <w:vAlign w:val="center"/>
          </w:tcPr>
          <w:p w:rsidR="00045427" w:rsidRPr="00383072" w:rsidRDefault="00045427" w:rsidP="004D046F">
            <w:pPr>
              <w:spacing w:line="360" w:lineRule="auto"/>
              <w:jc w:val="center"/>
            </w:pPr>
            <w:r>
              <w:t>Unmodified (esiRNA)</w:t>
            </w:r>
          </w:p>
        </w:tc>
        <w:tc>
          <w:tcPr>
            <w:tcW w:w="2126" w:type="dxa"/>
            <w:vAlign w:val="center"/>
          </w:tcPr>
          <w:p w:rsidR="00045427" w:rsidRDefault="00045427" w:rsidP="004D046F">
            <w:pPr>
              <w:jc w:val="center"/>
            </w:pPr>
            <w:r w:rsidRPr="00E61DC8">
              <w:t>250</w:t>
            </w:r>
          </w:p>
        </w:tc>
      </w:tr>
      <w:tr w:rsidR="00045427" w:rsidTr="004D046F">
        <w:trPr>
          <w:jc w:val="center"/>
        </w:trPr>
        <w:tc>
          <w:tcPr>
            <w:tcW w:w="1129" w:type="dxa"/>
            <w:vMerge w:val="restart"/>
            <w:vAlign w:val="center"/>
          </w:tcPr>
          <w:p w:rsidR="00045427" w:rsidRDefault="00045427" w:rsidP="004D046F">
            <w:pPr>
              <w:spacing w:line="360" w:lineRule="auto"/>
              <w:jc w:val="center"/>
            </w:pPr>
            <w:r>
              <w:t>F59C6.5</w:t>
            </w:r>
          </w:p>
        </w:tc>
        <w:tc>
          <w:tcPr>
            <w:tcW w:w="2415" w:type="dxa"/>
            <w:vAlign w:val="center"/>
          </w:tcPr>
          <w:p w:rsidR="00045427" w:rsidRPr="00383072" w:rsidRDefault="00045427" w:rsidP="004D046F">
            <w:pPr>
              <w:spacing w:line="360" w:lineRule="auto"/>
              <w:jc w:val="center"/>
            </w:pPr>
            <w:r>
              <w:t>Unmodified (dsRNA)</w:t>
            </w:r>
          </w:p>
        </w:tc>
        <w:tc>
          <w:tcPr>
            <w:tcW w:w="2126" w:type="dxa"/>
            <w:vAlign w:val="center"/>
          </w:tcPr>
          <w:p w:rsidR="00045427" w:rsidRDefault="00045427" w:rsidP="004D046F">
            <w:pPr>
              <w:jc w:val="center"/>
            </w:pPr>
            <w:r w:rsidRPr="00E61DC8">
              <w:t>250</w:t>
            </w:r>
          </w:p>
        </w:tc>
      </w:tr>
      <w:tr w:rsidR="00045427" w:rsidTr="004D046F">
        <w:trPr>
          <w:jc w:val="center"/>
        </w:trPr>
        <w:tc>
          <w:tcPr>
            <w:tcW w:w="1129" w:type="dxa"/>
            <w:vMerge/>
            <w:vAlign w:val="center"/>
          </w:tcPr>
          <w:p w:rsidR="00045427" w:rsidRDefault="00045427" w:rsidP="004D046F">
            <w:pPr>
              <w:spacing w:line="360" w:lineRule="auto"/>
              <w:jc w:val="center"/>
            </w:pPr>
          </w:p>
        </w:tc>
        <w:tc>
          <w:tcPr>
            <w:tcW w:w="2415" w:type="dxa"/>
            <w:vAlign w:val="center"/>
          </w:tcPr>
          <w:p w:rsidR="00045427" w:rsidRPr="00383072" w:rsidRDefault="00045427" w:rsidP="004D046F">
            <w:pPr>
              <w:spacing w:line="360" w:lineRule="auto"/>
              <w:jc w:val="center"/>
            </w:pPr>
            <w:r>
              <w:t>Unmodified (esiRNA)</w:t>
            </w:r>
          </w:p>
        </w:tc>
        <w:tc>
          <w:tcPr>
            <w:tcW w:w="2126" w:type="dxa"/>
            <w:vAlign w:val="center"/>
          </w:tcPr>
          <w:p w:rsidR="00045427" w:rsidRDefault="00045427" w:rsidP="004D046F">
            <w:pPr>
              <w:jc w:val="center"/>
            </w:pPr>
            <w:r w:rsidRPr="00E61DC8">
              <w:t>250</w:t>
            </w:r>
          </w:p>
        </w:tc>
      </w:tr>
    </w:tbl>
    <w:p w:rsidR="00045427" w:rsidRDefault="00045427" w:rsidP="00045427">
      <w:pPr>
        <w:spacing w:line="360" w:lineRule="auto"/>
        <w:ind w:firstLine="284"/>
      </w:pPr>
      <w:r w:rsidRPr="001E1AC5">
        <w:lastRenderedPageBreak/>
        <w:t>The results show that the endogenous gene product targeting long dsRNAs Stat3 and Dome11, as well as the exogenous gene</w:t>
      </w:r>
      <w:r w:rsidR="005A7DD5">
        <w:t>-</w:t>
      </w:r>
      <w:r w:rsidRPr="001E1AC5">
        <w:t>product</w:t>
      </w:r>
      <w:r w:rsidR="005A7DD5">
        <w:t>-</w:t>
      </w:r>
      <w:r w:rsidRPr="001E1AC5">
        <w:t>targeting long dsRNA FLuc, induced successful knockdown (see figure 5.2 b). The control long dsRNAs F59C6.5 did not induce knockdown. These results demonstrated that the target</w:t>
      </w:r>
      <w:r w:rsidR="005A7DD5">
        <w:t>ing</w:t>
      </w:r>
      <w:r>
        <w:t xml:space="preserve"> long dsRNAs were effective dsRNAs with which to screen the effect of RNA modifications on RNAi knockdown, and F59C6.5 dsRNA was an appropriate negative control for the system. None of the target esiRNAs induced significant RNAi knockdown, nor did the control F59C6.5 esiRNAs. </w:t>
      </w:r>
    </w:p>
    <w:p w:rsidR="00045427" w:rsidRDefault="00045427" w:rsidP="00045427">
      <w:pPr>
        <w:spacing w:line="360" w:lineRule="auto"/>
        <w:ind w:firstLine="284"/>
      </w:pPr>
      <w:r>
        <w:t>The next objective was the determination of the dose response of the cell culture model and reporter system, in order to determine the minimum amount of unmodified dsRNA required to achieve maximum RNAi-induced knockdown, and the concentration range of dsRNA in which most change in level of target protein knockdown with change in dsRNA concentration was detected. This information provides the optimum dsRNA concentration range to use to determine differences in RNAi efficacy between unmodified and modified dsRNA.</w:t>
      </w:r>
    </w:p>
    <w:p w:rsidR="00045427" w:rsidRPr="001E1AC5" w:rsidRDefault="00045427" w:rsidP="00045427">
      <w:pPr>
        <w:spacing w:line="360" w:lineRule="auto"/>
        <w:ind w:firstLine="284"/>
      </w:pPr>
      <w:r>
        <w:t>Unmodified targeting ds</w:t>
      </w:r>
      <w:r w:rsidR="005A7DD5">
        <w:t>RNAs Stat3, Stat4, Dome11, Dome</w:t>
      </w:r>
      <w:r>
        <w:t xml:space="preserve">14 and FLuc, as well as the non-targeting control </w:t>
      </w:r>
      <w:r w:rsidRPr="001E1AC5">
        <w:t xml:space="preserve">dsRNA F59C6.5 were tested at concentrations of 10, 100, 500 and 1,000 ng per well of a 384 well plate. A luciferase assay was carried out as described above for this range of dsRNAs and concentrations (see table 5.2). FL and RL luminescence values were quantified and normalised as previously and are shown in figure 5.2 c. </w:t>
      </w:r>
    </w:p>
    <w:p w:rsidR="00045427" w:rsidRPr="001E1AC5" w:rsidRDefault="00045427" w:rsidP="00045427">
      <w:pPr>
        <w:spacing w:line="360" w:lineRule="auto"/>
        <w:ind w:firstLine="284"/>
      </w:pPr>
    </w:p>
    <w:p w:rsidR="00F945E3" w:rsidRPr="00F945E3" w:rsidRDefault="00F945E3" w:rsidP="00F945E3">
      <w:pPr>
        <w:pStyle w:val="Caption"/>
        <w:keepNext/>
        <w:rPr>
          <w:color w:val="auto"/>
        </w:rPr>
      </w:pPr>
      <w:bookmarkStart w:id="186" w:name="_Toc20405263"/>
      <w:r w:rsidRPr="00F945E3">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2</w:t>
      </w:r>
      <w:r w:rsidR="005C0E76">
        <w:rPr>
          <w:color w:val="auto"/>
        </w:rPr>
        <w:fldChar w:fldCharType="end"/>
      </w:r>
      <w:r w:rsidRPr="00F945E3">
        <w:rPr>
          <w:color w:val="auto"/>
        </w:rPr>
        <w:t xml:space="preserve"> dsRNAs and concentrations used in the dual luciferase assay in figure 5.2 c.</w:t>
      </w:r>
      <w:bookmarkEnd w:id="186"/>
    </w:p>
    <w:tbl>
      <w:tblPr>
        <w:tblStyle w:val="TableGrid"/>
        <w:tblW w:w="0" w:type="auto"/>
        <w:jc w:val="center"/>
        <w:tblLook w:val="04A0"/>
      </w:tblPr>
      <w:tblGrid>
        <w:gridCol w:w="1384"/>
        <w:gridCol w:w="1418"/>
        <w:gridCol w:w="2268"/>
      </w:tblGrid>
      <w:tr w:rsidR="00045427" w:rsidTr="00F945E3">
        <w:trPr>
          <w:jc w:val="center"/>
        </w:trPr>
        <w:tc>
          <w:tcPr>
            <w:tcW w:w="1384" w:type="dxa"/>
            <w:vAlign w:val="center"/>
          </w:tcPr>
          <w:p w:rsidR="00045427" w:rsidRPr="00383072" w:rsidRDefault="00045427" w:rsidP="004D046F">
            <w:pPr>
              <w:spacing w:line="360" w:lineRule="auto"/>
              <w:jc w:val="center"/>
              <w:rPr>
                <w:b/>
              </w:rPr>
            </w:pPr>
            <w:r>
              <w:rPr>
                <w:b/>
              </w:rPr>
              <w:t>dsRNA</w:t>
            </w:r>
          </w:p>
        </w:tc>
        <w:tc>
          <w:tcPr>
            <w:tcW w:w="1418" w:type="dxa"/>
            <w:vAlign w:val="center"/>
          </w:tcPr>
          <w:p w:rsidR="00045427" w:rsidRPr="00383072" w:rsidRDefault="00045427" w:rsidP="004D046F">
            <w:pPr>
              <w:spacing w:line="360" w:lineRule="auto"/>
              <w:jc w:val="center"/>
              <w:rPr>
                <w:b/>
              </w:rPr>
            </w:pPr>
            <w:r>
              <w:rPr>
                <w:b/>
              </w:rPr>
              <w:t>Modification</w:t>
            </w:r>
          </w:p>
        </w:tc>
        <w:tc>
          <w:tcPr>
            <w:tcW w:w="2268" w:type="dxa"/>
            <w:vAlign w:val="center"/>
          </w:tcPr>
          <w:p w:rsidR="00045427" w:rsidRPr="00383072" w:rsidRDefault="00045427" w:rsidP="004D046F">
            <w:pPr>
              <w:spacing w:line="360" w:lineRule="auto"/>
              <w:jc w:val="center"/>
              <w:rPr>
                <w:b/>
              </w:rPr>
            </w:pPr>
            <w:r>
              <w:rPr>
                <w:b/>
              </w:rPr>
              <w:t>Concentrations (ng)</w:t>
            </w:r>
          </w:p>
        </w:tc>
      </w:tr>
      <w:tr w:rsidR="00045427" w:rsidTr="00F945E3">
        <w:trPr>
          <w:jc w:val="center"/>
        </w:trPr>
        <w:tc>
          <w:tcPr>
            <w:tcW w:w="1384" w:type="dxa"/>
            <w:vAlign w:val="center"/>
          </w:tcPr>
          <w:p w:rsidR="00045427" w:rsidRPr="00383072" w:rsidRDefault="00045427" w:rsidP="004D046F">
            <w:pPr>
              <w:spacing w:line="360" w:lineRule="auto"/>
              <w:jc w:val="center"/>
            </w:pPr>
            <w:r w:rsidRPr="00383072">
              <w:t>Stat</w:t>
            </w:r>
            <w:r>
              <w:t>3</w:t>
            </w:r>
          </w:p>
        </w:tc>
        <w:tc>
          <w:tcPr>
            <w:tcW w:w="1418" w:type="dxa"/>
            <w:vAlign w:val="center"/>
          </w:tcPr>
          <w:p w:rsidR="00045427" w:rsidRPr="00383072" w:rsidRDefault="00045427" w:rsidP="004D046F">
            <w:pPr>
              <w:spacing w:line="360" w:lineRule="auto"/>
              <w:jc w:val="center"/>
            </w:pPr>
            <w:r>
              <w:t>Unmodified</w:t>
            </w:r>
          </w:p>
        </w:tc>
        <w:tc>
          <w:tcPr>
            <w:tcW w:w="2268" w:type="dxa"/>
            <w:vAlign w:val="center"/>
          </w:tcPr>
          <w:p w:rsidR="00045427" w:rsidRPr="00383072" w:rsidRDefault="00045427" w:rsidP="004D046F">
            <w:pPr>
              <w:spacing w:line="360" w:lineRule="auto"/>
              <w:jc w:val="center"/>
            </w:pPr>
            <w:r>
              <w:t>10, 100, 500, 1,000</w:t>
            </w:r>
          </w:p>
        </w:tc>
      </w:tr>
      <w:tr w:rsidR="00045427" w:rsidTr="00F945E3">
        <w:trPr>
          <w:jc w:val="center"/>
        </w:trPr>
        <w:tc>
          <w:tcPr>
            <w:tcW w:w="1384" w:type="dxa"/>
            <w:vAlign w:val="center"/>
          </w:tcPr>
          <w:p w:rsidR="00045427" w:rsidRPr="00383072" w:rsidRDefault="00045427" w:rsidP="004D046F">
            <w:pPr>
              <w:spacing w:line="360" w:lineRule="auto"/>
              <w:jc w:val="center"/>
            </w:pPr>
            <w:r>
              <w:t>Stat4</w:t>
            </w:r>
          </w:p>
        </w:tc>
        <w:tc>
          <w:tcPr>
            <w:tcW w:w="1418" w:type="dxa"/>
            <w:vAlign w:val="center"/>
          </w:tcPr>
          <w:p w:rsidR="00045427" w:rsidRPr="00383072" w:rsidRDefault="00045427" w:rsidP="004D046F">
            <w:pPr>
              <w:spacing w:line="360" w:lineRule="auto"/>
              <w:jc w:val="center"/>
            </w:pPr>
            <w:r>
              <w:t>Unmodified</w:t>
            </w:r>
          </w:p>
        </w:tc>
        <w:tc>
          <w:tcPr>
            <w:tcW w:w="2268" w:type="dxa"/>
            <w:vAlign w:val="center"/>
          </w:tcPr>
          <w:p w:rsidR="00045427" w:rsidRPr="00383072" w:rsidRDefault="00045427" w:rsidP="004D046F">
            <w:pPr>
              <w:spacing w:line="360" w:lineRule="auto"/>
              <w:jc w:val="center"/>
            </w:pPr>
            <w:r>
              <w:t>10, 100, 500, 1,000</w:t>
            </w:r>
          </w:p>
        </w:tc>
      </w:tr>
      <w:tr w:rsidR="00045427" w:rsidTr="00F945E3">
        <w:trPr>
          <w:jc w:val="center"/>
        </w:trPr>
        <w:tc>
          <w:tcPr>
            <w:tcW w:w="1384" w:type="dxa"/>
            <w:vAlign w:val="center"/>
          </w:tcPr>
          <w:p w:rsidR="00045427" w:rsidRPr="00383072" w:rsidRDefault="00045427" w:rsidP="004D046F">
            <w:pPr>
              <w:spacing w:line="360" w:lineRule="auto"/>
              <w:jc w:val="center"/>
            </w:pPr>
            <w:r>
              <w:t>Dome11</w:t>
            </w:r>
          </w:p>
        </w:tc>
        <w:tc>
          <w:tcPr>
            <w:tcW w:w="1418" w:type="dxa"/>
            <w:vAlign w:val="center"/>
          </w:tcPr>
          <w:p w:rsidR="00045427" w:rsidRPr="00383072" w:rsidRDefault="00045427" w:rsidP="004D046F">
            <w:pPr>
              <w:spacing w:line="360" w:lineRule="auto"/>
              <w:jc w:val="center"/>
            </w:pPr>
            <w:r>
              <w:t>Unmodified</w:t>
            </w:r>
          </w:p>
        </w:tc>
        <w:tc>
          <w:tcPr>
            <w:tcW w:w="2268" w:type="dxa"/>
            <w:vAlign w:val="center"/>
          </w:tcPr>
          <w:p w:rsidR="00045427" w:rsidRPr="00383072" w:rsidRDefault="00045427" w:rsidP="004D046F">
            <w:pPr>
              <w:spacing w:line="360" w:lineRule="auto"/>
              <w:jc w:val="center"/>
            </w:pPr>
            <w:r>
              <w:t>10, 100, 500, 1,000</w:t>
            </w:r>
          </w:p>
        </w:tc>
      </w:tr>
      <w:tr w:rsidR="00045427" w:rsidTr="00F945E3">
        <w:trPr>
          <w:jc w:val="center"/>
        </w:trPr>
        <w:tc>
          <w:tcPr>
            <w:tcW w:w="1384" w:type="dxa"/>
            <w:vAlign w:val="center"/>
          </w:tcPr>
          <w:p w:rsidR="00045427" w:rsidRPr="00383072" w:rsidRDefault="00045427" w:rsidP="004D046F">
            <w:pPr>
              <w:spacing w:line="360" w:lineRule="auto"/>
              <w:jc w:val="center"/>
            </w:pPr>
            <w:r>
              <w:t>Dome14</w:t>
            </w:r>
          </w:p>
        </w:tc>
        <w:tc>
          <w:tcPr>
            <w:tcW w:w="1418" w:type="dxa"/>
            <w:vAlign w:val="center"/>
          </w:tcPr>
          <w:p w:rsidR="00045427" w:rsidRPr="00383072" w:rsidRDefault="00045427" w:rsidP="004D046F">
            <w:pPr>
              <w:spacing w:line="360" w:lineRule="auto"/>
              <w:jc w:val="center"/>
            </w:pPr>
            <w:r>
              <w:t>Unmodified</w:t>
            </w:r>
          </w:p>
        </w:tc>
        <w:tc>
          <w:tcPr>
            <w:tcW w:w="2268" w:type="dxa"/>
            <w:vAlign w:val="center"/>
          </w:tcPr>
          <w:p w:rsidR="00045427" w:rsidRPr="00383072" w:rsidRDefault="00045427" w:rsidP="004D046F">
            <w:pPr>
              <w:spacing w:line="360" w:lineRule="auto"/>
              <w:jc w:val="center"/>
            </w:pPr>
            <w:r>
              <w:t>10, 100, 500, 1,000</w:t>
            </w:r>
          </w:p>
        </w:tc>
      </w:tr>
      <w:tr w:rsidR="00045427" w:rsidTr="00F945E3">
        <w:trPr>
          <w:jc w:val="center"/>
        </w:trPr>
        <w:tc>
          <w:tcPr>
            <w:tcW w:w="1384" w:type="dxa"/>
            <w:vAlign w:val="center"/>
          </w:tcPr>
          <w:p w:rsidR="00045427" w:rsidRPr="00383072" w:rsidRDefault="00045427" w:rsidP="004D046F">
            <w:pPr>
              <w:spacing w:line="360" w:lineRule="auto"/>
              <w:jc w:val="center"/>
            </w:pPr>
            <w:r>
              <w:t>FLuc</w:t>
            </w:r>
          </w:p>
        </w:tc>
        <w:tc>
          <w:tcPr>
            <w:tcW w:w="1418" w:type="dxa"/>
            <w:vAlign w:val="center"/>
          </w:tcPr>
          <w:p w:rsidR="00045427" w:rsidRPr="00383072" w:rsidRDefault="00045427" w:rsidP="004D046F">
            <w:pPr>
              <w:spacing w:line="360" w:lineRule="auto"/>
              <w:jc w:val="center"/>
            </w:pPr>
            <w:r>
              <w:t>Unmodified</w:t>
            </w:r>
          </w:p>
        </w:tc>
        <w:tc>
          <w:tcPr>
            <w:tcW w:w="2268" w:type="dxa"/>
            <w:vAlign w:val="center"/>
          </w:tcPr>
          <w:p w:rsidR="00045427" w:rsidRPr="00383072" w:rsidRDefault="00045427" w:rsidP="004D046F">
            <w:pPr>
              <w:spacing w:line="360" w:lineRule="auto"/>
              <w:jc w:val="center"/>
            </w:pPr>
            <w:r>
              <w:t>10, 100, 500, 1,000</w:t>
            </w:r>
          </w:p>
        </w:tc>
      </w:tr>
      <w:tr w:rsidR="00045427" w:rsidTr="00F945E3">
        <w:trPr>
          <w:jc w:val="center"/>
        </w:trPr>
        <w:tc>
          <w:tcPr>
            <w:tcW w:w="1384" w:type="dxa"/>
            <w:vAlign w:val="center"/>
          </w:tcPr>
          <w:p w:rsidR="00045427" w:rsidRDefault="00045427" w:rsidP="004D046F">
            <w:pPr>
              <w:spacing w:line="360" w:lineRule="auto"/>
              <w:jc w:val="center"/>
            </w:pPr>
            <w:r>
              <w:t>F59C6.5</w:t>
            </w:r>
          </w:p>
        </w:tc>
        <w:tc>
          <w:tcPr>
            <w:tcW w:w="1418" w:type="dxa"/>
            <w:vAlign w:val="center"/>
          </w:tcPr>
          <w:p w:rsidR="00045427" w:rsidRPr="00383072" w:rsidRDefault="00045427" w:rsidP="004D046F">
            <w:pPr>
              <w:spacing w:line="360" w:lineRule="auto"/>
              <w:jc w:val="center"/>
            </w:pPr>
            <w:r>
              <w:t>Unmodified</w:t>
            </w:r>
          </w:p>
        </w:tc>
        <w:tc>
          <w:tcPr>
            <w:tcW w:w="2268" w:type="dxa"/>
            <w:vAlign w:val="center"/>
          </w:tcPr>
          <w:p w:rsidR="00045427" w:rsidRPr="00383072" w:rsidRDefault="00045427" w:rsidP="004D046F">
            <w:pPr>
              <w:spacing w:line="360" w:lineRule="auto"/>
              <w:jc w:val="center"/>
            </w:pPr>
            <w:r>
              <w:t>10, 100, 500, 1,000</w:t>
            </w:r>
          </w:p>
        </w:tc>
      </w:tr>
    </w:tbl>
    <w:p w:rsidR="00045427" w:rsidRDefault="00045427" w:rsidP="00045427">
      <w:pPr>
        <w:spacing w:line="360" w:lineRule="auto"/>
        <w:ind w:firstLine="284"/>
      </w:pPr>
    </w:p>
    <w:p w:rsidR="00F945E3" w:rsidRDefault="00045427" w:rsidP="00045427">
      <w:pPr>
        <w:spacing w:line="360" w:lineRule="auto"/>
        <w:ind w:firstLine="284"/>
      </w:pPr>
      <w:r>
        <w:t>For all targeting dsRNAs</w:t>
      </w:r>
      <w:r w:rsidR="005A7DD5">
        <w:t>,</w:t>
      </w:r>
      <w:r>
        <w:t xml:space="preserve"> maximum observed RNAi-induced knockdown was achieved for 500 ng of dsRNA and no further knockdown was detected for 1,000 ng of dsRNA. The maximum level of RNAi-induced knockdown for this assay was approximately 80-90%. 100 ng of dsRNA per well resulted in more variation between the different dsRNAs tested, with FLuc and the STAT-targeting dsRNAs (Stat3 and Stat4) showing around 10% greater RNAi-induced knockdown than the Domeless-targeting</w:t>
      </w:r>
      <w:r w:rsidR="00F945E3">
        <w:t xml:space="preserve"> </w:t>
      </w:r>
      <w:r>
        <w:t xml:space="preserve"> dsRNAs</w:t>
      </w:r>
      <w:r w:rsidR="00F945E3">
        <w:t xml:space="preserve"> </w:t>
      </w:r>
      <w:r>
        <w:t xml:space="preserve"> (Dome11 and Dome14). </w:t>
      </w:r>
      <w:r w:rsidR="00F945E3">
        <w:t xml:space="preserve"> </w:t>
      </w:r>
      <w:r>
        <w:t xml:space="preserve">All </w:t>
      </w:r>
      <w:r w:rsidR="00F945E3">
        <w:t xml:space="preserve"> </w:t>
      </w:r>
      <w:r>
        <w:t xml:space="preserve">targeting </w:t>
      </w:r>
      <w:r w:rsidR="00F945E3">
        <w:t xml:space="preserve"> </w:t>
      </w:r>
      <w:r>
        <w:t>dsRNAs</w:t>
      </w:r>
      <w:r w:rsidR="00F945E3">
        <w:t xml:space="preserve"> </w:t>
      </w:r>
      <w:r>
        <w:t xml:space="preserve"> showed</w:t>
      </w:r>
      <w:r w:rsidR="00F945E3">
        <w:t xml:space="preserve"> </w:t>
      </w:r>
      <w:r>
        <w:t xml:space="preserve"> 60% </w:t>
      </w:r>
      <w:r w:rsidR="00F945E3">
        <w:t xml:space="preserve"> </w:t>
      </w:r>
      <w:r>
        <w:t>knockdown or more</w:t>
      </w:r>
    </w:p>
    <w:p w:rsidR="00F945E3" w:rsidRDefault="00345703" w:rsidP="006973D5">
      <w:pPr>
        <w:keepNext/>
        <w:spacing w:after="200"/>
        <w:jc w:val="center"/>
      </w:pPr>
      <w:r>
        <w:rPr>
          <w:noProof/>
          <w:lang w:eastAsia="en-GB"/>
        </w:rPr>
        <w:lastRenderedPageBreak/>
        <w:drawing>
          <wp:inline distT="0" distB="0" distL="0" distR="0">
            <wp:extent cx="5669280" cy="6926580"/>
            <wp:effectExtent l="0" t="0" r="7620" b="0"/>
            <wp:docPr id="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srcRect l="2490" t="2468"/>
                    <a:stretch>
                      <a:fillRect/>
                    </a:stretch>
                  </pic:blipFill>
                  <pic:spPr bwMode="auto">
                    <a:xfrm>
                      <a:off x="0" y="0"/>
                      <a:ext cx="5669280" cy="6926580"/>
                    </a:xfrm>
                    <a:prstGeom prst="rect">
                      <a:avLst/>
                    </a:prstGeom>
                    <a:noFill/>
                  </pic:spPr>
                </pic:pic>
              </a:graphicData>
            </a:graphic>
          </wp:inline>
        </w:drawing>
      </w:r>
    </w:p>
    <w:p w:rsidR="006973D5" w:rsidRDefault="00F945E3" w:rsidP="006973D5">
      <w:pPr>
        <w:pStyle w:val="Caption"/>
        <w:spacing w:after="0"/>
        <w:rPr>
          <w:color w:val="auto"/>
        </w:rPr>
      </w:pPr>
      <w:bookmarkStart w:id="187" w:name="_Toc20411652"/>
      <w:r w:rsidRPr="00F945E3">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2</w:t>
      </w:r>
      <w:r w:rsidR="005C0E76">
        <w:rPr>
          <w:color w:val="auto"/>
        </w:rPr>
        <w:fldChar w:fldCharType="end"/>
      </w:r>
      <w:r w:rsidRPr="00F945E3">
        <w:rPr>
          <w:color w:val="auto"/>
        </w:rPr>
        <w:t xml:space="preserve"> Selection and validation of dsRNAs and dsRNA concentrations for </w:t>
      </w:r>
      <w:r w:rsidRPr="00F945E3">
        <w:rPr>
          <w:i/>
          <w:iCs/>
          <w:color w:val="auto"/>
        </w:rPr>
        <w:t xml:space="preserve">in vitro </w:t>
      </w:r>
      <w:r w:rsidRPr="00F945E3">
        <w:rPr>
          <w:color w:val="auto"/>
        </w:rPr>
        <w:t>analysis of RNAi with chemically modified dsRNA.</w:t>
      </w:r>
      <w:bookmarkEnd w:id="187"/>
      <w:r w:rsidRPr="00F945E3">
        <w:rPr>
          <w:color w:val="auto"/>
        </w:rPr>
        <w:t xml:space="preserve"> </w:t>
      </w:r>
    </w:p>
    <w:p w:rsidR="00F945E3" w:rsidRPr="00F945E3" w:rsidRDefault="00F945E3" w:rsidP="006973D5">
      <w:pPr>
        <w:pStyle w:val="Caption"/>
        <w:spacing w:after="0"/>
        <w:rPr>
          <w:b w:val="0"/>
          <w:color w:val="auto"/>
        </w:rPr>
      </w:pPr>
      <w:r w:rsidRPr="00F945E3">
        <w:rPr>
          <w:b w:val="0"/>
          <w:color w:val="auto"/>
        </w:rPr>
        <w:t xml:space="preserve">(a) Agarose gel of long dsRNAs (ds) and esiRNAs (esi) generated by RNaseIII digestion of long dsRNAs Stat3 (286 bp), Dome11 (401 bp), FLuc (401 bp) and F59C6.5 (513 bp) for use in </w:t>
      </w:r>
      <w:r w:rsidRPr="00F945E3">
        <w:rPr>
          <w:b w:val="0"/>
          <w:i/>
          <w:iCs/>
          <w:color w:val="auto"/>
        </w:rPr>
        <w:t xml:space="preserve">Drosophila </w:t>
      </w:r>
      <w:r w:rsidRPr="00F945E3">
        <w:rPr>
          <w:b w:val="0"/>
          <w:color w:val="auto"/>
        </w:rPr>
        <w:t xml:space="preserve">cell RNAi assays. All esiRNAs are 18-25 bp. (b) Bar graph of luciferase assay results for RNAi knockdown by unmodified long dsRNA and unmodified esiRNAs in </w:t>
      </w:r>
      <w:r w:rsidRPr="00F945E3">
        <w:rPr>
          <w:b w:val="0"/>
          <w:i/>
          <w:iCs/>
          <w:color w:val="auto"/>
        </w:rPr>
        <w:t>Drosophila</w:t>
      </w:r>
      <w:r w:rsidRPr="00F945E3">
        <w:rPr>
          <w:b w:val="0"/>
          <w:color w:val="auto"/>
        </w:rPr>
        <w:t xml:space="preserve"> Kc167 cells using 250 ng of targeting dsRNAs Stat 3, Dome11 and FLuc, and non-targeting control F59C6.5.  RNAi knockdown is presented as ratios of firefly luciferase luminescence intensity (FL) to </w:t>
      </w:r>
      <w:r w:rsidRPr="00F945E3">
        <w:rPr>
          <w:b w:val="0"/>
          <w:i/>
          <w:iCs/>
          <w:color w:val="auto"/>
        </w:rPr>
        <w:t>Renilla</w:t>
      </w:r>
      <w:r w:rsidRPr="00F945E3">
        <w:rPr>
          <w:b w:val="0"/>
          <w:color w:val="auto"/>
        </w:rPr>
        <w:t xml:space="preserve"> luciferase luminescence intensity (RL) normalised against control FL/RL values for wells containing no dsRNA.  (c &amp; d) Bar graphs of luciferase assay results demonstrating the dose response of RNAi knockdown by unmodified long dsRNAs alone (c) and in combination (d).</w:t>
      </w:r>
    </w:p>
    <w:p w:rsidR="00F945E3" w:rsidRPr="00F945E3" w:rsidRDefault="00F945E3" w:rsidP="006973D5">
      <w:pPr>
        <w:pStyle w:val="Caption"/>
        <w:spacing w:after="0"/>
        <w:rPr>
          <w:b w:val="0"/>
          <w:color w:val="auto"/>
        </w:rPr>
      </w:pPr>
      <w:r w:rsidRPr="00F945E3">
        <w:rPr>
          <w:b w:val="0"/>
          <w:color w:val="auto"/>
        </w:rPr>
        <w:t>All dsRNA and esiRNA treatments 250 ng . Loss of fluorescence correlates to increasing knockdown. Mean and SEM are plotted (n=8).  Stars denote significance as calculated by unpaired T-tests. ns = P &gt; 0.05, *  = P ≤ 0.05, ** = P ≤ 0.01, *** = P ≤ 0.001, **** = P ≤ 0.0001.</w:t>
      </w:r>
    </w:p>
    <w:p w:rsidR="00045427" w:rsidRDefault="00045427" w:rsidP="00F945E3">
      <w:pPr>
        <w:spacing w:line="360" w:lineRule="auto"/>
      </w:pPr>
      <w:r>
        <w:lastRenderedPageBreak/>
        <w:t>with the addition of 100 ng of dsRNA, similar to the addition of 10 ng of FLuc dsRNA. The Jak/STAT targeting dsRNAs Stat3, Stat4, Dome11 and Dome14 were moderately less effective than FLuc at concentrations of 10 ng per well, and resulted in approximately 30-45% RNAi-induced knockdown. This suggests that all the targeting dsRNAs tested are capable of inducing moderate levels of target protein knockdown at a concentration of 10 ng per 384 well. The non-targeting negative control dsRNA produced no detectable knockdown of the firefly luciferase reporter at any of the concentrations tested and, in fact, appeared to inflate FL readings resulting in FL/RL values above 1. The results of this assay suggested that dsRNA concentrations between 10 and 100 ng per well would show a rapid increase in RNAi-induced knockdown levels as dsRNA concentration increased. This window of concentrations was therefore selected for subsequent comparative dose response assays to compare the efficacy of modified dsRNA to that of unmodified dsRNA.</w:t>
      </w:r>
    </w:p>
    <w:p w:rsidR="00045427" w:rsidRDefault="00045427" w:rsidP="00045427">
      <w:pPr>
        <w:spacing w:line="360" w:lineRule="auto"/>
        <w:ind w:firstLine="284"/>
      </w:pPr>
      <w:r>
        <w:t xml:space="preserve">An assay was set up concurrently with the previous assay to determine if equal amounts of two dsRNAs each targeting two different target genes was as effective as the same total amount of a single dsRNA. i.e. would 50 ng of Stat3 dsRNA and 50 ng of Dome11 dsRNA in the same well result in the same level of RNAi-induced knockdown as 100 ng of either Stat3 or Dome11 dsRNA. The assay was setup as </w:t>
      </w:r>
      <w:r w:rsidRPr="001E1AC5">
        <w:t>previously described, for the same range of concentrations, with each combination of one STAT dsRNA (Stat3 or Stat4) and one Domeless dsRNA (Dome11 or Dome14) (see table 5.3). The results are shown in figure 5.2 d.</w:t>
      </w:r>
      <w:r>
        <w:t xml:space="preserve"> </w:t>
      </w:r>
    </w:p>
    <w:p w:rsidR="00045427" w:rsidRDefault="00045427" w:rsidP="00045427">
      <w:pPr>
        <w:spacing w:line="360" w:lineRule="auto"/>
        <w:ind w:firstLine="284"/>
      </w:pPr>
    </w:p>
    <w:p w:rsidR="00F945E3" w:rsidRPr="00F945E3" w:rsidRDefault="00F945E3" w:rsidP="00F945E3">
      <w:pPr>
        <w:pStyle w:val="Caption"/>
        <w:keepNext/>
        <w:rPr>
          <w:color w:val="auto"/>
        </w:rPr>
      </w:pPr>
      <w:bookmarkStart w:id="188" w:name="_Toc20405264"/>
      <w:r w:rsidRPr="00F945E3">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3</w:t>
      </w:r>
      <w:r w:rsidR="005C0E76">
        <w:rPr>
          <w:color w:val="auto"/>
        </w:rPr>
        <w:fldChar w:fldCharType="end"/>
      </w:r>
      <w:r w:rsidRPr="00F945E3">
        <w:rPr>
          <w:color w:val="auto"/>
        </w:rPr>
        <w:t xml:space="preserve"> dsRNAs and concentrations used in the dual luciferase assay in figure 5.2 d. FLuc and F59C6.5 data identical to figure 5.2c.</w:t>
      </w:r>
      <w:bookmarkEnd w:id="188"/>
    </w:p>
    <w:tbl>
      <w:tblPr>
        <w:tblStyle w:val="TableGrid"/>
        <w:tblW w:w="0" w:type="auto"/>
        <w:jc w:val="center"/>
        <w:tblLook w:val="04A0"/>
      </w:tblPr>
      <w:tblGrid>
        <w:gridCol w:w="1951"/>
        <w:gridCol w:w="1701"/>
        <w:gridCol w:w="2835"/>
      </w:tblGrid>
      <w:tr w:rsidR="00045427" w:rsidTr="00F945E3">
        <w:trPr>
          <w:jc w:val="center"/>
        </w:trPr>
        <w:tc>
          <w:tcPr>
            <w:tcW w:w="1951" w:type="dxa"/>
            <w:vAlign w:val="center"/>
          </w:tcPr>
          <w:p w:rsidR="00045427" w:rsidRPr="00383072" w:rsidRDefault="00045427" w:rsidP="004D046F">
            <w:pPr>
              <w:spacing w:line="360" w:lineRule="auto"/>
              <w:jc w:val="center"/>
              <w:rPr>
                <w:b/>
              </w:rPr>
            </w:pPr>
            <w:r>
              <w:rPr>
                <w:b/>
              </w:rPr>
              <w:t>dsRNA</w:t>
            </w:r>
          </w:p>
        </w:tc>
        <w:tc>
          <w:tcPr>
            <w:tcW w:w="1701" w:type="dxa"/>
            <w:vAlign w:val="center"/>
          </w:tcPr>
          <w:p w:rsidR="00045427" w:rsidRPr="00383072" w:rsidRDefault="00045427" w:rsidP="004D046F">
            <w:pPr>
              <w:spacing w:line="360" w:lineRule="auto"/>
              <w:jc w:val="center"/>
              <w:rPr>
                <w:b/>
              </w:rPr>
            </w:pPr>
            <w:r>
              <w:rPr>
                <w:b/>
              </w:rPr>
              <w:t>Modification</w:t>
            </w:r>
          </w:p>
        </w:tc>
        <w:tc>
          <w:tcPr>
            <w:tcW w:w="2835" w:type="dxa"/>
            <w:vAlign w:val="center"/>
          </w:tcPr>
          <w:p w:rsidR="00045427" w:rsidRPr="00383072" w:rsidRDefault="00045427" w:rsidP="004D046F">
            <w:pPr>
              <w:spacing w:line="360" w:lineRule="auto"/>
              <w:jc w:val="center"/>
              <w:rPr>
                <w:b/>
              </w:rPr>
            </w:pPr>
            <w:r>
              <w:rPr>
                <w:b/>
              </w:rPr>
              <w:t>Concentrations (ng)</w:t>
            </w:r>
          </w:p>
        </w:tc>
      </w:tr>
      <w:tr w:rsidR="00045427" w:rsidTr="00F945E3">
        <w:trPr>
          <w:jc w:val="center"/>
        </w:trPr>
        <w:tc>
          <w:tcPr>
            <w:tcW w:w="1951" w:type="dxa"/>
            <w:vAlign w:val="center"/>
          </w:tcPr>
          <w:p w:rsidR="00045427" w:rsidRPr="00383072" w:rsidRDefault="00045427" w:rsidP="004D046F">
            <w:pPr>
              <w:spacing w:line="360" w:lineRule="auto"/>
              <w:jc w:val="center"/>
            </w:pPr>
            <w:r w:rsidRPr="00383072">
              <w:t>Stat</w:t>
            </w:r>
            <w:r>
              <w:t>3 &amp; Dome11</w:t>
            </w:r>
          </w:p>
        </w:tc>
        <w:tc>
          <w:tcPr>
            <w:tcW w:w="1701" w:type="dxa"/>
            <w:vAlign w:val="center"/>
          </w:tcPr>
          <w:p w:rsidR="00045427" w:rsidRPr="00383072" w:rsidRDefault="00045427" w:rsidP="004D046F">
            <w:pPr>
              <w:spacing w:line="360" w:lineRule="auto"/>
              <w:jc w:val="center"/>
            </w:pPr>
            <w:r>
              <w:t>Unmodified</w:t>
            </w:r>
          </w:p>
        </w:tc>
        <w:tc>
          <w:tcPr>
            <w:tcW w:w="2835" w:type="dxa"/>
            <w:vAlign w:val="center"/>
          </w:tcPr>
          <w:p w:rsidR="00045427" w:rsidRDefault="00045427" w:rsidP="004D046F">
            <w:pPr>
              <w:spacing w:line="360" w:lineRule="auto"/>
              <w:jc w:val="center"/>
            </w:pPr>
            <w:r>
              <w:t>5 of each, 50 of each,</w:t>
            </w:r>
          </w:p>
          <w:p w:rsidR="00045427" w:rsidRPr="00383072" w:rsidRDefault="00045427" w:rsidP="004D046F">
            <w:pPr>
              <w:spacing w:line="360" w:lineRule="auto"/>
              <w:jc w:val="center"/>
            </w:pPr>
            <w:r>
              <w:t>250 of each, 500 of each</w:t>
            </w:r>
          </w:p>
        </w:tc>
      </w:tr>
      <w:tr w:rsidR="00045427" w:rsidTr="00F945E3">
        <w:trPr>
          <w:jc w:val="center"/>
        </w:trPr>
        <w:tc>
          <w:tcPr>
            <w:tcW w:w="1951" w:type="dxa"/>
            <w:vAlign w:val="center"/>
          </w:tcPr>
          <w:p w:rsidR="00045427" w:rsidRPr="00383072" w:rsidRDefault="00045427" w:rsidP="004D046F">
            <w:pPr>
              <w:spacing w:line="360" w:lineRule="auto"/>
              <w:jc w:val="center"/>
            </w:pPr>
            <w:r>
              <w:t>Stat3 &amp; Dome14</w:t>
            </w:r>
          </w:p>
        </w:tc>
        <w:tc>
          <w:tcPr>
            <w:tcW w:w="1701" w:type="dxa"/>
            <w:vAlign w:val="center"/>
          </w:tcPr>
          <w:p w:rsidR="00045427" w:rsidRPr="00383072" w:rsidRDefault="00045427" w:rsidP="004D046F">
            <w:pPr>
              <w:spacing w:line="360" w:lineRule="auto"/>
              <w:jc w:val="center"/>
            </w:pPr>
            <w:r>
              <w:t>Unmodified</w:t>
            </w:r>
          </w:p>
        </w:tc>
        <w:tc>
          <w:tcPr>
            <w:tcW w:w="2835" w:type="dxa"/>
          </w:tcPr>
          <w:p w:rsidR="00045427" w:rsidRDefault="00045427" w:rsidP="004D046F">
            <w:pPr>
              <w:jc w:val="center"/>
            </w:pPr>
            <w:r>
              <w:t>5 of each, 50 of each,</w:t>
            </w:r>
          </w:p>
          <w:p w:rsidR="00045427" w:rsidRPr="00B3450A" w:rsidRDefault="00045427" w:rsidP="004D046F">
            <w:pPr>
              <w:jc w:val="center"/>
            </w:pPr>
            <w:r>
              <w:t>250 of each, 500 of each</w:t>
            </w:r>
          </w:p>
        </w:tc>
      </w:tr>
      <w:tr w:rsidR="00045427" w:rsidTr="00F945E3">
        <w:trPr>
          <w:jc w:val="center"/>
        </w:trPr>
        <w:tc>
          <w:tcPr>
            <w:tcW w:w="1951" w:type="dxa"/>
            <w:vAlign w:val="center"/>
          </w:tcPr>
          <w:p w:rsidR="00045427" w:rsidRPr="00383072" w:rsidRDefault="00045427" w:rsidP="004D046F">
            <w:pPr>
              <w:spacing w:line="360" w:lineRule="auto"/>
              <w:jc w:val="center"/>
            </w:pPr>
            <w:r>
              <w:t>Stat4 &amp; Dome11</w:t>
            </w:r>
          </w:p>
        </w:tc>
        <w:tc>
          <w:tcPr>
            <w:tcW w:w="1701" w:type="dxa"/>
            <w:vAlign w:val="center"/>
          </w:tcPr>
          <w:p w:rsidR="00045427" w:rsidRPr="00383072" w:rsidRDefault="00045427" w:rsidP="004D046F">
            <w:pPr>
              <w:spacing w:line="360" w:lineRule="auto"/>
              <w:jc w:val="center"/>
            </w:pPr>
            <w:r>
              <w:t>Unmodified</w:t>
            </w:r>
          </w:p>
        </w:tc>
        <w:tc>
          <w:tcPr>
            <w:tcW w:w="2835" w:type="dxa"/>
          </w:tcPr>
          <w:p w:rsidR="00045427" w:rsidRDefault="00045427" w:rsidP="004D046F">
            <w:pPr>
              <w:jc w:val="center"/>
            </w:pPr>
            <w:r>
              <w:t>5 of each, 50 of each,</w:t>
            </w:r>
          </w:p>
          <w:p w:rsidR="00045427" w:rsidRPr="00B3450A" w:rsidRDefault="00045427" w:rsidP="004D046F">
            <w:pPr>
              <w:jc w:val="center"/>
            </w:pPr>
            <w:r>
              <w:t>250 of each, 500 of each</w:t>
            </w:r>
          </w:p>
        </w:tc>
      </w:tr>
      <w:tr w:rsidR="00045427" w:rsidTr="00F945E3">
        <w:trPr>
          <w:jc w:val="center"/>
        </w:trPr>
        <w:tc>
          <w:tcPr>
            <w:tcW w:w="1951" w:type="dxa"/>
            <w:vAlign w:val="center"/>
          </w:tcPr>
          <w:p w:rsidR="00045427" w:rsidRPr="00383072" w:rsidRDefault="00045427" w:rsidP="004D046F">
            <w:pPr>
              <w:spacing w:line="360" w:lineRule="auto"/>
              <w:jc w:val="center"/>
            </w:pPr>
            <w:r>
              <w:t>Stat4 &amp; Dome14</w:t>
            </w:r>
          </w:p>
        </w:tc>
        <w:tc>
          <w:tcPr>
            <w:tcW w:w="1701" w:type="dxa"/>
            <w:vAlign w:val="center"/>
          </w:tcPr>
          <w:p w:rsidR="00045427" w:rsidRPr="00383072" w:rsidRDefault="00045427" w:rsidP="004D046F">
            <w:pPr>
              <w:spacing w:line="360" w:lineRule="auto"/>
              <w:jc w:val="center"/>
            </w:pPr>
            <w:r>
              <w:t>Unmodified</w:t>
            </w:r>
          </w:p>
        </w:tc>
        <w:tc>
          <w:tcPr>
            <w:tcW w:w="2835" w:type="dxa"/>
          </w:tcPr>
          <w:p w:rsidR="00045427" w:rsidRDefault="00045427" w:rsidP="004D046F">
            <w:pPr>
              <w:jc w:val="center"/>
            </w:pPr>
            <w:r>
              <w:t>5 of each, 50 of each,</w:t>
            </w:r>
          </w:p>
          <w:p w:rsidR="00045427" w:rsidRPr="00B3450A" w:rsidRDefault="00045427" w:rsidP="004D046F">
            <w:pPr>
              <w:jc w:val="center"/>
            </w:pPr>
            <w:r>
              <w:t>250 of each, 500 of each</w:t>
            </w:r>
          </w:p>
        </w:tc>
      </w:tr>
      <w:tr w:rsidR="00045427" w:rsidTr="00F945E3">
        <w:trPr>
          <w:jc w:val="center"/>
        </w:trPr>
        <w:tc>
          <w:tcPr>
            <w:tcW w:w="1951" w:type="dxa"/>
            <w:vAlign w:val="center"/>
          </w:tcPr>
          <w:p w:rsidR="00045427" w:rsidRPr="00383072" w:rsidRDefault="00045427" w:rsidP="004D046F">
            <w:pPr>
              <w:spacing w:line="360" w:lineRule="auto"/>
              <w:jc w:val="center"/>
            </w:pPr>
            <w:r>
              <w:t>FLuc</w:t>
            </w:r>
          </w:p>
        </w:tc>
        <w:tc>
          <w:tcPr>
            <w:tcW w:w="1701" w:type="dxa"/>
            <w:vAlign w:val="center"/>
          </w:tcPr>
          <w:p w:rsidR="00045427" w:rsidRPr="00383072" w:rsidRDefault="00045427" w:rsidP="004D046F">
            <w:pPr>
              <w:spacing w:line="360" w:lineRule="auto"/>
              <w:jc w:val="center"/>
            </w:pPr>
            <w:r>
              <w:t>Unmodified</w:t>
            </w:r>
          </w:p>
        </w:tc>
        <w:tc>
          <w:tcPr>
            <w:tcW w:w="2835" w:type="dxa"/>
            <w:vAlign w:val="center"/>
          </w:tcPr>
          <w:p w:rsidR="00045427" w:rsidRPr="00383072" w:rsidRDefault="00045427" w:rsidP="004D046F">
            <w:pPr>
              <w:spacing w:line="360" w:lineRule="auto"/>
              <w:jc w:val="center"/>
            </w:pPr>
            <w:r>
              <w:t>10, 100, 500, 1,000</w:t>
            </w:r>
          </w:p>
        </w:tc>
      </w:tr>
      <w:tr w:rsidR="00045427" w:rsidTr="00F945E3">
        <w:trPr>
          <w:jc w:val="center"/>
        </w:trPr>
        <w:tc>
          <w:tcPr>
            <w:tcW w:w="1951" w:type="dxa"/>
            <w:vAlign w:val="center"/>
          </w:tcPr>
          <w:p w:rsidR="00045427" w:rsidRDefault="00045427" w:rsidP="004D046F">
            <w:pPr>
              <w:spacing w:line="360" w:lineRule="auto"/>
              <w:jc w:val="center"/>
            </w:pPr>
            <w:r>
              <w:t>F59C6.5</w:t>
            </w:r>
          </w:p>
        </w:tc>
        <w:tc>
          <w:tcPr>
            <w:tcW w:w="1701" w:type="dxa"/>
            <w:vAlign w:val="center"/>
          </w:tcPr>
          <w:p w:rsidR="00045427" w:rsidRPr="00383072" w:rsidRDefault="00045427" w:rsidP="004D046F">
            <w:pPr>
              <w:spacing w:line="360" w:lineRule="auto"/>
              <w:jc w:val="center"/>
            </w:pPr>
            <w:r>
              <w:t>Unmodified</w:t>
            </w:r>
          </w:p>
        </w:tc>
        <w:tc>
          <w:tcPr>
            <w:tcW w:w="2835" w:type="dxa"/>
            <w:vAlign w:val="center"/>
          </w:tcPr>
          <w:p w:rsidR="00045427" w:rsidRPr="00383072" w:rsidRDefault="00045427" w:rsidP="004D046F">
            <w:pPr>
              <w:spacing w:line="360" w:lineRule="auto"/>
              <w:jc w:val="center"/>
            </w:pPr>
            <w:r>
              <w:t>10, 100, 500, 1,000</w:t>
            </w:r>
          </w:p>
        </w:tc>
      </w:tr>
    </w:tbl>
    <w:p w:rsidR="00045427" w:rsidRDefault="00045427" w:rsidP="00045427">
      <w:pPr>
        <w:spacing w:line="360" w:lineRule="auto"/>
        <w:ind w:firstLine="284"/>
      </w:pPr>
    </w:p>
    <w:p w:rsidR="00045427" w:rsidRDefault="00045427" w:rsidP="00045427">
      <w:pPr>
        <w:spacing w:line="360" w:lineRule="auto"/>
        <w:ind w:firstLine="284"/>
      </w:pPr>
      <w:r>
        <w:t>Similar trends were observed for the combinations of dsRNAs as those seen for single dsRNAs. Concentrations of 500 and 1,000 ng of dsRN</w:t>
      </w:r>
      <w:r w:rsidR="005A7DD5">
        <w:t>A again resulted in 80-</w:t>
      </w:r>
      <w:r>
        <w:t xml:space="preserve">90% knockdown, with little difference between the two concentrations. 100 ng of dsRNA resulted in RNAi knockdown levels in a range of approximately 65 to 75%. For the addition of 10 ng of dsRNA, RNAi-induced knockdown was </w:t>
      </w:r>
      <w:r>
        <w:lastRenderedPageBreak/>
        <w:t>between 30% and 50%, similar to that for single dsRNAs. The results demonstrate that there was no advantage to targeting two pathway components rather than just one</w:t>
      </w:r>
      <w:r w:rsidR="005A7DD5">
        <w:t xml:space="preserve"> for this reporter system and model system</w:t>
      </w:r>
      <w:r>
        <w:t xml:space="preserve">. </w:t>
      </w:r>
    </w:p>
    <w:p w:rsidR="00045427" w:rsidRDefault="00045427" w:rsidP="00045427">
      <w:pPr>
        <w:spacing w:line="360" w:lineRule="auto"/>
        <w:ind w:firstLine="284"/>
      </w:pPr>
    </w:p>
    <w:p w:rsidR="00045427" w:rsidRPr="001E1AC5" w:rsidRDefault="00045427" w:rsidP="00045427">
      <w:pPr>
        <w:spacing w:line="360" w:lineRule="auto"/>
        <w:ind w:firstLine="284"/>
      </w:pPr>
      <w:r>
        <w:t xml:space="preserve">As the </w:t>
      </w:r>
      <w:r w:rsidRPr="001E1AC5">
        <w:t>results in figure 5.2 had shown that there was no distinct difference in level of RNAi-induced knockdown of the reporter between dsRNAs targeting endogenous or exogenous targets, further screening was confined to the exogenous firefly luciferase target for simplicity, using the FLuc dsRNA. In order to improve the ease with which assays could be carried out to screen chemically modified dsRNAs, a kit assay by Promega was used to replace the assay method used previously. This reduced the manual work load of the assay, and overcame issues with reagent degradation over time. Initial work focused on optimising the assay using FLuc unmodified dsRNA in 96 well plates, with F59C6.5 dsRNA at the highest concentration only, and wells with</w:t>
      </w:r>
      <w:r>
        <w:t xml:space="preserve"> no dsRNA as controls. Various combinations of dsRNA concentration </w:t>
      </w:r>
      <w:r w:rsidRPr="001E1AC5">
        <w:t xml:space="preserve">range, luciferase substrate dilution, incubation time and plate types were tested and the results are shown in </w:t>
      </w:r>
      <w:r w:rsidR="001E1AC5" w:rsidRPr="001E1AC5">
        <w:t>A</w:t>
      </w:r>
      <w:r w:rsidRPr="001E1AC5">
        <w:t>ppendix</w:t>
      </w:r>
      <w:r w:rsidR="001E1AC5" w:rsidRPr="001E1AC5">
        <w:t xml:space="preserve"> 1</w:t>
      </w:r>
      <w:r w:rsidRPr="001E1AC5">
        <w:t>, figure</w:t>
      </w:r>
      <w:r w:rsidR="00381546" w:rsidRPr="001E1AC5">
        <w:t xml:space="preserve"> A1.</w:t>
      </w:r>
      <w:r w:rsidRPr="001E1AC5">
        <w:t>1.</w:t>
      </w:r>
      <w:r>
        <w:t xml:space="preserve"> The </w:t>
      </w:r>
      <w:r w:rsidRPr="001E1AC5">
        <w:t xml:space="preserve">optimised method used for subsequent assays to screen chemically modified dsRNA is described in section </w:t>
      </w:r>
      <w:r w:rsidR="001E1AC5" w:rsidRPr="001E1AC5">
        <w:t>2.4.3</w:t>
      </w:r>
      <w:r w:rsidRPr="001E1AC5">
        <w:t xml:space="preserve">. </w:t>
      </w:r>
    </w:p>
    <w:p w:rsidR="00045427" w:rsidRDefault="00045427" w:rsidP="00045427">
      <w:pPr>
        <w:spacing w:line="360" w:lineRule="auto"/>
        <w:ind w:firstLine="284"/>
      </w:pPr>
    </w:p>
    <w:p w:rsidR="00045427" w:rsidRDefault="00045427" w:rsidP="00045427">
      <w:pPr>
        <w:pStyle w:val="Heading3"/>
      </w:pPr>
      <w:bookmarkStart w:id="189" w:name="_Toc17295541"/>
      <w:bookmarkStart w:id="190" w:name="_Toc35333993"/>
      <w:r w:rsidRPr="008F7158">
        <w:t>Quantitative</w:t>
      </w:r>
      <w:r>
        <w:t xml:space="preserve"> </w:t>
      </w:r>
      <w:r w:rsidRPr="008F7158">
        <w:t xml:space="preserve">comparative analysis of </w:t>
      </w:r>
      <w:r>
        <w:t>RNAi efficacy</w:t>
      </w:r>
      <w:r w:rsidRPr="008F7158">
        <w:t xml:space="preserve"> of</w:t>
      </w:r>
      <w:r>
        <w:t xml:space="preserve"> phosphorothioate (PS) dsRNA </w:t>
      </w:r>
      <w:bookmarkEnd w:id="183"/>
      <w:r>
        <w:t xml:space="preserve">in </w:t>
      </w:r>
      <w:r w:rsidRPr="00E56448">
        <w:rPr>
          <w:i/>
        </w:rPr>
        <w:t>Drosophila</w:t>
      </w:r>
      <w:r>
        <w:t xml:space="preserve"> Kc167 cells</w:t>
      </w:r>
      <w:bookmarkEnd w:id="189"/>
      <w:bookmarkEnd w:id="190"/>
    </w:p>
    <w:p w:rsidR="00045427" w:rsidRDefault="00045427" w:rsidP="00045427">
      <w:pPr>
        <w:ind w:firstLine="284"/>
      </w:pPr>
    </w:p>
    <w:p w:rsidR="00045427" w:rsidRDefault="00045427" w:rsidP="00045427">
      <w:pPr>
        <w:spacing w:line="360" w:lineRule="auto"/>
        <w:ind w:firstLine="284"/>
      </w:pPr>
      <w:r>
        <w:t xml:space="preserve">The first RNA chemical modification investigated was the </w:t>
      </w:r>
      <w:r w:rsidRPr="001E1AC5">
        <w:t xml:space="preserve">phosphorothioate modification (see figure 3.1 a). Phosphorothioate modifications are the most widely used class of chemical modifications to improve the </w:t>
      </w:r>
      <w:r w:rsidRPr="001E1AC5">
        <w:rPr>
          <w:i/>
        </w:rPr>
        <w:t>in vivo</w:t>
      </w:r>
      <w:r w:rsidRPr="001E1AC5">
        <w:t xml:space="preserve"> action of siRNA and DNA-oligonucleotide therapeutics</w:t>
      </w:r>
      <w:r>
        <w:t xml:space="preserve"> in mammalian systems </w:t>
      </w:r>
      <w:r w:rsidR="005C0E76">
        <w:fldChar w:fldCharType="begin" w:fldLock="1"/>
      </w:r>
      <w:r w:rsidR="00C57A7E">
        <w:instrText>ADDIN CSL_CITATION {"citationItems":[{"id":"ITEM-1","itemData":{"DOI":"10.1093/nar/gkx1239","ISSN":"0305-1048","author":[{"dropping-particle":"","family":"Shen","given":"Xiulong","non-dropping-particle":"","parse-names":false,"suffix":""},{"dropping-particle":"","family":"Corey","given":"David R","non-dropping-particle":"","parse-names":false,"suffix":""}],"container-title":"Nucleic Acids Research","id":"ITEM-1","issue":"4","issued":{"date-parts":[["2018","2","28"]]},"page":"1584-1600","publisher":"Oxford University Press","title":"Chemistry, mechanism and clinical status of antisense oligonucleotides and duplex RNAs","type":"article-journal","volume":"46"},"uris":["http://www.mendeley.com/documents/?uuid=6295d2c5-0f98-380e-8eb5-eb8c980ea206"]}],"mendeley":{"formattedCitation":"(Shen and Corey, 2018b)","plainTextFormattedCitation":"(Shen and Corey, 2018b)","previouslyFormattedCitation":"(Shen and Corey, 2018)"},"properties":{"noteIndex":0},"schema":"https://github.com/citation-style-language/schema/raw/master/csl-citation.json"}</w:instrText>
      </w:r>
      <w:r w:rsidR="005C0E76">
        <w:fldChar w:fldCharType="separate"/>
      </w:r>
      <w:r w:rsidR="00C57A7E" w:rsidRPr="00C57A7E">
        <w:rPr>
          <w:noProof/>
        </w:rPr>
        <w:t>(Shen and Corey, 2018b)</w:t>
      </w:r>
      <w:r w:rsidR="005C0E76">
        <w:fldChar w:fldCharType="end"/>
      </w:r>
      <w:r>
        <w:t>, and were therefore the most promising chemical modification for use in modulating RNAi in insects.</w:t>
      </w:r>
    </w:p>
    <w:p w:rsidR="00045427" w:rsidRDefault="00045427" w:rsidP="00F945E3">
      <w:pPr>
        <w:pStyle w:val="Heading4"/>
        <w:spacing w:before="200" w:after="120"/>
      </w:pPr>
      <w:bookmarkStart w:id="191" w:name="_Toc17295542"/>
      <w:bookmarkStart w:id="192" w:name="_Toc35333994"/>
      <w:r>
        <w:t xml:space="preserve">Analysis of the effects on RNAi of non-targeting phosphorothioate dsRNA in </w:t>
      </w:r>
      <w:r w:rsidRPr="00E56448">
        <w:rPr>
          <w:i/>
        </w:rPr>
        <w:t>Drosophila</w:t>
      </w:r>
      <w:r>
        <w:t xml:space="preserve"> Kc167 cells</w:t>
      </w:r>
      <w:bookmarkEnd w:id="191"/>
      <w:bookmarkEnd w:id="192"/>
    </w:p>
    <w:p w:rsidR="00045427" w:rsidRPr="001E1AC5" w:rsidRDefault="00045427" w:rsidP="00045427">
      <w:pPr>
        <w:spacing w:line="360" w:lineRule="auto"/>
        <w:ind w:firstLine="284"/>
      </w:pPr>
      <w:r>
        <w:t xml:space="preserve">Prior to investigating the effects of phosphorothioate modifications on RNAi using targeted dsRNAs, an assay was carried out using non-targeting phosphorothioate dsRNA. This assay aimed to determine that phosphorothioate dsRNA is not cytotoxic by using dsRNA F59C6.5 – a sequence targeting a </w:t>
      </w:r>
      <w:r w:rsidRPr="004E3630">
        <w:rPr>
          <w:i/>
        </w:rPr>
        <w:t>C. elegans</w:t>
      </w:r>
      <w:r>
        <w:t xml:space="preserve"> gene with low sequence similarity to any </w:t>
      </w:r>
      <w:r w:rsidRPr="001E1AC5">
        <w:rPr>
          <w:i/>
        </w:rPr>
        <w:t>Drosophila</w:t>
      </w:r>
      <w:r w:rsidRPr="001E1AC5">
        <w:t xml:space="preserve"> gene (see section 5.3.1 above) – containing phosphorothioate modifications. F59C6.5 dsRNA with one of the four nucleotides replaced throughout both strands by a phosphorothioate analogue (1PS) was synthesised, purified and analysed by the methods described in chapter 3 and section</w:t>
      </w:r>
      <w:r w:rsidR="001E1AC5" w:rsidRPr="001E1AC5">
        <w:t>s</w:t>
      </w:r>
      <w:r w:rsidRPr="001E1AC5">
        <w:t xml:space="preserve"> 2.</w:t>
      </w:r>
      <w:r w:rsidR="001E1AC5" w:rsidRPr="001E1AC5">
        <w:t>2.2-2.2.7</w:t>
      </w:r>
      <w:r>
        <w:t xml:space="preserve">. </w:t>
      </w:r>
      <w:r>
        <w:lastRenderedPageBreak/>
        <w:t xml:space="preserve">dsRNAs with phosphorothioate linkages at either A or C nucleotides were synthesised. These dsRNAs were tested in a dual luciferase assay using </w:t>
      </w:r>
      <w:r w:rsidRPr="00432255">
        <w:rPr>
          <w:i/>
        </w:rPr>
        <w:t>Drosophila</w:t>
      </w:r>
      <w:r>
        <w:t xml:space="preserve"> Kc167 cell cultures transfected with the dual luciferase assay reporter </w:t>
      </w:r>
      <w:r w:rsidRPr="001E1AC5">
        <w:t>plasmids and addition of dsRNA as previously described. Targeting unmodified FLuc dsRNA was tested in parallel, as well as unmodified non-targeting F59C6.5 dsRNA. 250 ng of each dsRNA per well was tested (see table 5.4).</w:t>
      </w:r>
    </w:p>
    <w:p w:rsidR="00045427" w:rsidRDefault="00045427" w:rsidP="00045427">
      <w:pPr>
        <w:spacing w:line="360" w:lineRule="auto"/>
        <w:ind w:firstLine="284"/>
      </w:pPr>
    </w:p>
    <w:p w:rsidR="00F945E3" w:rsidRPr="00F945E3" w:rsidRDefault="00F945E3" w:rsidP="00F945E3">
      <w:pPr>
        <w:pStyle w:val="Caption"/>
        <w:keepNext/>
        <w:rPr>
          <w:color w:val="auto"/>
        </w:rPr>
      </w:pPr>
      <w:bookmarkStart w:id="193" w:name="_Toc20405265"/>
      <w:r w:rsidRPr="00F945E3">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4</w:t>
      </w:r>
      <w:r w:rsidR="005C0E76">
        <w:rPr>
          <w:color w:val="auto"/>
        </w:rPr>
        <w:fldChar w:fldCharType="end"/>
      </w:r>
      <w:r w:rsidRPr="00F945E3">
        <w:rPr>
          <w:color w:val="auto"/>
        </w:rPr>
        <w:t xml:space="preserve"> dsRNAs and concentrations used in the dual luciferase assay in figure 5.3 a &amp; b.</w:t>
      </w:r>
      <w:bookmarkEnd w:id="193"/>
    </w:p>
    <w:tbl>
      <w:tblPr>
        <w:tblStyle w:val="TableGrid"/>
        <w:tblW w:w="0" w:type="auto"/>
        <w:jc w:val="center"/>
        <w:tblLook w:val="04A0"/>
      </w:tblPr>
      <w:tblGrid>
        <w:gridCol w:w="1242"/>
        <w:gridCol w:w="1843"/>
        <w:gridCol w:w="2552"/>
      </w:tblGrid>
      <w:tr w:rsidR="00045427" w:rsidTr="00F945E3">
        <w:trPr>
          <w:jc w:val="center"/>
        </w:trPr>
        <w:tc>
          <w:tcPr>
            <w:tcW w:w="1242" w:type="dxa"/>
            <w:vAlign w:val="center"/>
          </w:tcPr>
          <w:p w:rsidR="00045427" w:rsidRPr="00383072" w:rsidRDefault="00045427" w:rsidP="004D046F">
            <w:pPr>
              <w:spacing w:line="360" w:lineRule="auto"/>
              <w:jc w:val="center"/>
              <w:rPr>
                <w:b/>
              </w:rPr>
            </w:pPr>
            <w:r>
              <w:rPr>
                <w:b/>
              </w:rPr>
              <w:t>dsRNA</w:t>
            </w:r>
          </w:p>
        </w:tc>
        <w:tc>
          <w:tcPr>
            <w:tcW w:w="1843" w:type="dxa"/>
            <w:vAlign w:val="center"/>
          </w:tcPr>
          <w:p w:rsidR="00045427" w:rsidRPr="00383072" w:rsidRDefault="00045427" w:rsidP="004D046F">
            <w:pPr>
              <w:spacing w:line="360" w:lineRule="auto"/>
              <w:jc w:val="center"/>
              <w:rPr>
                <w:b/>
              </w:rPr>
            </w:pPr>
            <w:r>
              <w:rPr>
                <w:b/>
              </w:rPr>
              <w:t>Modification</w:t>
            </w:r>
          </w:p>
        </w:tc>
        <w:tc>
          <w:tcPr>
            <w:tcW w:w="2552" w:type="dxa"/>
            <w:vAlign w:val="center"/>
          </w:tcPr>
          <w:p w:rsidR="00045427" w:rsidRPr="00383072" w:rsidRDefault="00045427" w:rsidP="004D046F">
            <w:pPr>
              <w:spacing w:line="360" w:lineRule="auto"/>
              <w:jc w:val="center"/>
              <w:rPr>
                <w:b/>
              </w:rPr>
            </w:pPr>
            <w:r>
              <w:rPr>
                <w:b/>
              </w:rPr>
              <w:t>Concentrations (ng)</w:t>
            </w:r>
          </w:p>
        </w:tc>
      </w:tr>
      <w:tr w:rsidR="00045427" w:rsidTr="00F945E3">
        <w:trPr>
          <w:jc w:val="center"/>
        </w:trPr>
        <w:tc>
          <w:tcPr>
            <w:tcW w:w="1242" w:type="dxa"/>
            <w:vAlign w:val="center"/>
          </w:tcPr>
          <w:p w:rsidR="00045427" w:rsidRPr="00383072" w:rsidRDefault="00045427" w:rsidP="004D046F">
            <w:pPr>
              <w:spacing w:line="360" w:lineRule="auto"/>
              <w:jc w:val="center"/>
            </w:pPr>
            <w:r>
              <w:t>FLuc</w:t>
            </w:r>
          </w:p>
        </w:tc>
        <w:tc>
          <w:tcPr>
            <w:tcW w:w="1843" w:type="dxa"/>
            <w:vAlign w:val="center"/>
          </w:tcPr>
          <w:p w:rsidR="00045427" w:rsidRPr="00383072" w:rsidRDefault="00045427" w:rsidP="004D046F">
            <w:pPr>
              <w:spacing w:line="360" w:lineRule="auto"/>
              <w:jc w:val="center"/>
            </w:pPr>
            <w:r>
              <w:t>Unmodified</w:t>
            </w:r>
          </w:p>
        </w:tc>
        <w:tc>
          <w:tcPr>
            <w:tcW w:w="2552" w:type="dxa"/>
            <w:vAlign w:val="center"/>
          </w:tcPr>
          <w:p w:rsidR="00045427" w:rsidRPr="00383072" w:rsidRDefault="00045427" w:rsidP="004D046F">
            <w:pPr>
              <w:spacing w:line="360" w:lineRule="auto"/>
              <w:jc w:val="center"/>
            </w:pPr>
            <w:r>
              <w:t>250</w:t>
            </w:r>
          </w:p>
        </w:tc>
      </w:tr>
      <w:tr w:rsidR="00045427" w:rsidTr="00F945E3">
        <w:trPr>
          <w:jc w:val="center"/>
        </w:trPr>
        <w:tc>
          <w:tcPr>
            <w:tcW w:w="1242" w:type="dxa"/>
            <w:vMerge w:val="restart"/>
            <w:vAlign w:val="center"/>
          </w:tcPr>
          <w:p w:rsidR="00045427" w:rsidRPr="00383072" w:rsidRDefault="00045427" w:rsidP="004D046F">
            <w:pPr>
              <w:spacing w:line="360" w:lineRule="auto"/>
              <w:jc w:val="center"/>
            </w:pPr>
            <w:r>
              <w:t>F59C6.5</w:t>
            </w:r>
          </w:p>
        </w:tc>
        <w:tc>
          <w:tcPr>
            <w:tcW w:w="1843" w:type="dxa"/>
            <w:vAlign w:val="center"/>
          </w:tcPr>
          <w:p w:rsidR="00045427" w:rsidRPr="00383072" w:rsidRDefault="00045427" w:rsidP="004D046F">
            <w:pPr>
              <w:spacing w:line="360" w:lineRule="auto"/>
              <w:jc w:val="center"/>
            </w:pPr>
            <w:r>
              <w:t>Unmodified</w:t>
            </w:r>
          </w:p>
        </w:tc>
        <w:tc>
          <w:tcPr>
            <w:tcW w:w="2552" w:type="dxa"/>
          </w:tcPr>
          <w:p w:rsidR="00045427" w:rsidRDefault="00045427" w:rsidP="004D046F">
            <w:pPr>
              <w:jc w:val="center"/>
            </w:pPr>
            <w:r w:rsidRPr="00BD2C03">
              <w:t>250</w:t>
            </w:r>
          </w:p>
        </w:tc>
      </w:tr>
      <w:tr w:rsidR="00045427" w:rsidTr="00F945E3">
        <w:trPr>
          <w:jc w:val="center"/>
        </w:trPr>
        <w:tc>
          <w:tcPr>
            <w:tcW w:w="1242" w:type="dxa"/>
            <w:vMerge/>
          </w:tcPr>
          <w:p w:rsidR="00045427" w:rsidRDefault="00045427" w:rsidP="004D046F">
            <w:pPr>
              <w:jc w:val="center"/>
            </w:pPr>
          </w:p>
        </w:tc>
        <w:tc>
          <w:tcPr>
            <w:tcW w:w="1843" w:type="dxa"/>
            <w:vAlign w:val="center"/>
          </w:tcPr>
          <w:p w:rsidR="00045427" w:rsidRPr="00383072" w:rsidRDefault="00045427" w:rsidP="004D046F">
            <w:pPr>
              <w:spacing w:line="360" w:lineRule="auto"/>
              <w:jc w:val="center"/>
            </w:pPr>
            <w:r>
              <w:t>1PS (A)</w:t>
            </w:r>
          </w:p>
        </w:tc>
        <w:tc>
          <w:tcPr>
            <w:tcW w:w="2552" w:type="dxa"/>
          </w:tcPr>
          <w:p w:rsidR="00045427" w:rsidRDefault="00045427" w:rsidP="004D046F">
            <w:pPr>
              <w:jc w:val="center"/>
            </w:pPr>
            <w:r w:rsidRPr="00BD2C03">
              <w:t>250</w:t>
            </w:r>
          </w:p>
        </w:tc>
      </w:tr>
      <w:tr w:rsidR="00045427" w:rsidTr="00F945E3">
        <w:trPr>
          <w:jc w:val="center"/>
        </w:trPr>
        <w:tc>
          <w:tcPr>
            <w:tcW w:w="1242" w:type="dxa"/>
            <w:vMerge/>
          </w:tcPr>
          <w:p w:rsidR="00045427" w:rsidRDefault="00045427" w:rsidP="004D046F">
            <w:pPr>
              <w:jc w:val="center"/>
            </w:pPr>
          </w:p>
        </w:tc>
        <w:tc>
          <w:tcPr>
            <w:tcW w:w="1843" w:type="dxa"/>
            <w:vAlign w:val="center"/>
          </w:tcPr>
          <w:p w:rsidR="00045427" w:rsidRPr="00383072" w:rsidRDefault="00045427" w:rsidP="004D046F">
            <w:pPr>
              <w:spacing w:line="360" w:lineRule="auto"/>
              <w:jc w:val="center"/>
            </w:pPr>
            <w:r>
              <w:t>1PS (C)</w:t>
            </w:r>
          </w:p>
        </w:tc>
        <w:tc>
          <w:tcPr>
            <w:tcW w:w="2552" w:type="dxa"/>
          </w:tcPr>
          <w:p w:rsidR="00045427" w:rsidRDefault="00045427" w:rsidP="004D046F">
            <w:pPr>
              <w:jc w:val="center"/>
            </w:pPr>
            <w:r w:rsidRPr="00BD2C03">
              <w:t>250</w:t>
            </w:r>
          </w:p>
        </w:tc>
      </w:tr>
    </w:tbl>
    <w:p w:rsidR="00045427" w:rsidRDefault="00045427" w:rsidP="00045427">
      <w:pPr>
        <w:spacing w:line="360" w:lineRule="auto"/>
        <w:ind w:firstLine="284"/>
      </w:pPr>
    </w:p>
    <w:p w:rsidR="00045427" w:rsidRPr="001E1AC5" w:rsidRDefault="00045427" w:rsidP="00045427">
      <w:pPr>
        <w:spacing w:line="360" w:lineRule="auto"/>
        <w:ind w:firstLine="284"/>
      </w:pPr>
      <w:r>
        <w:t xml:space="preserve">The results of this assay are </w:t>
      </w:r>
      <w:r w:rsidRPr="001E1AC5">
        <w:t xml:space="preserve">shown in figure 5.3 a. The unmodified dsRNA F59C6.5 did not result in knockdown of the firefly luciferase reporter and none of the tested phosphorothioate dsRNAs demonstrated a statistically significant difference from the unmodified dsRNA. The targeting FLuc dsRNA did result in robust RNAi knockdown of the luciferase reporter. </w:t>
      </w:r>
    </w:p>
    <w:p w:rsidR="00045427" w:rsidRDefault="00045427" w:rsidP="00045427">
      <w:pPr>
        <w:spacing w:line="360" w:lineRule="auto"/>
        <w:ind w:firstLine="284"/>
      </w:pPr>
      <w:r w:rsidRPr="001E1AC5">
        <w:t>A cytotoxic dsRNA could result in both FL and RL values</w:t>
      </w:r>
      <w:r>
        <w:t xml:space="preserve"> being reduced for a cell culture, thus resulting in no obvious change in FL/RL values. RL values are a measure of cell number, reporter transfection efficiency, and general cell culture health. Cells from a single transfected culture divided between separate wells containing a targeting and non-targeting dsRNA should produce similar RL values at the end of the assay, provided the wells have all been subjected to the same conditions (temperature etc.) during the course of the assay. RL values should also be unaffected provided none of the dsRNAs are cytotoxic, and the gene product knocked down does not affect cell metabolism, growth, or division. The presence of a cytotoxic dsRNA can be detected by a reduction in RL values for wells containing the dsRNA. </w:t>
      </w:r>
    </w:p>
    <w:p w:rsidR="00F945E3" w:rsidRDefault="00045427" w:rsidP="00045427">
      <w:pPr>
        <w:spacing w:line="360" w:lineRule="auto"/>
        <w:ind w:firstLine="284"/>
      </w:pPr>
      <w:r w:rsidRPr="0038109F">
        <w:t>In order to determine if this was the case, the RL values of the phosphorothioate and unmodified F59C6.5 dsRNAs were compared, along with those of the unmodified FLuc targeting dsRNA (see figure 5.3 b). RL</w:t>
      </w:r>
      <w:r>
        <w:t xml:space="preserve"> values between all the dsRNA conditions tested were similar and show</w:t>
      </w:r>
      <w:r w:rsidR="005A7DD5">
        <w:t>ed</w:t>
      </w:r>
      <w:r>
        <w:t xml:space="preserve"> no statistically significant difference. Unmodified targeting dsRNA, unmodified non-targeting dsRNA, and phosphorothioate non-targeting dsRNA all demonstrated some replicates with outlying RL values, though the majority of replicate normalised RL values clustered around the value of 1.0. This indicates that phosphorothioate modifications in dsRNA do not have a significant cytotoxic effect. This result</w:t>
      </w:r>
      <w:r w:rsidR="00F945E3">
        <w:t>,</w:t>
      </w:r>
      <w:r>
        <w:t xml:space="preserve"> in conjunction with the absence of any detectable RNAi-induced knockdown of the firefly</w:t>
      </w:r>
    </w:p>
    <w:p w:rsidR="00F945E3" w:rsidRDefault="00F945E3" w:rsidP="00F945E3">
      <w:pPr>
        <w:keepNext/>
        <w:spacing w:after="200"/>
        <w:jc w:val="center"/>
      </w:pPr>
      <w:r w:rsidRPr="00F945E3">
        <w:rPr>
          <w:noProof/>
          <w:lang w:eastAsia="en-GB"/>
        </w:rPr>
        <w:lastRenderedPageBreak/>
        <w:drawing>
          <wp:inline distT="0" distB="0" distL="0" distR="0">
            <wp:extent cx="5638800" cy="6665798"/>
            <wp:effectExtent l="0" t="0" r="0" b="0"/>
            <wp:docPr id="46" name="Object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28592" cy="6300700"/>
                      <a:chOff x="548680" y="740532"/>
                      <a:chExt cx="5328592" cy="6300700"/>
                    </a:xfrm>
                  </a:grpSpPr>
                  <a:pic>
                    <a:nvPicPr>
                      <a:cNvPr id="2054" name="Picture 6"/>
                      <a:cNvPicPr>
                        <a:picLocks noChangeAspect="1" noChangeArrowheads="1"/>
                      </a:cNvPicPr>
                    </a:nvPicPr>
                    <a:blipFill>
                      <a:blip r:embed="rId44"/>
                      <a:srcRect/>
                      <a:stretch>
                        <a:fillRect/>
                      </a:stretch>
                    </a:blipFill>
                    <a:spPr bwMode="auto">
                      <a:xfrm>
                        <a:off x="764704" y="1028564"/>
                        <a:ext cx="2545080" cy="3002280"/>
                      </a:xfrm>
                      <a:prstGeom prst="rect">
                        <a:avLst/>
                      </a:prstGeom>
                      <a:noFill/>
                      <a:ln w="9525">
                        <a:noFill/>
                        <a:miter lim="800000"/>
                        <a:headEnd/>
                        <a:tailEnd/>
                      </a:ln>
                    </a:spPr>
                  </a:pic>
                  <a:pic>
                    <a:nvPicPr>
                      <a:cNvPr id="2056" name="Picture 8"/>
                      <a:cNvPicPr>
                        <a:picLocks noChangeAspect="1" noChangeArrowheads="1"/>
                      </a:cNvPicPr>
                    </a:nvPicPr>
                    <a:blipFill>
                      <a:blip r:embed="rId45"/>
                      <a:srcRect/>
                      <a:stretch>
                        <a:fillRect/>
                      </a:stretch>
                    </a:blipFill>
                    <a:spPr bwMode="auto">
                      <a:xfrm>
                        <a:off x="2177588" y="4133440"/>
                        <a:ext cx="2511552" cy="2907792"/>
                      </a:xfrm>
                      <a:prstGeom prst="rect">
                        <a:avLst/>
                      </a:prstGeom>
                      <a:noFill/>
                      <a:ln w="9525">
                        <a:noFill/>
                        <a:miter lim="800000"/>
                        <a:headEnd/>
                        <a:tailEnd/>
                      </a:ln>
                    </a:spPr>
                  </a:pic>
                  <a:pic>
                    <a:nvPicPr>
                      <a:cNvPr id="2057" name="Picture 9"/>
                      <a:cNvPicPr>
                        <a:picLocks noChangeAspect="1" noChangeArrowheads="1"/>
                      </a:cNvPicPr>
                    </a:nvPicPr>
                    <a:blipFill>
                      <a:blip r:embed="rId46"/>
                      <a:srcRect/>
                      <a:stretch>
                        <a:fillRect/>
                      </a:stretch>
                    </a:blipFill>
                    <a:spPr bwMode="auto">
                      <a:xfrm>
                        <a:off x="3332192" y="1102436"/>
                        <a:ext cx="2545080" cy="2950464"/>
                      </a:xfrm>
                      <a:prstGeom prst="rect">
                        <a:avLst/>
                      </a:prstGeom>
                      <a:noFill/>
                      <a:ln w="9525">
                        <a:noFill/>
                        <a:miter lim="800000"/>
                        <a:headEnd/>
                        <a:tailEnd/>
                      </a:ln>
                    </a:spPr>
                  </a:pic>
                  <a:sp>
                    <a:nvSpPr>
                      <a:cNvPr id="17" name="TextBox 16"/>
                      <a:cNvSpPr txBox="1"/>
                    </a:nvSpPr>
                    <a:spPr>
                      <a:xfrm>
                        <a:off x="548680" y="740532"/>
                        <a:ext cx="349776" cy="492443"/>
                      </a:xfrm>
                      <a:prstGeom prst="rect">
                        <a:avLst/>
                      </a:prstGeom>
                      <a:noFill/>
                    </a:spPr>
                    <a:txSp>
                      <a:txBody>
                        <a:bodyPr wrap="non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8" name="TextBox 17"/>
                      <a:cNvSpPr txBox="1"/>
                    </a:nvSpPr>
                    <a:spPr>
                      <a:xfrm>
                        <a:off x="3257364" y="740532"/>
                        <a:ext cx="315652"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9" name="TextBox 18"/>
                      <a:cNvSpPr txBox="1"/>
                    </a:nvSpPr>
                    <a:spPr>
                      <a:xfrm>
                        <a:off x="1952836" y="3848489"/>
                        <a:ext cx="324128" cy="492443"/>
                      </a:xfrm>
                      <a:prstGeom prst="rect">
                        <a:avLst/>
                      </a:prstGeom>
                      <a:noFill/>
                    </a:spPr>
                    <a:txSp>
                      <a:txBody>
                        <a:bodyPr wrap="non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p>
    <w:p w:rsidR="006973D5" w:rsidRDefault="00F945E3" w:rsidP="00F945E3">
      <w:pPr>
        <w:pStyle w:val="Caption"/>
        <w:spacing w:after="120"/>
        <w:rPr>
          <w:color w:val="auto"/>
        </w:rPr>
      </w:pPr>
      <w:bookmarkStart w:id="194" w:name="_Toc20411653"/>
      <w:r w:rsidRPr="00F945E3">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3</w:t>
      </w:r>
      <w:r w:rsidR="005C0E76">
        <w:rPr>
          <w:color w:val="auto"/>
        </w:rPr>
        <w:fldChar w:fldCharType="end"/>
      </w:r>
      <w:r w:rsidRPr="00F945E3">
        <w:rPr>
          <w:color w:val="auto"/>
        </w:rPr>
        <w:t xml:space="preserve"> </w:t>
      </w:r>
      <w:r w:rsidRPr="00F945E3">
        <w:rPr>
          <w:i/>
          <w:iCs/>
          <w:color w:val="auto"/>
        </w:rPr>
        <w:t xml:space="preserve">In vitro </w:t>
      </w:r>
      <w:r w:rsidRPr="00F945E3">
        <w:rPr>
          <w:color w:val="auto"/>
        </w:rPr>
        <w:t>analysis of the effects of phosphorothioate dsRNA modifications on RNAi in insect cells.</w:t>
      </w:r>
      <w:bookmarkEnd w:id="194"/>
      <w:r w:rsidRPr="00F945E3">
        <w:rPr>
          <w:color w:val="auto"/>
        </w:rPr>
        <w:t xml:space="preserve"> </w:t>
      </w:r>
    </w:p>
    <w:p w:rsidR="00F945E3" w:rsidRPr="00F945E3" w:rsidRDefault="00F945E3" w:rsidP="00F945E3">
      <w:pPr>
        <w:pStyle w:val="Caption"/>
        <w:spacing w:after="120"/>
        <w:rPr>
          <w:b w:val="0"/>
          <w:color w:val="auto"/>
        </w:rPr>
      </w:pPr>
      <w:r w:rsidRPr="00F945E3">
        <w:rPr>
          <w:b w:val="0"/>
          <w:color w:val="auto"/>
        </w:rPr>
        <w:t xml:space="preserve">Luciferase assay results for phosphorothioate (PS) and unmodified (Unmod) FLuc and F59C6.5 dsRNA. RNAi knockdown of a firefly luciferase reporter by FLuc dsRNA, is presented as ratios of firefly luciferase luminescence intensity (FL) to </w:t>
      </w:r>
      <w:r w:rsidRPr="00F945E3">
        <w:rPr>
          <w:b w:val="0"/>
          <w:i/>
          <w:iCs/>
          <w:color w:val="auto"/>
        </w:rPr>
        <w:t>Renilla</w:t>
      </w:r>
      <w:r w:rsidRPr="00F945E3">
        <w:rPr>
          <w:b w:val="0"/>
          <w:color w:val="auto"/>
        </w:rPr>
        <w:t xml:space="preserve"> luciferase luminescence intensity (RL) normalised against FL/RL values for control conditions with no dsRNA. (a) Bar graph of luciferase assay results for RNAi knockdown of firefly luciferase by unmodified targeting and non-targeting control F59C6.5 dsRNA, and 1PS modified non-targeting control F59C6.5 dsRNA in </w:t>
      </w:r>
      <w:r w:rsidRPr="00F945E3">
        <w:rPr>
          <w:b w:val="0"/>
          <w:i/>
          <w:iCs/>
          <w:color w:val="auto"/>
        </w:rPr>
        <w:t>Drosophila</w:t>
      </w:r>
      <w:r w:rsidRPr="00F945E3">
        <w:rPr>
          <w:b w:val="0"/>
          <w:color w:val="auto"/>
        </w:rPr>
        <w:t xml:space="preserve"> Kc167 cells.  (b) Graph of normalised RL values for unmodified targeting dsRNA, and unmodified and 1PS non-targeting dsRNA – all relationships are non-significant. (c) Bar graph of luciferase assay results for RNAi knockdown of firefly luciferase by unmodified targeting and non-targeting control F59C6.5 dsRNA, and 1PS modified targeting FLuc dsRNA in </w:t>
      </w:r>
      <w:r w:rsidRPr="00F945E3">
        <w:rPr>
          <w:b w:val="0"/>
          <w:i/>
          <w:iCs/>
          <w:color w:val="auto"/>
        </w:rPr>
        <w:t>Drosophila</w:t>
      </w:r>
      <w:r w:rsidRPr="00F945E3">
        <w:rPr>
          <w:b w:val="0"/>
          <w:color w:val="auto"/>
        </w:rPr>
        <w:t xml:space="preserve"> Kc167 cells. </w:t>
      </w:r>
    </w:p>
    <w:p w:rsidR="00F945E3" w:rsidRPr="00F945E3" w:rsidRDefault="00F945E3" w:rsidP="00F945E3">
      <w:pPr>
        <w:pStyle w:val="Caption"/>
        <w:rPr>
          <w:b w:val="0"/>
          <w:color w:val="auto"/>
        </w:rPr>
      </w:pPr>
      <w:r w:rsidRPr="00F945E3">
        <w:rPr>
          <w:b w:val="0"/>
          <w:color w:val="auto"/>
        </w:rPr>
        <w:t xml:space="preserve">In all graphs, mean and SEM are plotted (n=8), and 250 ng of dsRNA used per replicate.  Stars denote significance as calculated by unpaired T-tests. ns = P &gt; 0.05, *  = P ≤ 0.05, ** = P ≤ 0.01, *** = P ≤ 0.001, **** = P ≤ 0.0001. </w:t>
      </w:r>
    </w:p>
    <w:p w:rsidR="00F945E3" w:rsidRDefault="00F945E3" w:rsidP="00F945E3">
      <w:pPr>
        <w:pStyle w:val="Caption"/>
        <w:jc w:val="left"/>
      </w:pPr>
    </w:p>
    <w:p w:rsidR="00045427" w:rsidRDefault="00045427" w:rsidP="00F945E3">
      <w:pPr>
        <w:spacing w:line="360" w:lineRule="auto"/>
      </w:pPr>
      <w:r>
        <w:lastRenderedPageBreak/>
        <w:t xml:space="preserve">luciferase reporter by F59C6.5 phosphorothioate </w:t>
      </w:r>
      <w:r w:rsidRPr="0038109F">
        <w:t>dsRNA (figure 5.3 a), suggests</w:t>
      </w:r>
      <w:r>
        <w:t xml:space="preserve"> that any RNAi-induced knockdown effect detected by the reporter system for targeting phosphorothioate dsRNAs is due to genuine RNAi-induced knockdown and not an artefact of a cytotoxic effect. </w:t>
      </w:r>
    </w:p>
    <w:p w:rsidR="00045427" w:rsidRDefault="00045427" w:rsidP="00045427">
      <w:pPr>
        <w:spacing w:line="360" w:lineRule="auto"/>
        <w:ind w:firstLine="284"/>
      </w:pPr>
    </w:p>
    <w:p w:rsidR="00045427" w:rsidRDefault="00045427" w:rsidP="00F945E3">
      <w:pPr>
        <w:pStyle w:val="Heading4"/>
        <w:spacing w:before="200" w:after="120"/>
      </w:pPr>
      <w:bookmarkStart w:id="195" w:name="_Toc17295543"/>
      <w:bookmarkStart w:id="196" w:name="_Toc35333995"/>
      <w:r>
        <w:t xml:space="preserve">Analysis of the effect on RNAi of targeting phosphorothioate dsRNA in </w:t>
      </w:r>
      <w:r w:rsidRPr="00E56448">
        <w:rPr>
          <w:i/>
        </w:rPr>
        <w:t>Drosophila</w:t>
      </w:r>
      <w:r>
        <w:t xml:space="preserve"> Kc167 cells</w:t>
      </w:r>
      <w:bookmarkEnd w:id="195"/>
      <w:bookmarkEnd w:id="196"/>
    </w:p>
    <w:p w:rsidR="00045427" w:rsidRDefault="00045427" w:rsidP="00045427">
      <w:pPr>
        <w:spacing w:line="360" w:lineRule="auto"/>
        <w:ind w:firstLine="284"/>
      </w:pPr>
      <w:r>
        <w:t>Testing of targeting phosphorothioate dsRNA began by determining if phosphorothioate dsRNA was capable of inducing RNAi in insect cells, and if there was any difference in the degree of effect depending on which nucleotides were replaced by phosphorothioate analogues.</w:t>
      </w:r>
    </w:p>
    <w:p w:rsidR="00045427" w:rsidRPr="001E1AC5" w:rsidRDefault="00045427" w:rsidP="00045427">
      <w:pPr>
        <w:spacing w:line="360" w:lineRule="auto"/>
        <w:ind w:firstLine="284"/>
      </w:pPr>
      <w:r w:rsidRPr="00B44876">
        <w:t>To study the effects of phosphorothioate modifications of long dsRNA</w:t>
      </w:r>
      <w:r>
        <w:t xml:space="preserve"> on RNAi</w:t>
      </w:r>
      <w:r w:rsidRPr="00B44876">
        <w:t xml:space="preserve"> in </w:t>
      </w:r>
      <w:r w:rsidRPr="00B44876">
        <w:rPr>
          <w:i/>
        </w:rPr>
        <w:t>Drosophila</w:t>
      </w:r>
      <w:r w:rsidRPr="00B44876">
        <w:t xml:space="preserve"> Kc167 cells</w:t>
      </w:r>
      <w:r>
        <w:t xml:space="preserve">, an assay was set up to test a range of phosphorothioate-containing dsRNAs for RNAi efficacy. Four dsRNAs, each one with one of the four nucleotides replaced throughout by the corresponding </w:t>
      </w:r>
      <w:r w:rsidRPr="001E1AC5">
        <w:t>phosphorothioate analogue (1PS), were synthesised alongside the unmodified dsRNA for both the endogenous target Dome11 dsRNA and the exogenous target FLuc dsRNA (see table 5.5). 250 ng of each dsRNA was incubated with cells transfected with the luciferase assay reporter plasmids for 4 days, prior to lysis and addition of the luciferase assay reagents as described in section 2.</w:t>
      </w:r>
      <w:r w:rsidR="001E1AC5" w:rsidRPr="001E1AC5">
        <w:t>4.3</w:t>
      </w:r>
      <w:r w:rsidRPr="001E1AC5">
        <w:t>.</w:t>
      </w:r>
    </w:p>
    <w:p w:rsidR="00045427" w:rsidRDefault="00045427" w:rsidP="00045427">
      <w:pPr>
        <w:spacing w:line="360" w:lineRule="auto"/>
        <w:ind w:firstLine="284"/>
      </w:pPr>
    </w:p>
    <w:p w:rsidR="002A5E17" w:rsidRPr="002A5E17" w:rsidRDefault="002A5E17" w:rsidP="002A5E17">
      <w:pPr>
        <w:pStyle w:val="Caption"/>
        <w:keepNext/>
        <w:rPr>
          <w:color w:val="auto"/>
        </w:rPr>
      </w:pPr>
      <w:bookmarkStart w:id="197" w:name="_Toc20405266"/>
      <w:r w:rsidRPr="002A5E17">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5</w:t>
      </w:r>
      <w:r w:rsidR="005C0E76">
        <w:rPr>
          <w:color w:val="auto"/>
        </w:rPr>
        <w:fldChar w:fldCharType="end"/>
      </w:r>
      <w:r w:rsidRPr="002A5E17">
        <w:rPr>
          <w:color w:val="auto"/>
        </w:rPr>
        <w:t xml:space="preserve"> dsRNAs and concentrations used in the dual luciferase assay in figure 5.3 c.</w:t>
      </w:r>
      <w:bookmarkEnd w:id="197"/>
    </w:p>
    <w:tbl>
      <w:tblPr>
        <w:tblStyle w:val="TableGrid"/>
        <w:tblW w:w="0" w:type="auto"/>
        <w:jc w:val="center"/>
        <w:tblLook w:val="04A0"/>
      </w:tblPr>
      <w:tblGrid>
        <w:gridCol w:w="1101"/>
        <w:gridCol w:w="1842"/>
        <w:gridCol w:w="2127"/>
      </w:tblGrid>
      <w:tr w:rsidR="00045427" w:rsidTr="002A5E17">
        <w:trPr>
          <w:jc w:val="center"/>
        </w:trPr>
        <w:tc>
          <w:tcPr>
            <w:tcW w:w="1101" w:type="dxa"/>
            <w:vAlign w:val="center"/>
          </w:tcPr>
          <w:p w:rsidR="00045427" w:rsidRPr="00383072" w:rsidRDefault="00045427" w:rsidP="004D046F">
            <w:pPr>
              <w:spacing w:line="360" w:lineRule="auto"/>
              <w:jc w:val="center"/>
              <w:rPr>
                <w:b/>
              </w:rPr>
            </w:pPr>
            <w:r>
              <w:rPr>
                <w:b/>
              </w:rPr>
              <w:t>dsRNA</w:t>
            </w:r>
          </w:p>
        </w:tc>
        <w:tc>
          <w:tcPr>
            <w:tcW w:w="1842" w:type="dxa"/>
            <w:vAlign w:val="center"/>
          </w:tcPr>
          <w:p w:rsidR="00045427" w:rsidRPr="00383072" w:rsidRDefault="00045427" w:rsidP="004D046F">
            <w:pPr>
              <w:spacing w:line="360" w:lineRule="auto"/>
              <w:jc w:val="center"/>
              <w:rPr>
                <w:b/>
              </w:rPr>
            </w:pPr>
            <w:r>
              <w:rPr>
                <w:b/>
              </w:rPr>
              <w:t>Modification</w:t>
            </w:r>
          </w:p>
        </w:tc>
        <w:tc>
          <w:tcPr>
            <w:tcW w:w="2127" w:type="dxa"/>
            <w:vAlign w:val="center"/>
          </w:tcPr>
          <w:p w:rsidR="00045427" w:rsidRPr="00383072" w:rsidRDefault="00045427" w:rsidP="004D046F">
            <w:pPr>
              <w:spacing w:line="360" w:lineRule="auto"/>
              <w:jc w:val="center"/>
              <w:rPr>
                <w:b/>
              </w:rPr>
            </w:pPr>
            <w:r>
              <w:rPr>
                <w:b/>
              </w:rPr>
              <w:t>Concentrations (ng)</w:t>
            </w:r>
          </w:p>
        </w:tc>
      </w:tr>
      <w:tr w:rsidR="00045427" w:rsidTr="002A5E17">
        <w:trPr>
          <w:jc w:val="center"/>
        </w:trPr>
        <w:tc>
          <w:tcPr>
            <w:tcW w:w="1101" w:type="dxa"/>
            <w:vMerge w:val="restart"/>
            <w:vAlign w:val="center"/>
          </w:tcPr>
          <w:p w:rsidR="00045427" w:rsidRPr="00383072" w:rsidRDefault="00045427" w:rsidP="004D046F">
            <w:pPr>
              <w:spacing w:line="360" w:lineRule="auto"/>
              <w:jc w:val="center"/>
            </w:pPr>
            <w:r>
              <w:t>FLuc</w:t>
            </w:r>
          </w:p>
        </w:tc>
        <w:tc>
          <w:tcPr>
            <w:tcW w:w="1842" w:type="dxa"/>
            <w:vAlign w:val="center"/>
          </w:tcPr>
          <w:p w:rsidR="00045427" w:rsidRPr="00383072" w:rsidRDefault="00045427" w:rsidP="004D046F">
            <w:pPr>
              <w:spacing w:line="360" w:lineRule="auto"/>
              <w:jc w:val="center"/>
            </w:pPr>
            <w:r>
              <w:t>Unmodified</w:t>
            </w:r>
          </w:p>
        </w:tc>
        <w:tc>
          <w:tcPr>
            <w:tcW w:w="2127" w:type="dxa"/>
            <w:vAlign w:val="center"/>
          </w:tcPr>
          <w:p w:rsidR="00045427" w:rsidRPr="00383072" w:rsidRDefault="00045427" w:rsidP="004D046F">
            <w:pPr>
              <w:spacing w:line="360" w:lineRule="auto"/>
              <w:jc w:val="center"/>
            </w:pPr>
            <w:r>
              <w:t>250</w:t>
            </w:r>
          </w:p>
        </w:tc>
      </w:tr>
      <w:tr w:rsidR="00045427" w:rsidTr="002A5E17">
        <w:trPr>
          <w:jc w:val="center"/>
        </w:trPr>
        <w:tc>
          <w:tcPr>
            <w:tcW w:w="1101" w:type="dxa"/>
            <w:vMerge/>
            <w:vAlign w:val="center"/>
          </w:tcPr>
          <w:p w:rsidR="00045427" w:rsidRDefault="00045427" w:rsidP="004D046F">
            <w:pPr>
              <w:spacing w:line="360" w:lineRule="auto"/>
              <w:jc w:val="center"/>
            </w:pPr>
          </w:p>
        </w:tc>
        <w:tc>
          <w:tcPr>
            <w:tcW w:w="1842" w:type="dxa"/>
            <w:vAlign w:val="center"/>
          </w:tcPr>
          <w:p w:rsidR="00045427" w:rsidRDefault="00045427" w:rsidP="004D046F">
            <w:pPr>
              <w:spacing w:line="360" w:lineRule="auto"/>
              <w:jc w:val="center"/>
            </w:pPr>
            <w:r>
              <w:t>1PS (A)</w:t>
            </w:r>
          </w:p>
        </w:tc>
        <w:tc>
          <w:tcPr>
            <w:tcW w:w="2127" w:type="dxa"/>
            <w:vAlign w:val="center"/>
          </w:tcPr>
          <w:p w:rsidR="00045427" w:rsidRDefault="00045427" w:rsidP="004D046F">
            <w:pPr>
              <w:spacing w:line="360" w:lineRule="auto"/>
              <w:jc w:val="center"/>
            </w:pPr>
            <w:r>
              <w:t>250</w:t>
            </w:r>
          </w:p>
        </w:tc>
      </w:tr>
      <w:tr w:rsidR="00045427" w:rsidTr="002A5E17">
        <w:trPr>
          <w:jc w:val="center"/>
        </w:trPr>
        <w:tc>
          <w:tcPr>
            <w:tcW w:w="1101" w:type="dxa"/>
            <w:vMerge/>
            <w:vAlign w:val="center"/>
          </w:tcPr>
          <w:p w:rsidR="00045427" w:rsidRDefault="00045427" w:rsidP="004D046F">
            <w:pPr>
              <w:spacing w:line="360" w:lineRule="auto"/>
              <w:jc w:val="center"/>
            </w:pPr>
          </w:p>
        </w:tc>
        <w:tc>
          <w:tcPr>
            <w:tcW w:w="1842" w:type="dxa"/>
            <w:vAlign w:val="center"/>
          </w:tcPr>
          <w:p w:rsidR="00045427" w:rsidRDefault="00045427" w:rsidP="004D046F">
            <w:pPr>
              <w:spacing w:line="360" w:lineRule="auto"/>
              <w:jc w:val="center"/>
            </w:pPr>
            <w:r>
              <w:t>1PS (C)</w:t>
            </w:r>
          </w:p>
        </w:tc>
        <w:tc>
          <w:tcPr>
            <w:tcW w:w="2127" w:type="dxa"/>
            <w:vAlign w:val="center"/>
          </w:tcPr>
          <w:p w:rsidR="00045427" w:rsidRDefault="00045427" w:rsidP="004D046F">
            <w:pPr>
              <w:spacing w:line="360" w:lineRule="auto"/>
              <w:jc w:val="center"/>
            </w:pPr>
            <w:r>
              <w:t>250</w:t>
            </w:r>
          </w:p>
        </w:tc>
      </w:tr>
      <w:tr w:rsidR="00045427" w:rsidTr="002A5E17">
        <w:trPr>
          <w:jc w:val="center"/>
        </w:trPr>
        <w:tc>
          <w:tcPr>
            <w:tcW w:w="1101" w:type="dxa"/>
            <w:vMerge/>
            <w:vAlign w:val="center"/>
          </w:tcPr>
          <w:p w:rsidR="00045427" w:rsidRDefault="00045427" w:rsidP="004D046F">
            <w:pPr>
              <w:spacing w:line="360" w:lineRule="auto"/>
              <w:jc w:val="center"/>
            </w:pPr>
          </w:p>
        </w:tc>
        <w:tc>
          <w:tcPr>
            <w:tcW w:w="1842" w:type="dxa"/>
            <w:vAlign w:val="center"/>
          </w:tcPr>
          <w:p w:rsidR="00045427" w:rsidRDefault="00045427" w:rsidP="004D046F">
            <w:pPr>
              <w:spacing w:line="360" w:lineRule="auto"/>
              <w:jc w:val="center"/>
            </w:pPr>
            <w:r>
              <w:t>1PS (G)</w:t>
            </w:r>
          </w:p>
        </w:tc>
        <w:tc>
          <w:tcPr>
            <w:tcW w:w="2127" w:type="dxa"/>
            <w:vAlign w:val="center"/>
          </w:tcPr>
          <w:p w:rsidR="00045427" w:rsidRDefault="00045427" w:rsidP="004D046F">
            <w:pPr>
              <w:spacing w:line="360" w:lineRule="auto"/>
              <w:jc w:val="center"/>
            </w:pPr>
            <w:r>
              <w:t>250</w:t>
            </w:r>
          </w:p>
        </w:tc>
      </w:tr>
      <w:tr w:rsidR="00045427" w:rsidTr="002A5E17">
        <w:trPr>
          <w:jc w:val="center"/>
        </w:trPr>
        <w:tc>
          <w:tcPr>
            <w:tcW w:w="1101" w:type="dxa"/>
            <w:vMerge/>
            <w:vAlign w:val="center"/>
          </w:tcPr>
          <w:p w:rsidR="00045427" w:rsidRDefault="00045427" w:rsidP="004D046F">
            <w:pPr>
              <w:spacing w:line="360" w:lineRule="auto"/>
              <w:jc w:val="center"/>
            </w:pPr>
          </w:p>
        </w:tc>
        <w:tc>
          <w:tcPr>
            <w:tcW w:w="1842" w:type="dxa"/>
            <w:vAlign w:val="center"/>
          </w:tcPr>
          <w:p w:rsidR="00045427" w:rsidRDefault="00045427" w:rsidP="004D046F">
            <w:pPr>
              <w:spacing w:line="360" w:lineRule="auto"/>
              <w:jc w:val="center"/>
            </w:pPr>
            <w:r>
              <w:t>1PS (U)</w:t>
            </w:r>
          </w:p>
        </w:tc>
        <w:tc>
          <w:tcPr>
            <w:tcW w:w="2127" w:type="dxa"/>
            <w:vAlign w:val="center"/>
          </w:tcPr>
          <w:p w:rsidR="00045427" w:rsidRDefault="00045427" w:rsidP="004D046F">
            <w:pPr>
              <w:spacing w:line="360" w:lineRule="auto"/>
              <w:jc w:val="center"/>
            </w:pPr>
            <w:r>
              <w:t>250</w:t>
            </w:r>
          </w:p>
        </w:tc>
      </w:tr>
      <w:tr w:rsidR="00045427" w:rsidTr="002A5E17">
        <w:trPr>
          <w:jc w:val="center"/>
        </w:trPr>
        <w:tc>
          <w:tcPr>
            <w:tcW w:w="1101" w:type="dxa"/>
            <w:vAlign w:val="center"/>
          </w:tcPr>
          <w:p w:rsidR="00045427" w:rsidRPr="00383072" w:rsidRDefault="00045427" w:rsidP="004D046F">
            <w:pPr>
              <w:spacing w:line="360" w:lineRule="auto"/>
              <w:jc w:val="center"/>
            </w:pPr>
            <w:r>
              <w:t>F59C6.5</w:t>
            </w:r>
          </w:p>
        </w:tc>
        <w:tc>
          <w:tcPr>
            <w:tcW w:w="1842" w:type="dxa"/>
            <w:vAlign w:val="center"/>
          </w:tcPr>
          <w:p w:rsidR="00045427" w:rsidRPr="00383072" w:rsidRDefault="00045427" w:rsidP="004D046F">
            <w:pPr>
              <w:spacing w:line="360" w:lineRule="auto"/>
              <w:jc w:val="center"/>
            </w:pPr>
            <w:r>
              <w:t>Unmodified</w:t>
            </w:r>
          </w:p>
        </w:tc>
        <w:tc>
          <w:tcPr>
            <w:tcW w:w="2127" w:type="dxa"/>
          </w:tcPr>
          <w:p w:rsidR="00045427" w:rsidRDefault="00045427" w:rsidP="004D046F">
            <w:pPr>
              <w:jc w:val="center"/>
            </w:pPr>
            <w:r w:rsidRPr="00BD2C03">
              <w:t>250</w:t>
            </w:r>
          </w:p>
        </w:tc>
      </w:tr>
    </w:tbl>
    <w:p w:rsidR="00045427" w:rsidRDefault="00045427" w:rsidP="00045427">
      <w:pPr>
        <w:spacing w:line="360" w:lineRule="auto"/>
        <w:ind w:firstLine="284"/>
      </w:pPr>
    </w:p>
    <w:p w:rsidR="00045427" w:rsidRDefault="00045427" w:rsidP="00045427">
      <w:pPr>
        <w:spacing w:line="360" w:lineRule="auto"/>
        <w:ind w:firstLine="284"/>
      </w:pPr>
      <w:r>
        <w:t xml:space="preserve">The results are </w:t>
      </w:r>
      <w:r w:rsidRPr="001E1AC5">
        <w:t>shown in figure 5.3 c, and demonstrate that FLuc unmodified and FLuc phosphorothioate dsRNAs all induce effective protein knockdown</w:t>
      </w:r>
      <w:r>
        <w:t>. There was no statistically significant difference in the level of RNAi-induced knockdown by unmodified and phosphorothioate dsRNA at this concentration of dsRNA. The results demonstrate that 1PS phosphorothioate dsRNA is capable of inducing RNAi-induced mRNA knockdown in Kc167 cells, and the 1PS dsRNAs were all equally effective irrespective of which of the four nucleotides was replaced by the phosphorothioate analogue.</w:t>
      </w:r>
    </w:p>
    <w:p w:rsidR="00045427" w:rsidRDefault="00045427" w:rsidP="00045427">
      <w:pPr>
        <w:spacing w:line="360" w:lineRule="auto"/>
        <w:ind w:firstLine="284"/>
      </w:pPr>
      <w:r>
        <w:lastRenderedPageBreak/>
        <w:t>Quantitative analysis of RNAi-induced knockdown was carried out with an assay using a wide range of dsRNA concentrations (</w:t>
      </w:r>
      <w:r w:rsidRPr="001E1AC5">
        <w:t>1000 ng to 0.01 ng per well) in order to generate dose curves for unmodified, 1PS and 2PS FLuc dsRNA (see table 5.6). Unmodified F59C6.5 non-targeting dsRNA at 1000 ng per well was used as a control, along with controls with</w:t>
      </w:r>
      <w:r w:rsidR="005A7DD5">
        <w:t xml:space="preserve"> no</w:t>
      </w:r>
      <w:r>
        <w:t xml:space="preserve"> dsRNA. Cells transfected with the luciferase reporter plasmids were incubated with dsRNA for 4 days, prior to lysis and addition of the luciferase assay reagents. </w:t>
      </w:r>
    </w:p>
    <w:p w:rsidR="00045427" w:rsidRDefault="00045427" w:rsidP="00045427">
      <w:pPr>
        <w:spacing w:line="360" w:lineRule="auto"/>
        <w:ind w:firstLine="284"/>
      </w:pPr>
    </w:p>
    <w:p w:rsidR="002A5E17" w:rsidRPr="002A5E17" w:rsidRDefault="002A5E17" w:rsidP="002A5E17">
      <w:pPr>
        <w:pStyle w:val="Caption"/>
        <w:keepNext/>
        <w:rPr>
          <w:color w:val="auto"/>
        </w:rPr>
      </w:pPr>
      <w:bookmarkStart w:id="198" w:name="_Toc20405267"/>
      <w:r w:rsidRPr="002A5E17">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6</w:t>
      </w:r>
      <w:r w:rsidR="005C0E76">
        <w:rPr>
          <w:color w:val="auto"/>
        </w:rPr>
        <w:fldChar w:fldCharType="end"/>
      </w:r>
      <w:r w:rsidRPr="002A5E17">
        <w:rPr>
          <w:color w:val="auto"/>
        </w:rPr>
        <w:t xml:space="preserve"> dsRNAs and concentrations used in the dual luciferase assay in figure 5.4.</w:t>
      </w:r>
      <w:bookmarkEnd w:id="198"/>
      <w:r w:rsidRPr="002A5E17">
        <w:rPr>
          <w:color w:val="auto"/>
        </w:rPr>
        <w:t xml:space="preserve"> </w:t>
      </w:r>
    </w:p>
    <w:tbl>
      <w:tblPr>
        <w:tblStyle w:val="TableGrid"/>
        <w:tblW w:w="0" w:type="auto"/>
        <w:jc w:val="center"/>
        <w:tblLook w:val="04A0"/>
      </w:tblPr>
      <w:tblGrid>
        <w:gridCol w:w="1101"/>
        <w:gridCol w:w="1842"/>
        <w:gridCol w:w="2977"/>
      </w:tblGrid>
      <w:tr w:rsidR="00045427" w:rsidTr="002A5E17">
        <w:trPr>
          <w:jc w:val="center"/>
        </w:trPr>
        <w:tc>
          <w:tcPr>
            <w:tcW w:w="1101" w:type="dxa"/>
            <w:vAlign w:val="center"/>
          </w:tcPr>
          <w:p w:rsidR="00045427" w:rsidRPr="00383072" w:rsidRDefault="00045427" w:rsidP="004D046F">
            <w:pPr>
              <w:spacing w:line="360" w:lineRule="auto"/>
              <w:jc w:val="center"/>
              <w:rPr>
                <w:b/>
              </w:rPr>
            </w:pPr>
            <w:r>
              <w:rPr>
                <w:b/>
              </w:rPr>
              <w:t>dsRNA</w:t>
            </w:r>
          </w:p>
        </w:tc>
        <w:tc>
          <w:tcPr>
            <w:tcW w:w="1842" w:type="dxa"/>
            <w:vAlign w:val="center"/>
          </w:tcPr>
          <w:p w:rsidR="00045427" w:rsidRPr="00383072" w:rsidRDefault="00045427" w:rsidP="004D046F">
            <w:pPr>
              <w:spacing w:line="360" w:lineRule="auto"/>
              <w:jc w:val="center"/>
              <w:rPr>
                <w:b/>
              </w:rPr>
            </w:pPr>
            <w:r>
              <w:rPr>
                <w:b/>
              </w:rPr>
              <w:t>Modification</w:t>
            </w:r>
          </w:p>
        </w:tc>
        <w:tc>
          <w:tcPr>
            <w:tcW w:w="2977" w:type="dxa"/>
            <w:vAlign w:val="center"/>
          </w:tcPr>
          <w:p w:rsidR="00045427" w:rsidRPr="00383072" w:rsidRDefault="00045427" w:rsidP="004D046F">
            <w:pPr>
              <w:spacing w:line="360" w:lineRule="auto"/>
              <w:jc w:val="center"/>
              <w:rPr>
                <w:b/>
              </w:rPr>
            </w:pPr>
            <w:r>
              <w:rPr>
                <w:b/>
              </w:rPr>
              <w:t>Concentrations (ng)</w:t>
            </w:r>
          </w:p>
        </w:tc>
      </w:tr>
      <w:tr w:rsidR="00045427" w:rsidTr="002A5E17">
        <w:trPr>
          <w:jc w:val="center"/>
        </w:trPr>
        <w:tc>
          <w:tcPr>
            <w:tcW w:w="1101" w:type="dxa"/>
            <w:vMerge w:val="restart"/>
            <w:vAlign w:val="center"/>
          </w:tcPr>
          <w:p w:rsidR="00045427" w:rsidRPr="00383072" w:rsidRDefault="00045427" w:rsidP="004D046F">
            <w:pPr>
              <w:spacing w:line="360" w:lineRule="auto"/>
              <w:jc w:val="center"/>
            </w:pPr>
            <w:r>
              <w:t>FLuc</w:t>
            </w:r>
          </w:p>
        </w:tc>
        <w:tc>
          <w:tcPr>
            <w:tcW w:w="1842" w:type="dxa"/>
            <w:vAlign w:val="center"/>
          </w:tcPr>
          <w:p w:rsidR="00045427" w:rsidRPr="00383072" w:rsidRDefault="00045427" w:rsidP="004D046F">
            <w:pPr>
              <w:spacing w:line="360" w:lineRule="auto"/>
              <w:jc w:val="center"/>
            </w:pPr>
            <w:r>
              <w:t>Unmodified</w:t>
            </w:r>
          </w:p>
        </w:tc>
        <w:tc>
          <w:tcPr>
            <w:tcW w:w="2977" w:type="dxa"/>
            <w:vAlign w:val="center"/>
          </w:tcPr>
          <w:p w:rsidR="00045427" w:rsidRPr="00383072" w:rsidRDefault="00045427" w:rsidP="004D046F">
            <w:pPr>
              <w:spacing w:line="360" w:lineRule="auto"/>
              <w:jc w:val="center"/>
            </w:pPr>
            <w:r>
              <w:t>0.01, 0.1, 1, 10, 100, 1,000</w:t>
            </w:r>
          </w:p>
        </w:tc>
      </w:tr>
      <w:tr w:rsidR="00045427" w:rsidTr="002A5E17">
        <w:trPr>
          <w:jc w:val="center"/>
        </w:trPr>
        <w:tc>
          <w:tcPr>
            <w:tcW w:w="1101" w:type="dxa"/>
            <w:vMerge/>
            <w:vAlign w:val="center"/>
          </w:tcPr>
          <w:p w:rsidR="00045427" w:rsidRDefault="00045427" w:rsidP="004D046F">
            <w:pPr>
              <w:spacing w:line="360" w:lineRule="auto"/>
              <w:jc w:val="center"/>
            </w:pPr>
          </w:p>
        </w:tc>
        <w:tc>
          <w:tcPr>
            <w:tcW w:w="1842" w:type="dxa"/>
            <w:vAlign w:val="center"/>
          </w:tcPr>
          <w:p w:rsidR="00045427" w:rsidRDefault="00045427" w:rsidP="004D046F">
            <w:pPr>
              <w:spacing w:line="360" w:lineRule="auto"/>
              <w:jc w:val="center"/>
            </w:pPr>
            <w:r>
              <w:t>1PS</w:t>
            </w:r>
          </w:p>
        </w:tc>
        <w:tc>
          <w:tcPr>
            <w:tcW w:w="2977" w:type="dxa"/>
          </w:tcPr>
          <w:p w:rsidR="00045427" w:rsidRPr="00B05984" w:rsidRDefault="00045427" w:rsidP="004D046F">
            <w:pPr>
              <w:jc w:val="center"/>
            </w:pPr>
            <w:r>
              <w:t>0.01, 0.1, 1, 10, 100, 1,000</w:t>
            </w:r>
          </w:p>
        </w:tc>
      </w:tr>
      <w:tr w:rsidR="00045427" w:rsidTr="002A5E17">
        <w:trPr>
          <w:jc w:val="center"/>
        </w:trPr>
        <w:tc>
          <w:tcPr>
            <w:tcW w:w="1101" w:type="dxa"/>
            <w:vMerge/>
            <w:vAlign w:val="center"/>
          </w:tcPr>
          <w:p w:rsidR="00045427" w:rsidRDefault="00045427" w:rsidP="004D046F">
            <w:pPr>
              <w:spacing w:line="360" w:lineRule="auto"/>
              <w:jc w:val="center"/>
            </w:pPr>
          </w:p>
        </w:tc>
        <w:tc>
          <w:tcPr>
            <w:tcW w:w="1842" w:type="dxa"/>
            <w:vAlign w:val="center"/>
          </w:tcPr>
          <w:p w:rsidR="00045427" w:rsidRDefault="00045427" w:rsidP="004D046F">
            <w:pPr>
              <w:spacing w:line="360" w:lineRule="auto"/>
              <w:jc w:val="center"/>
            </w:pPr>
            <w:r>
              <w:t>2PS</w:t>
            </w:r>
          </w:p>
        </w:tc>
        <w:tc>
          <w:tcPr>
            <w:tcW w:w="2977" w:type="dxa"/>
          </w:tcPr>
          <w:p w:rsidR="00045427" w:rsidRPr="00B05984" w:rsidRDefault="00045427" w:rsidP="004D046F">
            <w:pPr>
              <w:jc w:val="center"/>
            </w:pPr>
            <w:r>
              <w:t>0.01, 0.1, 1, 10, 100, 1,000</w:t>
            </w:r>
          </w:p>
        </w:tc>
      </w:tr>
      <w:tr w:rsidR="00045427" w:rsidTr="002A5E17">
        <w:trPr>
          <w:jc w:val="center"/>
        </w:trPr>
        <w:tc>
          <w:tcPr>
            <w:tcW w:w="1101" w:type="dxa"/>
            <w:vAlign w:val="center"/>
          </w:tcPr>
          <w:p w:rsidR="00045427" w:rsidRPr="00383072" w:rsidRDefault="00045427" w:rsidP="004D046F">
            <w:pPr>
              <w:spacing w:line="360" w:lineRule="auto"/>
              <w:jc w:val="center"/>
            </w:pPr>
            <w:r>
              <w:t>F59C6.5</w:t>
            </w:r>
          </w:p>
        </w:tc>
        <w:tc>
          <w:tcPr>
            <w:tcW w:w="1842" w:type="dxa"/>
            <w:vAlign w:val="center"/>
          </w:tcPr>
          <w:p w:rsidR="00045427" w:rsidRPr="00383072" w:rsidRDefault="00045427" w:rsidP="004D046F">
            <w:pPr>
              <w:spacing w:line="360" w:lineRule="auto"/>
              <w:jc w:val="center"/>
            </w:pPr>
            <w:r>
              <w:t>Unmodified</w:t>
            </w:r>
          </w:p>
        </w:tc>
        <w:tc>
          <w:tcPr>
            <w:tcW w:w="2977" w:type="dxa"/>
          </w:tcPr>
          <w:p w:rsidR="00045427" w:rsidRDefault="00045427" w:rsidP="004D046F">
            <w:pPr>
              <w:jc w:val="center"/>
            </w:pPr>
            <w:r>
              <w:t>1,000</w:t>
            </w:r>
          </w:p>
        </w:tc>
      </w:tr>
    </w:tbl>
    <w:p w:rsidR="00045427" w:rsidRPr="001E1AC5" w:rsidRDefault="00045427" w:rsidP="00045427">
      <w:pPr>
        <w:spacing w:line="360" w:lineRule="auto"/>
        <w:ind w:firstLine="284"/>
      </w:pPr>
    </w:p>
    <w:p w:rsidR="00045427" w:rsidRPr="001E1AC5" w:rsidRDefault="00045427" w:rsidP="00045427">
      <w:pPr>
        <w:spacing w:line="360" w:lineRule="auto"/>
        <w:ind w:firstLine="284"/>
      </w:pPr>
      <w:r w:rsidRPr="001E1AC5">
        <w:t>The results for the assay are shown in figure 5.4 as normalised FL/RL values. The results show that at the highest concentration of 1 µg of dsRNA per</w:t>
      </w:r>
      <w:r>
        <w:t xml:space="preserve"> well, all targeting </w:t>
      </w:r>
      <w:r w:rsidRPr="001E1AC5">
        <w:t>FLuc dsRNAs were equally effective at inducing protein knockdown to a level highly statistically significant (p &lt; 0.0001)</w:t>
      </w:r>
      <w:r>
        <w:t xml:space="preserve"> from F59C6.5 control </w:t>
      </w:r>
      <w:r w:rsidRPr="001E1AC5">
        <w:t xml:space="preserve">dsRNA (figure 5.4 a). Unmodified, 1PS and 2PS FLuc dsRNAs showed no statistically significant difference in efficacy from each other at this concentration. This suggested that if differences in efficacy were going to be detected, this would likely be at a lower concentration range. </w:t>
      </w:r>
    </w:p>
    <w:p w:rsidR="00045427" w:rsidRDefault="00045427" w:rsidP="00045427">
      <w:pPr>
        <w:spacing w:line="360" w:lineRule="auto"/>
        <w:ind w:firstLine="284"/>
      </w:pPr>
      <w:r w:rsidRPr="001E1AC5">
        <w:t>The full dose curves from the experiment are shown in figure 5.4 b. It is immediately obvious from the dose curves that at the 1 ng to 100 ng concentration range there is a clear</w:t>
      </w:r>
      <w:r>
        <w:t xml:space="preserve"> separation of the three curves, with 1PS dsRNA being more efficacious than unmodified dsRNA, and 2PS subsequently being more efficacious than 1PS dsRNA in this concentration range. At 10 ng of dsRNA, 2PS dsRNA is significantly more efficacious than unmodified dsRNA. 1PS dsRNA is not quite statistically significantly different from unmodified, though an unpaired T-test gives P values of 0.0649 and 0.0723 for 10 ng and 1,000 ng respectively, very close to the threshold for statistical significance at P = 0.05. Similarly at 100 ng the difference between unmodified and 2PS dsRNA is statistically significant, whereas the differences between unmodified and 1PS dsRNA, and between 1PS and 2PS dsRNA are not statistically significant.</w:t>
      </w:r>
    </w:p>
    <w:p w:rsidR="002A5E17" w:rsidRDefault="00045427" w:rsidP="00045427">
      <w:pPr>
        <w:spacing w:line="360" w:lineRule="auto"/>
        <w:ind w:firstLine="284"/>
      </w:pPr>
      <w:r>
        <w:t>The EC50 values were calculated from the dose curves. The results show that the EC50 more than halves from 20.6 ng for unmodified dsRNA to 7.6 ng for 1PS dsRNA, and more than halves again from 1PS dsRNA to 2.8 ng for 2PS dsRNA.</w:t>
      </w:r>
    </w:p>
    <w:p w:rsidR="002A5E17" w:rsidRDefault="002A5E17" w:rsidP="002A5E17">
      <w:pPr>
        <w:keepNext/>
        <w:spacing w:after="200"/>
        <w:jc w:val="left"/>
      </w:pPr>
      <w:r>
        <w:br w:type="page"/>
      </w:r>
      <w:r w:rsidRPr="002A5E17">
        <w:rPr>
          <w:noProof/>
          <w:lang w:eastAsia="en-GB"/>
        </w:rPr>
        <w:lastRenderedPageBreak/>
        <w:drawing>
          <wp:inline distT="0" distB="0" distL="0" distR="0">
            <wp:extent cx="5701436" cy="6119919"/>
            <wp:effectExtent l="0" t="0" r="0" b="0"/>
            <wp:docPr id="47" name="Object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01436" cy="6119919"/>
                      <a:chOff x="584684" y="1137337"/>
                      <a:chExt cx="5701436" cy="6119919"/>
                    </a:xfrm>
                  </a:grpSpPr>
                  <a:pic>
                    <a:nvPicPr>
                      <a:cNvPr id="2050" name="Picture 2"/>
                      <a:cNvPicPr>
                        <a:picLocks noChangeAspect="1" noChangeArrowheads="1"/>
                      </a:cNvPicPr>
                    </a:nvPicPr>
                    <a:blipFill>
                      <a:blip r:embed="rId47"/>
                      <a:srcRect/>
                      <a:stretch>
                        <a:fillRect/>
                      </a:stretch>
                    </a:blipFill>
                    <a:spPr bwMode="auto">
                      <a:xfrm>
                        <a:off x="3356992" y="1316596"/>
                        <a:ext cx="2929128" cy="2926080"/>
                      </a:xfrm>
                      <a:prstGeom prst="rect">
                        <a:avLst/>
                      </a:prstGeom>
                      <a:noFill/>
                      <a:ln w="9525">
                        <a:noFill/>
                        <a:miter lim="800000"/>
                        <a:headEnd/>
                        <a:tailEnd/>
                      </a:ln>
                    </a:spPr>
                  </a:pic>
                  <a:pic>
                    <a:nvPicPr>
                      <a:cNvPr id="2" name="Picture 2"/>
                      <a:cNvPicPr>
                        <a:picLocks noChangeAspect="1" noChangeArrowheads="1"/>
                      </a:cNvPicPr>
                    </a:nvPicPr>
                    <a:blipFill>
                      <a:blip r:embed="rId48"/>
                      <a:srcRect/>
                      <a:stretch>
                        <a:fillRect/>
                      </a:stretch>
                    </a:blipFill>
                    <a:spPr bwMode="auto">
                      <a:xfrm>
                        <a:off x="584684" y="1388604"/>
                        <a:ext cx="2683764" cy="2990088"/>
                      </a:xfrm>
                      <a:prstGeom prst="rect">
                        <a:avLst/>
                      </a:prstGeom>
                      <a:noFill/>
                      <a:ln w="9525">
                        <a:noFill/>
                        <a:miter lim="800000"/>
                        <a:headEnd/>
                        <a:tailEnd/>
                      </a:ln>
                    </a:spPr>
                  </a:pic>
                  <a:pic>
                    <a:nvPicPr>
                      <a:cNvPr id="4100" name="Picture 4"/>
                      <a:cNvPicPr>
                        <a:picLocks noChangeAspect="1" noChangeArrowheads="1"/>
                      </a:cNvPicPr>
                    </a:nvPicPr>
                    <a:blipFill>
                      <a:blip r:embed="rId49"/>
                      <a:srcRect b="912"/>
                      <a:stretch>
                        <a:fillRect/>
                      </a:stretch>
                    </a:blipFill>
                    <a:spPr bwMode="auto">
                      <a:xfrm>
                        <a:off x="1831636" y="4520952"/>
                        <a:ext cx="3145536" cy="2736304"/>
                      </a:xfrm>
                      <a:prstGeom prst="rect">
                        <a:avLst/>
                      </a:prstGeom>
                      <a:noFill/>
                      <a:ln w="9525">
                        <a:noFill/>
                        <a:miter lim="800000"/>
                        <a:headEnd/>
                        <a:tailEnd/>
                      </a:ln>
                    </a:spPr>
                  </a:pic>
                  <a:sp>
                    <a:nvSpPr>
                      <a:cNvPr id="10" name="TextBox 9"/>
                      <a:cNvSpPr txBox="1"/>
                    </a:nvSpPr>
                    <a:spPr>
                      <a:xfrm>
                        <a:off x="584684" y="1137337"/>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1" name="TextBox 10"/>
                      <a:cNvSpPr txBox="1"/>
                    </a:nvSpPr>
                    <a:spPr>
                      <a:xfrm>
                        <a:off x="3068960" y="1172580"/>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2" name="TextBox 11"/>
                      <a:cNvSpPr txBox="1"/>
                    </a:nvSpPr>
                    <a:spPr>
                      <a:xfrm>
                        <a:off x="1792052" y="4196916"/>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p>
    <w:p w:rsidR="006973D5" w:rsidRDefault="002A5E17" w:rsidP="002A5E17">
      <w:pPr>
        <w:pStyle w:val="Caption"/>
        <w:spacing w:after="120"/>
        <w:rPr>
          <w:color w:val="auto"/>
        </w:rPr>
      </w:pPr>
      <w:bookmarkStart w:id="199" w:name="_Toc20411654"/>
      <w:r w:rsidRPr="002A5E17">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4</w:t>
      </w:r>
      <w:r w:rsidR="005C0E76">
        <w:rPr>
          <w:color w:val="auto"/>
        </w:rPr>
        <w:fldChar w:fldCharType="end"/>
      </w:r>
      <w:r w:rsidRPr="002A5E17">
        <w:rPr>
          <w:color w:val="auto"/>
        </w:rPr>
        <w:t xml:space="preserve"> </w:t>
      </w:r>
      <w:r w:rsidRPr="002A5E17">
        <w:rPr>
          <w:i/>
          <w:iCs/>
          <w:color w:val="auto"/>
        </w:rPr>
        <w:t xml:space="preserve">In vitro </w:t>
      </w:r>
      <w:r w:rsidRPr="002A5E17">
        <w:rPr>
          <w:color w:val="auto"/>
        </w:rPr>
        <w:t>analysis of the effects of phosphorothioate dsRNA modifications on RNAi in insect cells across a range of dsRNA concentrations.</w:t>
      </w:r>
      <w:bookmarkEnd w:id="199"/>
      <w:r w:rsidRPr="002A5E17">
        <w:rPr>
          <w:color w:val="auto"/>
        </w:rPr>
        <w:t xml:space="preserve"> </w:t>
      </w:r>
    </w:p>
    <w:p w:rsidR="002A5E17" w:rsidRPr="002A5E17" w:rsidRDefault="002A5E17" w:rsidP="002A5E17">
      <w:pPr>
        <w:pStyle w:val="Caption"/>
        <w:spacing w:after="120"/>
        <w:rPr>
          <w:b w:val="0"/>
          <w:color w:val="auto"/>
        </w:rPr>
      </w:pPr>
      <w:r w:rsidRPr="002A5E17">
        <w:rPr>
          <w:b w:val="0"/>
          <w:color w:val="auto"/>
        </w:rPr>
        <w:t xml:space="preserve">Luciferase assay results for phosphorothioate (PS) and unmodified (Unmod) FLuc dsRNA. RNAi knockdown of a firefly luciferase reporter by FLuc dsRNA, is presented as ratios of firefly luciferase luminescence intensity (FL) to </w:t>
      </w:r>
      <w:r w:rsidRPr="002A5E17">
        <w:rPr>
          <w:b w:val="0"/>
          <w:i/>
          <w:iCs/>
          <w:color w:val="auto"/>
        </w:rPr>
        <w:t>Renilla</w:t>
      </w:r>
      <w:r w:rsidRPr="002A5E17">
        <w:rPr>
          <w:b w:val="0"/>
          <w:color w:val="auto"/>
        </w:rPr>
        <w:t xml:space="preserve"> luciferase luminescence intensity (RL) normalised against FL/RL values for control conditions with no dsRNA. (a) Bar graph of RNAi knockdown by 1 µg treatments of Unmod, 1PS and 2PS FLuc dsRNA against F59C6.5 control dsRNA. (b) Dose curves of normalised FL/RL values plotted against log of dsRNA dose per well in ng. EC50s are concentrations at which 50% RNAi knockdown occurs. Coloured stars denote statistical significance of the identically coloured point compared to unmodified dsRNA. Curves generated by non-linear regression analysis using a dose-response inhibition variable slope model in Graphpad prism software. (c) graph of individual normalised FL/RL values for the dose curves in figure b.  </w:t>
      </w:r>
    </w:p>
    <w:p w:rsidR="002A5E17" w:rsidRPr="00D16286" w:rsidRDefault="002A5E17" w:rsidP="002A5E17">
      <w:pPr>
        <w:pStyle w:val="Caption"/>
        <w:rPr>
          <w:b w:val="0"/>
          <w:color w:val="auto"/>
        </w:rPr>
      </w:pPr>
      <w:r w:rsidRPr="002A5E17">
        <w:rPr>
          <w:b w:val="0"/>
          <w:color w:val="auto"/>
        </w:rPr>
        <w:t xml:space="preserve">In all graphs, mean and SEM are plotted (n=6).  Stars denote significance as calculated by unpaired T-tests. ns = P &gt; 0.05, *  = P ≤ 0.05, ** = P ≤ 0.01, *** = P ≤ 0.001, **** = P ≤ 0.0001. Full list of P values given in </w:t>
      </w:r>
      <w:r w:rsidR="00D16286" w:rsidRPr="00D16286">
        <w:rPr>
          <w:b w:val="0"/>
          <w:color w:val="auto"/>
        </w:rPr>
        <w:t xml:space="preserve">Appendix 1, </w:t>
      </w:r>
      <w:r w:rsidR="00381546" w:rsidRPr="00D16286">
        <w:rPr>
          <w:b w:val="0"/>
          <w:color w:val="auto"/>
        </w:rPr>
        <w:t>figure A1.2.</w:t>
      </w:r>
      <w:r w:rsidRPr="00D16286">
        <w:rPr>
          <w:b w:val="0"/>
          <w:color w:val="auto"/>
        </w:rPr>
        <w:t xml:space="preserve"> </w:t>
      </w:r>
    </w:p>
    <w:p w:rsidR="002A5E17" w:rsidRPr="002A5E17" w:rsidRDefault="002A5E17" w:rsidP="002A5E17">
      <w:pPr>
        <w:pStyle w:val="Caption"/>
        <w:rPr>
          <w:color w:val="auto"/>
        </w:rPr>
      </w:pPr>
    </w:p>
    <w:p w:rsidR="002A5E17" w:rsidRDefault="002A5E17" w:rsidP="00045427">
      <w:pPr>
        <w:spacing w:line="360" w:lineRule="auto"/>
        <w:ind w:firstLine="284"/>
      </w:pPr>
    </w:p>
    <w:p w:rsidR="00045427" w:rsidRPr="001E1AC5" w:rsidRDefault="00045427" w:rsidP="00045427">
      <w:pPr>
        <w:spacing w:line="360" w:lineRule="auto"/>
        <w:ind w:firstLine="284"/>
      </w:pPr>
      <w:r>
        <w:lastRenderedPageBreak/>
        <w:t xml:space="preserve">Individual </w:t>
      </w:r>
      <w:r w:rsidRPr="001E1AC5">
        <w:t xml:space="preserve">normalised FL/RL replicate values for the assay are shown in figure 5.4 c. The data shows that there is a greater spread of replicate values for lower concentrations of unmodified, 1PS, and 2PS dsRNAs, with replicates showing increasingly good agreement as concentration increases. Consequently, the smallest values of standard error of the mean were also found at the higher concentrations for all unmodified, 1PS, and 2PS dsRNAs, with great variation in the standard error values at lower concentrations (see </w:t>
      </w:r>
      <w:r w:rsidR="00D16286" w:rsidRPr="001E1AC5">
        <w:t>A</w:t>
      </w:r>
      <w:r w:rsidRPr="001E1AC5">
        <w:t>ppendix</w:t>
      </w:r>
      <w:r w:rsidR="00D16286" w:rsidRPr="001E1AC5">
        <w:t xml:space="preserve"> 1</w:t>
      </w:r>
      <w:r w:rsidRPr="001E1AC5">
        <w:t>, figure A</w:t>
      </w:r>
      <w:r w:rsidR="00D16286" w:rsidRPr="001E1AC5">
        <w:t>1.</w:t>
      </w:r>
      <w:r w:rsidRPr="001E1AC5">
        <w:t xml:space="preserve">3 a).       </w:t>
      </w:r>
    </w:p>
    <w:p w:rsidR="00045427" w:rsidRPr="001E1AC5" w:rsidRDefault="00045427" w:rsidP="00045427">
      <w:pPr>
        <w:spacing w:line="360" w:lineRule="auto"/>
        <w:ind w:firstLine="284"/>
      </w:pPr>
    </w:p>
    <w:p w:rsidR="001E1AC5" w:rsidRDefault="00045427" w:rsidP="00045427">
      <w:pPr>
        <w:spacing w:line="360" w:lineRule="auto"/>
        <w:ind w:firstLine="284"/>
      </w:pPr>
      <w:r>
        <w:t xml:space="preserve">A previous assay using 1:10 dilutions of luciferase assay reagents, and a higher number of </w:t>
      </w:r>
      <w:r w:rsidRPr="001E1AC5">
        <w:t>intermediate concentrations produced similar results, with a progressive increase in efficacy from unmodified, to 1PS to 2PS dsRNA across the middle of the concentration range of dsRNA tested (</w:t>
      </w:r>
      <w:r w:rsidR="00D16286" w:rsidRPr="001E1AC5">
        <w:t>see A</w:t>
      </w:r>
      <w:r w:rsidRPr="001E1AC5">
        <w:t xml:space="preserve">ppendix </w:t>
      </w:r>
      <w:r w:rsidR="00D16286" w:rsidRPr="001E1AC5">
        <w:t>1</w:t>
      </w:r>
      <w:r w:rsidRPr="001E1AC5">
        <w:t>, figure A</w:t>
      </w:r>
      <w:r w:rsidR="00D16286" w:rsidRPr="001E1AC5">
        <w:t>1.</w:t>
      </w:r>
      <w:r w:rsidRPr="001E1AC5">
        <w:t xml:space="preserve">4). However, using 1:10 dilutions of luciferase assay reagents on subsequent assays produced inconsistent results, and thus after some optimisation, the alternative method described in </w:t>
      </w:r>
      <w:r w:rsidR="001E1AC5" w:rsidRPr="001E1AC5">
        <w:t>section 2.4.3</w:t>
      </w:r>
      <w:r w:rsidRPr="001E1AC5">
        <w:t xml:space="preserve"> using 1:2 luciferase</w:t>
      </w:r>
      <w:r>
        <w:t xml:space="preserve"> assay reagent dilutions was used for the main phosphorothioate dsRNA assay above</w:t>
      </w:r>
      <w:r w:rsidR="001E1AC5">
        <w:t xml:space="preserve"> (figure 5.4)</w:t>
      </w:r>
      <w:r>
        <w:t>, and all subsequent assays</w:t>
      </w:r>
      <w:r w:rsidR="001E1AC5">
        <w:t>.</w:t>
      </w:r>
    </w:p>
    <w:p w:rsidR="00045427" w:rsidRPr="004A250F" w:rsidRDefault="00045427" w:rsidP="00045427">
      <w:pPr>
        <w:spacing w:line="360" w:lineRule="auto"/>
        <w:ind w:firstLine="284"/>
      </w:pPr>
      <w:r>
        <w:t xml:space="preserve">  </w:t>
      </w:r>
    </w:p>
    <w:p w:rsidR="00045427" w:rsidRDefault="00045427" w:rsidP="00045427">
      <w:pPr>
        <w:pStyle w:val="Heading3"/>
        <w:spacing w:line="360" w:lineRule="auto"/>
      </w:pPr>
      <w:bookmarkStart w:id="200" w:name="_Toc507150643"/>
      <w:bookmarkStart w:id="201" w:name="_Toc17295544"/>
      <w:bookmarkStart w:id="202" w:name="_Toc35333996"/>
      <w:r w:rsidRPr="008F7158">
        <w:t xml:space="preserve">Quantitative comparative analysis of </w:t>
      </w:r>
      <w:r>
        <w:t>RNAi efficacy</w:t>
      </w:r>
      <w:r w:rsidRPr="008F7158">
        <w:t xml:space="preserve"> of</w:t>
      </w:r>
      <w:r>
        <w:t xml:space="preserve"> 2’-fluoro (2’F) dsRNA </w:t>
      </w:r>
      <w:bookmarkEnd w:id="200"/>
      <w:r>
        <w:t xml:space="preserve">in </w:t>
      </w:r>
      <w:r w:rsidRPr="00E56448">
        <w:rPr>
          <w:i/>
        </w:rPr>
        <w:t>Drosophila</w:t>
      </w:r>
      <w:r>
        <w:t xml:space="preserve"> Kc167 cells</w:t>
      </w:r>
      <w:bookmarkEnd w:id="201"/>
      <w:bookmarkEnd w:id="202"/>
    </w:p>
    <w:p w:rsidR="00045427" w:rsidRDefault="00045427" w:rsidP="00045427">
      <w:pPr>
        <w:spacing w:line="360" w:lineRule="auto"/>
      </w:pPr>
    </w:p>
    <w:p w:rsidR="00045427" w:rsidRDefault="00045427" w:rsidP="00045427">
      <w:pPr>
        <w:spacing w:line="360" w:lineRule="auto"/>
        <w:ind w:firstLine="284"/>
      </w:pPr>
      <w:r>
        <w:t xml:space="preserve">In order to determine the effectiveness of 2’F dsRNA for RNAi in Kc167 cells, a luciferase assay was carried out to </w:t>
      </w:r>
      <w:r w:rsidRPr="001E1AC5">
        <w:t xml:space="preserve">produce comparable dose curves of RNAi-induced knockdown for unmodified, 1 2’F, and 2 2’F  FLuc dsRNA (see </w:t>
      </w:r>
      <w:r w:rsidR="001E1AC5" w:rsidRPr="001E1AC5">
        <w:t>figure 3.5</w:t>
      </w:r>
      <w:r w:rsidRPr="001E1AC5">
        <w:t xml:space="preserve"> for nomenclature). The range of dsRNA concentrations tested was identical to that used in the previous assay to generate phosphorothioate dsRNA dose curves (see table 5.</w:t>
      </w:r>
      <w:r w:rsidR="004D046F" w:rsidRPr="001E1AC5">
        <w:t>7</w:t>
      </w:r>
      <w:r w:rsidRPr="001E1AC5">
        <w:t>). Kc167 cells transfected with the reporter plasmids were incubated with dsRNA for 4 days as in the previous assay, prior to lysis and addition of the luciferase assay reagents. The results for the assay are shown in figure 5.</w:t>
      </w:r>
      <w:r w:rsidR="002A5E17" w:rsidRPr="001E1AC5">
        <w:t>5</w:t>
      </w:r>
      <w:r w:rsidRPr="001E1AC5">
        <w:t xml:space="preserve"> as</w:t>
      </w:r>
      <w:r>
        <w:t xml:space="preserve"> normalised FL/RL values. </w:t>
      </w:r>
    </w:p>
    <w:p w:rsidR="00045427" w:rsidRDefault="00045427" w:rsidP="00045427">
      <w:pPr>
        <w:spacing w:line="360" w:lineRule="auto"/>
        <w:ind w:firstLine="284"/>
      </w:pPr>
    </w:p>
    <w:p w:rsidR="002A5E17" w:rsidRPr="002A5E17" w:rsidRDefault="002A5E17" w:rsidP="002A5E17">
      <w:pPr>
        <w:pStyle w:val="Caption"/>
        <w:keepNext/>
        <w:rPr>
          <w:color w:val="auto"/>
        </w:rPr>
      </w:pPr>
      <w:bookmarkStart w:id="203" w:name="_Toc20405268"/>
      <w:r w:rsidRPr="002A5E17">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7</w:t>
      </w:r>
      <w:r w:rsidR="005C0E76">
        <w:rPr>
          <w:color w:val="auto"/>
        </w:rPr>
        <w:fldChar w:fldCharType="end"/>
      </w:r>
      <w:r w:rsidRPr="002A5E17">
        <w:rPr>
          <w:color w:val="auto"/>
        </w:rPr>
        <w:t xml:space="preserve"> dsRNAs and concentrations used in the dual luciferase assay in figure 5.6</w:t>
      </w:r>
      <w:bookmarkEnd w:id="203"/>
    </w:p>
    <w:tbl>
      <w:tblPr>
        <w:tblStyle w:val="TableGrid"/>
        <w:tblW w:w="0" w:type="auto"/>
        <w:jc w:val="center"/>
        <w:tblLook w:val="04A0"/>
      </w:tblPr>
      <w:tblGrid>
        <w:gridCol w:w="1242"/>
        <w:gridCol w:w="1985"/>
        <w:gridCol w:w="2693"/>
      </w:tblGrid>
      <w:tr w:rsidR="00045427" w:rsidTr="002A5E17">
        <w:trPr>
          <w:jc w:val="center"/>
        </w:trPr>
        <w:tc>
          <w:tcPr>
            <w:tcW w:w="1242" w:type="dxa"/>
            <w:vAlign w:val="center"/>
          </w:tcPr>
          <w:p w:rsidR="00045427" w:rsidRPr="00383072" w:rsidRDefault="00045427" w:rsidP="004D046F">
            <w:pPr>
              <w:spacing w:line="360" w:lineRule="auto"/>
              <w:jc w:val="center"/>
              <w:rPr>
                <w:b/>
              </w:rPr>
            </w:pPr>
            <w:r>
              <w:rPr>
                <w:b/>
              </w:rPr>
              <w:t>dsRNA</w:t>
            </w:r>
          </w:p>
        </w:tc>
        <w:tc>
          <w:tcPr>
            <w:tcW w:w="1985" w:type="dxa"/>
            <w:vAlign w:val="center"/>
          </w:tcPr>
          <w:p w:rsidR="00045427" w:rsidRPr="00383072" w:rsidRDefault="00045427" w:rsidP="004D046F">
            <w:pPr>
              <w:spacing w:line="360" w:lineRule="auto"/>
              <w:jc w:val="center"/>
              <w:rPr>
                <w:b/>
              </w:rPr>
            </w:pPr>
            <w:r>
              <w:rPr>
                <w:b/>
              </w:rPr>
              <w:t>Modification</w:t>
            </w:r>
          </w:p>
        </w:tc>
        <w:tc>
          <w:tcPr>
            <w:tcW w:w="2693" w:type="dxa"/>
            <w:vAlign w:val="center"/>
          </w:tcPr>
          <w:p w:rsidR="00045427" w:rsidRPr="00383072" w:rsidRDefault="00045427" w:rsidP="004D046F">
            <w:pPr>
              <w:spacing w:line="360" w:lineRule="auto"/>
              <w:jc w:val="center"/>
              <w:rPr>
                <w:b/>
              </w:rPr>
            </w:pPr>
            <w:r>
              <w:rPr>
                <w:b/>
              </w:rPr>
              <w:t>Concentrations (ng)</w:t>
            </w:r>
          </w:p>
        </w:tc>
      </w:tr>
      <w:tr w:rsidR="00045427" w:rsidTr="002A5E17">
        <w:trPr>
          <w:jc w:val="center"/>
        </w:trPr>
        <w:tc>
          <w:tcPr>
            <w:tcW w:w="1242" w:type="dxa"/>
            <w:vMerge w:val="restart"/>
            <w:vAlign w:val="center"/>
          </w:tcPr>
          <w:p w:rsidR="00045427" w:rsidRPr="00383072" w:rsidRDefault="00045427" w:rsidP="004D046F">
            <w:pPr>
              <w:spacing w:line="360" w:lineRule="auto"/>
              <w:jc w:val="center"/>
            </w:pPr>
            <w:r>
              <w:t>FLuc</w:t>
            </w:r>
          </w:p>
        </w:tc>
        <w:tc>
          <w:tcPr>
            <w:tcW w:w="1985" w:type="dxa"/>
            <w:vAlign w:val="center"/>
          </w:tcPr>
          <w:p w:rsidR="00045427" w:rsidRPr="00383072" w:rsidRDefault="00045427" w:rsidP="004D046F">
            <w:pPr>
              <w:spacing w:line="360" w:lineRule="auto"/>
              <w:jc w:val="center"/>
            </w:pPr>
            <w:r>
              <w:t>Unmodified</w:t>
            </w:r>
          </w:p>
        </w:tc>
        <w:tc>
          <w:tcPr>
            <w:tcW w:w="2693" w:type="dxa"/>
            <w:vAlign w:val="center"/>
          </w:tcPr>
          <w:p w:rsidR="00045427" w:rsidRPr="00383072" w:rsidRDefault="00045427" w:rsidP="004D046F">
            <w:pPr>
              <w:spacing w:line="360" w:lineRule="auto"/>
              <w:jc w:val="center"/>
            </w:pPr>
            <w:r>
              <w:t>0.01, 0.1, 1, 10, 100, 1,000</w:t>
            </w:r>
          </w:p>
        </w:tc>
      </w:tr>
      <w:tr w:rsidR="00045427" w:rsidTr="002A5E17">
        <w:trPr>
          <w:jc w:val="center"/>
        </w:trPr>
        <w:tc>
          <w:tcPr>
            <w:tcW w:w="1242" w:type="dxa"/>
            <w:vMerge/>
            <w:vAlign w:val="center"/>
          </w:tcPr>
          <w:p w:rsidR="00045427" w:rsidRDefault="00045427" w:rsidP="004D046F">
            <w:pPr>
              <w:spacing w:line="360" w:lineRule="auto"/>
              <w:jc w:val="center"/>
            </w:pPr>
          </w:p>
        </w:tc>
        <w:tc>
          <w:tcPr>
            <w:tcW w:w="1985" w:type="dxa"/>
            <w:vAlign w:val="center"/>
          </w:tcPr>
          <w:p w:rsidR="00045427" w:rsidRDefault="00045427" w:rsidP="004D046F">
            <w:pPr>
              <w:spacing w:line="360" w:lineRule="auto"/>
              <w:jc w:val="center"/>
            </w:pPr>
            <w:r>
              <w:t>1 2’F</w:t>
            </w:r>
          </w:p>
        </w:tc>
        <w:tc>
          <w:tcPr>
            <w:tcW w:w="2693" w:type="dxa"/>
          </w:tcPr>
          <w:p w:rsidR="00045427" w:rsidRPr="00B05984" w:rsidRDefault="00045427" w:rsidP="004D046F">
            <w:pPr>
              <w:jc w:val="center"/>
            </w:pPr>
            <w:r>
              <w:t>0.01, 0.1, 1, 10, 100, 1,000</w:t>
            </w:r>
          </w:p>
        </w:tc>
      </w:tr>
      <w:tr w:rsidR="00045427" w:rsidTr="002A5E17">
        <w:trPr>
          <w:jc w:val="center"/>
        </w:trPr>
        <w:tc>
          <w:tcPr>
            <w:tcW w:w="1242" w:type="dxa"/>
            <w:vMerge/>
            <w:vAlign w:val="center"/>
          </w:tcPr>
          <w:p w:rsidR="00045427" w:rsidRDefault="00045427" w:rsidP="004D046F">
            <w:pPr>
              <w:spacing w:line="360" w:lineRule="auto"/>
              <w:jc w:val="center"/>
            </w:pPr>
          </w:p>
        </w:tc>
        <w:tc>
          <w:tcPr>
            <w:tcW w:w="1985" w:type="dxa"/>
            <w:vAlign w:val="center"/>
          </w:tcPr>
          <w:p w:rsidR="00045427" w:rsidRDefault="00045427" w:rsidP="004D046F">
            <w:pPr>
              <w:spacing w:line="360" w:lineRule="auto"/>
              <w:jc w:val="center"/>
            </w:pPr>
            <w:r>
              <w:t>2 2’F</w:t>
            </w:r>
          </w:p>
        </w:tc>
        <w:tc>
          <w:tcPr>
            <w:tcW w:w="2693" w:type="dxa"/>
          </w:tcPr>
          <w:p w:rsidR="00045427" w:rsidRPr="00B05984" w:rsidRDefault="00045427" w:rsidP="004D046F">
            <w:pPr>
              <w:jc w:val="center"/>
            </w:pPr>
            <w:r>
              <w:t>0.01, 0.1, 1, 10, 100, 1,000</w:t>
            </w:r>
          </w:p>
        </w:tc>
      </w:tr>
      <w:tr w:rsidR="00045427" w:rsidTr="002A5E17">
        <w:trPr>
          <w:jc w:val="center"/>
        </w:trPr>
        <w:tc>
          <w:tcPr>
            <w:tcW w:w="1242" w:type="dxa"/>
            <w:vAlign w:val="center"/>
          </w:tcPr>
          <w:p w:rsidR="00045427" w:rsidRPr="00383072" w:rsidRDefault="00045427" w:rsidP="004D046F">
            <w:pPr>
              <w:spacing w:line="360" w:lineRule="auto"/>
              <w:jc w:val="center"/>
            </w:pPr>
            <w:r>
              <w:t>F59C6.5</w:t>
            </w:r>
          </w:p>
        </w:tc>
        <w:tc>
          <w:tcPr>
            <w:tcW w:w="1985" w:type="dxa"/>
            <w:vAlign w:val="center"/>
          </w:tcPr>
          <w:p w:rsidR="00045427" w:rsidRPr="00383072" w:rsidRDefault="00045427" w:rsidP="004D046F">
            <w:pPr>
              <w:spacing w:line="360" w:lineRule="auto"/>
              <w:jc w:val="center"/>
            </w:pPr>
            <w:r>
              <w:t>Unmodified</w:t>
            </w:r>
          </w:p>
        </w:tc>
        <w:tc>
          <w:tcPr>
            <w:tcW w:w="2693" w:type="dxa"/>
          </w:tcPr>
          <w:p w:rsidR="00045427" w:rsidRDefault="00045427" w:rsidP="004D046F">
            <w:pPr>
              <w:jc w:val="center"/>
            </w:pPr>
            <w:r>
              <w:t>1,000</w:t>
            </w:r>
          </w:p>
        </w:tc>
      </w:tr>
    </w:tbl>
    <w:p w:rsidR="00045427" w:rsidRDefault="00045427" w:rsidP="00045427">
      <w:pPr>
        <w:spacing w:line="360" w:lineRule="auto"/>
        <w:ind w:firstLine="284"/>
      </w:pPr>
    </w:p>
    <w:p w:rsidR="002A5E17" w:rsidRDefault="002A5E17">
      <w:pPr>
        <w:spacing w:after="200"/>
        <w:jc w:val="left"/>
      </w:pPr>
      <w:r>
        <w:br w:type="page"/>
      </w:r>
    </w:p>
    <w:p w:rsidR="002A5E17" w:rsidRDefault="005C0E76" w:rsidP="002A5E17">
      <w:pPr>
        <w:keepNext/>
        <w:spacing w:after="200"/>
        <w:jc w:val="left"/>
      </w:pPr>
      <w:r>
        <w:rPr>
          <w:noProof/>
          <w:lang w:eastAsia="en-GB"/>
        </w:rPr>
        <w:lastRenderedPageBreak/>
        <w:pict>
          <v:rect id="_x0000_s1034" style="position:absolute;margin-left:412.8pt;margin-top:227.4pt;width:10.2pt;height:16.8pt;z-index:251660288" strokecolor="white [3212]"/>
        </w:pict>
      </w:r>
      <w:r w:rsidR="002A5E17" w:rsidRPr="002A5E17">
        <w:rPr>
          <w:noProof/>
          <w:lang w:eastAsia="en-GB"/>
        </w:rPr>
        <w:drawing>
          <wp:inline distT="0" distB="0" distL="0" distR="0">
            <wp:extent cx="5698388" cy="6083915"/>
            <wp:effectExtent l="0" t="0" r="0" b="0"/>
            <wp:docPr id="48" name="Object 2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98388" cy="6083915"/>
                      <a:chOff x="584684" y="884548"/>
                      <a:chExt cx="5698388" cy="6083915"/>
                    </a:xfrm>
                  </a:grpSpPr>
                  <a:pic>
                    <a:nvPicPr>
                      <a:cNvPr id="2057" name="Picture 9"/>
                      <a:cNvPicPr>
                        <a:picLocks noChangeAspect="1" noChangeArrowheads="1"/>
                      </a:cNvPicPr>
                    </a:nvPicPr>
                    <a:blipFill>
                      <a:blip r:embed="rId50"/>
                      <a:srcRect/>
                      <a:stretch>
                        <a:fillRect/>
                      </a:stretch>
                    </a:blipFill>
                    <a:spPr bwMode="auto">
                      <a:xfrm>
                        <a:off x="3356992" y="1064568"/>
                        <a:ext cx="2926080" cy="2919984"/>
                      </a:xfrm>
                      <a:prstGeom prst="rect">
                        <a:avLst/>
                      </a:prstGeom>
                      <a:noFill/>
                      <a:ln w="9525">
                        <a:noFill/>
                        <a:miter lim="800000"/>
                        <a:headEnd/>
                        <a:tailEnd/>
                      </a:ln>
                    </a:spPr>
                  </a:pic>
                  <a:pic>
                    <a:nvPicPr>
                      <a:cNvPr id="1030" name="Picture 6"/>
                      <a:cNvPicPr>
                        <a:picLocks noChangeAspect="1" noChangeArrowheads="1"/>
                      </a:cNvPicPr>
                    </a:nvPicPr>
                    <a:blipFill>
                      <a:blip r:embed="rId51"/>
                      <a:srcRect/>
                      <a:stretch>
                        <a:fillRect/>
                      </a:stretch>
                    </a:blipFill>
                    <a:spPr bwMode="auto">
                      <a:xfrm>
                        <a:off x="584684" y="1171819"/>
                        <a:ext cx="2683764" cy="2948940"/>
                      </a:xfrm>
                      <a:prstGeom prst="rect">
                        <a:avLst/>
                      </a:prstGeom>
                      <a:noFill/>
                      <a:ln w="9525">
                        <a:noFill/>
                        <a:miter lim="800000"/>
                        <a:headEnd/>
                        <a:tailEnd/>
                      </a:ln>
                    </a:spPr>
                  </a:pic>
                  <a:pic>
                    <a:nvPicPr>
                      <a:cNvPr id="2056" name="Picture 8"/>
                      <a:cNvPicPr>
                        <a:picLocks noChangeAspect="1" noChangeArrowheads="1"/>
                      </a:cNvPicPr>
                    </a:nvPicPr>
                    <a:blipFill>
                      <a:blip r:embed="rId52"/>
                      <a:srcRect b="1076"/>
                      <a:stretch>
                        <a:fillRect/>
                      </a:stretch>
                    </a:blipFill>
                    <a:spPr bwMode="auto">
                      <a:xfrm>
                        <a:off x="1823064" y="4232159"/>
                        <a:ext cx="3118104" cy="2736304"/>
                      </a:xfrm>
                      <a:prstGeom prst="rect">
                        <a:avLst/>
                      </a:prstGeom>
                      <a:noFill/>
                      <a:ln w="9525">
                        <a:noFill/>
                        <a:miter lim="800000"/>
                        <a:headEnd/>
                        <a:tailEnd/>
                      </a:ln>
                    </a:spPr>
                  </a:pic>
                  <a:sp>
                    <a:nvSpPr>
                      <a:cNvPr id="12" name="TextBox 11"/>
                      <a:cNvSpPr txBox="1"/>
                    </a:nvSpPr>
                    <a:spPr>
                      <a:xfrm>
                        <a:off x="584684" y="884548"/>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3" name="TextBox 12"/>
                      <a:cNvSpPr txBox="1"/>
                    </a:nvSpPr>
                    <a:spPr>
                      <a:xfrm>
                        <a:off x="3068960" y="919791"/>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4" name="TextBox 13"/>
                      <a:cNvSpPr txBox="1"/>
                    </a:nvSpPr>
                    <a:spPr>
                      <a:xfrm>
                        <a:off x="1792052" y="3944127"/>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p>
    <w:p w:rsidR="00B50552" w:rsidRDefault="002A5E17" w:rsidP="002A5E17">
      <w:pPr>
        <w:pStyle w:val="Caption"/>
        <w:spacing w:after="120"/>
        <w:rPr>
          <w:color w:val="auto"/>
        </w:rPr>
      </w:pPr>
      <w:bookmarkStart w:id="204" w:name="_Toc20411655"/>
      <w:r w:rsidRPr="002A5E17">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5</w:t>
      </w:r>
      <w:r w:rsidR="005C0E76">
        <w:rPr>
          <w:color w:val="auto"/>
        </w:rPr>
        <w:fldChar w:fldCharType="end"/>
      </w:r>
      <w:r w:rsidRPr="002A5E17">
        <w:rPr>
          <w:color w:val="auto"/>
        </w:rPr>
        <w:t xml:space="preserve"> In vitro analysis of the effects of 2’-fluoro dsRNA modifications on RNAi in insect cells across a range of dsRNA concentrations.</w:t>
      </w:r>
      <w:bookmarkEnd w:id="204"/>
      <w:r w:rsidRPr="002A5E17">
        <w:rPr>
          <w:color w:val="auto"/>
        </w:rPr>
        <w:t xml:space="preserve"> </w:t>
      </w:r>
    </w:p>
    <w:p w:rsidR="002A5E17" w:rsidRPr="002A5E17" w:rsidRDefault="002A5E17" w:rsidP="002A5E17">
      <w:pPr>
        <w:pStyle w:val="Caption"/>
        <w:spacing w:after="120"/>
        <w:rPr>
          <w:b w:val="0"/>
          <w:color w:val="auto"/>
        </w:rPr>
      </w:pPr>
      <w:r w:rsidRPr="002A5E17">
        <w:rPr>
          <w:b w:val="0"/>
          <w:color w:val="auto"/>
        </w:rPr>
        <w:t xml:space="preserve">Luciferase assay results for 2’-fluoro (2’F) and unmodified (Unmod) FLuc dsRNA. RNAi knockdown of a firefly luciferase reporter by FLuc dsRNA, is presented as ratios of firefly luciferase luminescence intensity (FL) to Renilla luciferase luminescence intensity (RL) normalised against FL/RL values for control conditions with no dsRNA. (a) Bar graph of RNAi knockdown by 1 µg treatments of Unmod, 1 2’F and 2 2’F FLuc dsRNA against F59C6.5 control dsRNA. (b) Dose curves of normalised FL/RL values plotted against log of dsRNA dose per well in ng. EC50s are concentrations at which 50% RNAi knockdown occurs. Coloured stars denote statistical significance of the identically coloured point compared to unmodified dsRNA. Curves generated by non-linear regression analysis using a dose-response inhibition variable slope model in Graphpad prism software. (c) Graph of individual normalised FL/RL values for the dose curves in figure b.  </w:t>
      </w:r>
    </w:p>
    <w:p w:rsidR="00D16286" w:rsidRPr="00D16286" w:rsidRDefault="002A5E17" w:rsidP="00D16286">
      <w:pPr>
        <w:pStyle w:val="Caption"/>
        <w:rPr>
          <w:b w:val="0"/>
          <w:color w:val="auto"/>
        </w:rPr>
      </w:pPr>
      <w:r w:rsidRPr="002A5E17">
        <w:rPr>
          <w:b w:val="0"/>
          <w:color w:val="auto"/>
        </w:rPr>
        <w:t xml:space="preserve">In all graphs, mean and SEM are plotted (n=6).  Stars denote significance as calculated by unpaired T-tests. ns = P &gt; 0.05, </w:t>
      </w:r>
      <w:r w:rsidR="005A7DD5">
        <w:rPr>
          <w:b w:val="0"/>
          <w:color w:val="auto"/>
        </w:rPr>
        <w:t xml:space="preserve">   </w:t>
      </w:r>
      <w:r w:rsidRPr="002A5E17">
        <w:rPr>
          <w:b w:val="0"/>
          <w:color w:val="auto"/>
        </w:rPr>
        <w:t xml:space="preserve">*  = P ≤ 0.05, ** = P ≤ 0.01, *** = P ≤ 0.001, **** = P ≤ 0.0001. </w:t>
      </w:r>
      <w:r>
        <w:rPr>
          <w:b w:val="0"/>
          <w:color w:val="auto"/>
        </w:rPr>
        <w:t xml:space="preserve">Full list of P values given in </w:t>
      </w:r>
      <w:r w:rsidR="00D16286" w:rsidRPr="00D16286">
        <w:rPr>
          <w:b w:val="0"/>
          <w:color w:val="auto"/>
        </w:rPr>
        <w:t xml:space="preserve">Appendix 1, figure A1.2. </w:t>
      </w:r>
    </w:p>
    <w:p w:rsidR="002A5E17" w:rsidRPr="002A5E17" w:rsidRDefault="002A5E17" w:rsidP="002A5E17">
      <w:pPr>
        <w:pStyle w:val="Caption"/>
        <w:rPr>
          <w:b w:val="0"/>
          <w:color w:val="auto"/>
        </w:rPr>
      </w:pPr>
    </w:p>
    <w:p w:rsidR="002A5E17" w:rsidRPr="002A5E17" w:rsidRDefault="002A5E17" w:rsidP="002A5E17">
      <w:pPr>
        <w:spacing w:after="200"/>
      </w:pPr>
      <w:r w:rsidRPr="002A5E17">
        <w:br w:type="page"/>
      </w:r>
    </w:p>
    <w:p w:rsidR="00045427" w:rsidRPr="009111A4" w:rsidRDefault="00045427" w:rsidP="00045427">
      <w:pPr>
        <w:spacing w:line="360" w:lineRule="auto"/>
        <w:ind w:firstLine="284"/>
      </w:pPr>
      <w:r>
        <w:lastRenderedPageBreak/>
        <w:t xml:space="preserve">The results firstly show that at the highest dsRNA concentration of 1 µg per well, there is no significant difference between the RNAi efficacy of unmodified and 1 2’F dsRNA, with both dsRNAs resulting </w:t>
      </w:r>
      <w:r w:rsidRPr="001E1AC5">
        <w:t xml:space="preserve">in a high level of RNAi-induced knockdown (90-95%) compared to the F59C6.5 control dsRNA (see figure </w:t>
      </w:r>
      <w:r w:rsidR="002A5E17" w:rsidRPr="001E1AC5">
        <w:t>5.5</w:t>
      </w:r>
      <w:r w:rsidRPr="001E1AC5">
        <w:t xml:space="preserve"> a). However</w:t>
      </w:r>
      <w:r>
        <w:t>, 2 2’F dsRNA demonstrates a significant reduction in RNAi efficacy compared to both unmodified and 1 2’F</w:t>
      </w:r>
      <w:r w:rsidR="001E1AC5">
        <w:t xml:space="preserve"> (p &lt; 0.001 and p &lt; 0.0001 respectively)</w:t>
      </w:r>
      <w:r>
        <w:t xml:space="preserve"> modified dsRNA, with an RNAi-induced knockdown efficiency </w:t>
      </w:r>
      <w:r w:rsidRPr="009111A4">
        <w:t>of approximately 85%.</w:t>
      </w:r>
    </w:p>
    <w:p w:rsidR="00045427" w:rsidRDefault="00045427" w:rsidP="00045427">
      <w:pPr>
        <w:spacing w:line="360" w:lineRule="auto"/>
        <w:ind w:firstLine="284"/>
      </w:pPr>
      <w:r w:rsidRPr="009111A4">
        <w:t>The full dose curves from the experiment are shown in figure 5.6 b. The dose curve for 1 2’F dsRNA demonstrates an improvement in RNAi efficacy for the middle of the concentration range compared to unmodified dsRNA, with the difference being highly statistically significant at 10 ng of dsRNA. The difference at 1 ng is close to being statistically significant, with a P value of 0.0557. The individual values for each plate well shown in figure 5.</w:t>
      </w:r>
      <w:r w:rsidR="002A5E17" w:rsidRPr="009111A4">
        <w:t>5</w:t>
      </w:r>
      <w:r w:rsidRPr="009111A4">
        <w:t xml:space="preserve"> c show a single</w:t>
      </w:r>
      <w:r>
        <w:t xml:space="preserve"> outlying value that </w:t>
      </w:r>
      <w:r w:rsidR="006A4416">
        <w:t>may</w:t>
      </w:r>
      <w:r>
        <w:t xml:space="preserve"> prevent the difference between 1 ng of unmodified and 1 2’F dsRNA being statistically significant, therefore an increased number of replicates per concentration may lead to the difference becoming significant. The EC50 value of 1 2’F dsRNA is approximately 8 % of that for unmodified dsRNA, with EC50 values of 0.8 ng and 9.8 ng for 1 2’F dsRNA and unmodified dsRNA respectively.</w:t>
      </w:r>
    </w:p>
    <w:p w:rsidR="00045427" w:rsidRPr="00942AF8" w:rsidRDefault="00045427" w:rsidP="00045427">
      <w:pPr>
        <w:spacing w:line="360" w:lineRule="auto"/>
        <w:ind w:firstLine="284"/>
      </w:pPr>
      <w:r>
        <w:t xml:space="preserve">2 2’F dsRNA demonstrated a moderate reduction in RNAi efficacy compared to unmodified dsRNA at high and low concentrations, with the difference being statistically significant at 1 ng and 1,000 ng. At middle concentrations of 10 and 100 ng 2 2’F dsRNA demonstrates RNAi efficacy equivalent to that of unmodified dsRNA. The EC50 value of 2 2’F dsRNA is 7.0 ng compared to 9.8 ng for unmodified dsRNA, and therefore </w:t>
      </w:r>
      <w:r w:rsidRPr="00942AF8">
        <w:t xml:space="preserve">relatively similar. </w:t>
      </w:r>
    </w:p>
    <w:p w:rsidR="00045427" w:rsidRPr="00942AF8" w:rsidRDefault="00045427" w:rsidP="00045427">
      <w:pPr>
        <w:spacing w:line="360" w:lineRule="auto"/>
        <w:ind w:firstLine="284"/>
      </w:pPr>
      <w:r w:rsidRPr="00942AF8">
        <w:t>Individual normalised FL/RL values for the assay are shown in figure 5.</w:t>
      </w:r>
      <w:r w:rsidR="002A5E17" w:rsidRPr="00942AF8">
        <w:t>5</w:t>
      </w:r>
      <w:r w:rsidRPr="00942AF8">
        <w:t xml:space="preserve"> c. The data shows that there is a greater spread of replicate values for lower concentrations of unmodified, 1 2’F, and 2 2’F dsRNAs, with replicates showing increasingly good agreement as concentration increases. Consequently, the smallest values of standard error of the mean were also found at the higher concentrations for unmodified, 1 2’F, and 2 2’F dsRNAs, with great variation in the standard error values at lower concentrations (</w:t>
      </w:r>
      <w:r w:rsidR="00D16286" w:rsidRPr="00942AF8">
        <w:t>see A</w:t>
      </w:r>
      <w:r w:rsidRPr="00942AF8">
        <w:t xml:space="preserve">ppendix </w:t>
      </w:r>
      <w:r w:rsidR="00D16286" w:rsidRPr="00942AF8">
        <w:t>1</w:t>
      </w:r>
      <w:r w:rsidRPr="00942AF8">
        <w:t>, figure A</w:t>
      </w:r>
      <w:r w:rsidR="00D16286" w:rsidRPr="00942AF8">
        <w:t>1.3</w:t>
      </w:r>
      <w:r w:rsidRPr="00942AF8">
        <w:t xml:space="preserve"> b).      </w:t>
      </w:r>
    </w:p>
    <w:p w:rsidR="00045427" w:rsidRPr="002715F9" w:rsidRDefault="00045427" w:rsidP="00045427">
      <w:pPr>
        <w:spacing w:line="360" w:lineRule="auto"/>
        <w:ind w:firstLine="284"/>
      </w:pPr>
    </w:p>
    <w:p w:rsidR="00045427" w:rsidRDefault="00045427" w:rsidP="00045427">
      <w:pPr>
        <w:pStyle w:val="Heading3"/>
        <w:spacing w:line="360" w:lineRule="auto"/>
      </w:pPr>
      <w:bookmarkStart w:id="205" w:name="_Toc507150644"/>
      <w:bookmarkStart w:id="206" w:name="_Toc17295545"/>
      <w:bookmarkStart w:id="207" w:name="_Toc35333997"/>
      <w:r w:rsidRPr="008F7158">
        <w:t xml:space="preserve">Quantitative comparative analysis of </w:t>
      </w:r>
      <w:r>
        <w:t>RNAi efficacy</w:t>
      </w:r>
      <w:r w:rsidRPr="008F7158">
        <w:t xml:space="preserve"> of</w:t>
      </w:r>
      <w:r>
        <w:t xml:space="preserve"> 5-Hydroxymethyl (HMr) dsRNA </w:t>
      </w:r>
      <w:bookmarkEnd w:id="205"/>
      <w:r>
        <w:t xml:space="preserve">in </w:t>
      </w:r>
      <w:r w:rsidRPr="00E56448">
        <w:rPr>
          <w:i/>
        </w:rPr>
        <w:t>Drosophila</w:t>
      </w:r>
      <w:r>
        <w:t xml:space="preserve"> Kc167 cells</w:t>
      </w:r>
      <w:bookmarkEnd w:id="206"/>
      <w:bookmarkEnd w:id="207"/>
      <w:r>
        <w:t xml:space="preserve"> </w:t>
      </w:r>
    </w:p>
    <w:p w:rsidR="00045427" w:rsidRDefault="00045427" w:rsidP="00045427">
      <w:pPr>
        <w:spacing w:line="360" w:lineRule="auto"/>
        <w:ind w:firstLine="284"/>
      </w:pPr>
      <w:r>
        <w:t xml:space="preserve">In order to determine the effectiveness of HMr dsRNA for RNAi in Kc167 cells, a luciferase assay was carried out to produce comparable dose curves of RNAi-induced knockdown for unmodified, 1HMr, and 2HMr FLuc dsRNA. The range of dsRNA concentrations tested was identical to that used in the previous assays to generate phosphorothioate and 2’-fluoro dsRNA dose </w:t>
      </w:r>
      <w:r w:rsidRPr="00942AF8">
        <w:t>curves (see table 5.</w:t>
      </w:r>
      <w:r w:rsidR="004D046F" w:rsidRPr="00942AF8">
        <w:t>8</w:t>
      </w:r>
      <w:r w:rsidRPr="00942AF8">
        <w:t>). Kc167 cells transfected with the reporter plasmids were incubated with dsRNA for 4 days as</w:t>
      </w:r>
      <w:r>
        <w:t xml:space="preserve"> in </w:t>
      </w:r>
      <w:r>
        <w:lastRenderedPageBreak/>
        <w:t xml:space="preserve">the previous assays, prior to lysis and addition of the luciferase assay reagents. The results for the assay are </w:t>
      </w:r>
      <w:r w:rsidRPr="00942AF8">
        <w:t>shown in figure 5.</w:t>
      </w:r>
      <w:r w:rsidR="002A5E17" w:rsidRPr="00942AF8">
        <w:t>6</w:t>
      </w:r>
      <w:r w:rsidRPr="00942AF8">
        <w:t xml:space="preserve"> as</w:t>
      </w:r>
      <w:r>
        <w:t xml:space="preserve"> normalised FL/RL values. </w:t>
      </w:r>
    </w:p>
    <w:p w:rsidR="00045427" w:rsidRDefault="00045427" w:rsidP="00045427">
      <w:pPr>
        <w:spacing w:line="360" w:lineRule="auto"/>
        <w:ind w:firstLine="284"/>
      </w:pPr>
    </w:p>
    <w:p w:rsidR="002A5E17" w:rsidRPr="002A5E17" w:rsidRDefault="002A5E17" w:rsidP="002A5E17">
      <w:pPr>
        <w:pStyle w:val="Caption"/>
        <w:keepNext/>
        <w:rPr>
          <w:color w:val="auto"/>
        </w:rPr>
      </w:pPr>
      <w:bookmarkStart w:id="208" w:name="_Toc20405269"/>
      <w:r w:rsidRPr="002A5E17">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8</w:t>
      </w:r>
      <w:r w:rsidR="005C0E76">
        <w:rPr>
          <w:color w:val="auto"/>
        </w:rPr>
        <w:fldChar w:fldCharType="end"/>
      </w:r>
      <w:r w:rsidRPr="002A5E17">
        <w:rPr>
          <w:color w:val="auto"/>
        </w:rPr>
        <w:t xml:space="preserve"> dsRNAs and concentrations used in the dual luciferase assay in figure 5.6.</w:t>
      </w:r>
      <w:bookmarkEnd w:id="208"/>
    </w:p>
    <w:tbl>
      <w:tblPr>
        <w:tblStyle w:val="TableGrid"/>
        <w:tblW w:w="0" w:type="auto"/>
        <w:jc w:val="center"/>
        <w:tblLook w:val="04A0"/>
      </w:tblPr>
      <w:tblGrid>
        <w:gridCol w:w="1384"/>
        <w:gridCol w:w="1701"/>
        <w:gridCol w:w="2693"/>
      </w:tblGrid>
      <w:tr w:rsidR="00045427" w:rsidTr="002A5E17">
        <w:trPr>
          <w:jc w:val="center"/>
        </w:trPr>
        <w:tc>
          <w:tcPr>
            <w:tcW w:w="1384" w:type="dxa"/>
            <w:vAlign w:val="center"/>
          </w:tcPr>
          <w:p w:rsidR="00045427" w:rsidRPr="00383072" w:rsidRDefault="00045427" w:rsidP="004D046F">
            <w:pPr>
              <w:spacing w:line="360" w:lineRule="auto"/>
              <w:jc w:val="center"/>
              <w:rPr>
                <w:b/>
              </w:rPr>
            </w:pPr>
            <w:r>
              <w:rPr>
                <w:b/>
              </w:rPr>
              <w:t>dsRNA</w:t>
            </w:r>
          </w:p>
        </w:tc>
        <w:tc>
          <w:tcPr>
            <w:tcW w:w="1701" w:type="dxa"/>
            <w:vAlign w:val="center"/>
          </w:tcPr>
          <w:p w:rsidR="00045427" w:rsidRPr="00383072" w:rsidRDefault="00045427" w:rsidP="004D046F">
            <w:pPr>
              <w:spacing w:line="360" w:lineRule="auto"/>
              <w:jc w:val="center"/>
              <w:rPr>
                <w:b/>
              </w:rPr>
            </w:pPr>
            <w:r>
              <w:rPr>
                <w:b/>
              </w:rPr>
              <w:t>Modification</w:t>
            </w:r>
          </w:p>
        </w:tc>
        <w:tc>
          <w:tcPr>
            <w:tcW w:w="2693" w:type="dxa"/>
            <w:vAlign w:val="center"/>
          </w:tcPr>
          <w:p w:rsidR="00045427" w:rsidRPr="00383072" w:rsidRDefault="00045427" w:rsidP="004D046F">
            <w:pPr>
              <w:spacing w:line="360" w:lineRule="auto"/>
              <w:jc w:val="center"/>
              <w:rPr>
                <w:b/>
              </w:rPr>
            </w:pPr>
            <w:r>
              <w:rPr>
                <w:b/>
              </w:rPr>
              <w:t>Concentrations (ng)</w:t>
            </w:r>
          </w:p>
        </w:tc>
      </w:tr>
      <w:tr w:rsidR="00045427" w:rsidTr="002A5E17">
        <w:trPr>
          <w:jc w:val="center"/>
        </w:trPr>
        <w:tc>
          <w:tcPr>
            <w:tcW w:w="1384" w:type="dxa"/>
            <w:vMerge w:val="restart"/>
            <w:vAlign w:val="center"/>
          </w:tcPr>
          <w:p w:rsidR="00045427" w:rsidRPr="00383072" w:rsidRDefault="00045427" w:rsidP="004D046F">
            <w:pPr>
              <w:spacing w:line="360" w:lineRule="auto"/>
              <w:jc w:val="center"/>
            </w:pPr>
            <w:r>
              <w:t>FLuc</w:t>
            </w:r>
          </w:p>
        </w:tc>
        <w:tc>
          <w:tcPr>
            <w:tcW w:w="1701" w:type="dxa"/>
            <w:vAlign w:val="center"/>
          </w:tcPr>
          <w:p w:rsidR="00045427" w:rsidRPr="00383072" w:rsidRDefault="00045427" w:rsidP="004D046F">
            <w:pPr>
              <w:spacing w:line="360" w:lineRule="auto"/>
              <w:jc w:val="center"/>
            </w:pPr>
            <w:r>
              <w:t>Unmodified</w:t>
            </w:r>
          </w:p>
        </w:tc>
        <w:tc>
          <w:tcPr>
            <w:tcW w:w="2693" w:type="dxa"/>
            <w:vAlign w:val="center"/>
          </w:tcPr>
          <w:p w:rsidR="00045427" w:rsidRPr="00383072" w:rsidRDefault="00045427" w:rsidP="004D046F">
            <w:pPr>
              <w:spacing w:line="360" w:lineRule="auto"/>
              <w:jc w:val="center"/>
            </w:pPr>
            <w:r>
              <w:t>0.01, 0.1, 1, 10, 100, 1,000</w:t>
            </w:r>
          </w:p>
        </w:tc>
      </w:tr>
      <w:tr w:rsidR="00045427" w:rsidTr="002A5E17">
        <w:trPr>
          <w:jc w:val="center"/>
        </w:trPr>
        <w:tc>
          <w:tcPr>
            <w:tcW w:w="1384" w:type="dxa"/>
            <w:vMerge/>
            <w:vAlign w:val="center"/>
          </w:tcPr>
          <w:p w:rsidR="00045427" w:rsidRDefault="00045427" w:rsidP="004D046F">
            <w:pPr>
              <w:spacing w:line="360" w:lineRule="auto"/>
              <w:jc w:val="center"/>
            </w:pPr>
          </w:p>
        </w:tc>
        <w:tc>
          <w:tcPr>
            <w:tcW w:w="1701" w:type="dxa"/>
            <w:vAlign w:val="center"/>
          </w:tcPr>
          <w:p w:rsidR="00045427" w:rsidRDefault="00045427" w:rsidP="004D046F">
            <w:pPr>
              <w:spacing w:line="360" w:lineRule="auto"/>
              <w:jc w:val="center"/>
            </w:pPr>
            <w:r>
              <w:t>1HMr</w:t>
            </w:r>
          </w:p>
        </w:tc>
        <w:tc>
          <w:tcPr>
            <w:tcW w:w="2693" w:type="dxa"/>
          </w:tcPr>
          <w:p w:rsidR="00045427" w:rsidRPr="00B05984" w:rsidRDefault="00045427" w:rsidP="004D046F">
            <w:pPr>
              <w:jc w:val="center"/>
            </w:pPr>
            <w:r>
              <w:t>0.01, 0.1, 1, 10, 100, 1,000</w:t>
            </w:r>
          </w:p>
        </w:tc>
      </w:tr>
      <w:tr w:rsidR="00045427" w:rsidTr="002A5E17">
        <w:trPr>
          <w:jc w:val="center"/>
        </w:trPr>
        <w:tc>
          <w:tcPr>
            <w:tcW w:w="1384" w:type="dxa"/>
            <w:vMerge/>
            <w:vAlign w:val="center"/>
          </w:tcPr>
          <w:p w:rsidR="00045427" w:rsidRDefault="00045427" w:rsidP="004D046F">
            <w:pPr>
              <w:spacing w:line="360" w:lineRule="auto"/>
              <w:jc w:val="center"/>
            </w:pPr>
          </w:p>
        </w:tc>
        <w:tc>
          <w:tcPr>
            <w:tcW w:w="1701" w:type="dxa"/>
            <w:vAlign w:val="center"/>
          </w:tcPr>
          <w:p w:rsidR="00045427" w:rsidRDefault="00045427" w:rsidP="004D046F">
            <w:pPr>
              <w:spacing w:line="360" w:lineRule="auto"/>
              <w:jc w:val="center"/>
            </w:pPr>
            <w:r>
              <w:t>2HMr</w:t>
            </w:r>
          </w:p>
        </w:tc>
        <w:tc>
          <w:tcPr>
            <w:tcW w:w="2693" w:type="dxa"/>
          </w:tcPr>
          <w:p w:rsidR="00045427" w:rsidRPr="00B05984" w:rsidRDefault="00045427" w:rsidP="004D046F">
            <w:pPr>
              <w:jc w:val="center"/>
            </w:pPr>
            <w:r>
              <w:t>0.01, 0.1, 1, 10, 100, 1,000</w:t>
            </w:r>
          </w:p>
        </w:tc>
      </w:tr>
      <w:tr w:rsidR="00045427" w:rsidTr="002A5E17">
        <w:trPr>
          <w:jc w:val="center"/>
        </w:trPr>
        <w:tc>
          <w:tcPr>
            <w:tcW w:w="1384" w:type="dxa"/>
            <w:vAlign w:val="center"/>
          </w:tcPr>
          <w:p w:rsidR="00045427" w:rsidRPr="00383072" w:rsidRDefault="00045427" w:rsidP="004D046F">
            <w:pPr>
              <w:spacing w:line="360" w:lineRule="auto"/>
              <w:jc w:val="center"/>
            </w:pPr>
            <w:r>
              <w:t>F59C6.5</w:t>
            </w:r>
          </w:p>
        </w:tc>
        <w:tc>
          <w:tcPr>
            <w:tcW w:w="1701" w:type="dxa"/>
            <w:vAlign w:val="center"/>
          </w:tcPr>
          <w:p w:rsidR="00045427" w:rsidRPr="00383072" w:rsidRDefault="00045427" w:rsidP="004D046F">
            <w:pPr>
              <w:spacing w:line="360" w:lineRule="auto"/>
              <w:jc w:val="center"/>
            </w:pPr>
            <w:r>
              <w:t>Unmodified</w:t>
            </w:r>
          </w:p>
        </w:tc>
        <w:tc>
          <w:tcPr>
            <w:tcW w:w="2693" w:type="dxa"/>
          </w:tcPr>
          <w:p w:rsidR="00045427" w:rsidRDefault="00045427" w:rsidP="004D046F">
            <w:pPr>
              <w:jc w:val="center"/>
            </w:pPr>
            <w:r>
              <w:t>1,000</w:t>
            </w:r>
          </w:p>
        </w:tc>
      </w:tr>
    </w:tbl>
    <w:p w:rsidR="00045427" w:rsidRDefault="00045427" w:rsidP="00045427">
      <w:pPr>
        <w:spacing w:line="360" w:lineRule="auto"/>
        <w:ind w:firstLine="284"/>
      </w:pPr>
    </w:p>
    <w:p w:rsidR="00045427" w:rsidRPr="00942AF8" w:rsidRDefault="00045427" w:rsidP="00045427">
      <w:pPr>
        <w:spacing w:line="360" w:lineRule="auto"/>
        <w:ind w:firstLine="284"/>
      </w:pPr>
      <w:r>
        <w:t>The results firstly show that at the highest dsRNA concentration of 1 µg per well, there is no significant difference between the RNAi efficacy of unmodified and 1HMr dsRNA,</w:t>
      </w:r>
      <w:r w:rsidRPr="00E039C0">
        <w:t xml:space="preserve"> </w:t>
      </w:r>
      <w:r>
        <w:t xml:space="preserve">with both dsRNAs </w:t>
      </w:r>
      <w:r w:rsidRPr="00942AF8">
        <w:t xml:space="preserve">resulting in a high level of RNAi-induced knockdown (90-95%) compared to the F59C6.5 control dsRNA (see </w:t>
      </w:r>
      <w:r w:rsidR="002A5E17" w:rsidRPr="00942AF8">
        <w:t>figure 5.6</w:t>
      </w:r>
      <w:r w:rsidRPr="00942AF8">
        <w:t xml:space="preserve"> a). However, 2HMr dsRNA demonstrates a significant reduction in efficacy compared to both unmodified and 1HMr modified dsRNA, with an RNAi-induced knockdown efficiency of around 80%.</w:t>
      </w:r>
    </w:p>
    <w:p w:rsidR="00045427" w:rsidRPr="00942AF8" w:rsidRDefault="00045427" w:rsidP="00045427">
      <w:pPr>
        <w:spacing w:line="360" w:lineRule="auto"/>
        <w:ind w:firstLine="284"/>
      </w:pPr>
      <w:r w:rsidRPr="00942AF8">
        <w:t>The full dose curves from the experiment are shown in figure</w:t>
      </w:r>
      <w:r w:rsidR="002A5E17" w:rsidRPr="00942AF8">
        <w:t xml:space="preserve"> 5.6</w:t>
      </w:r>
      <w:r w:rsidRPr="00942AF8">
        <w:t xml:space="preserve"> b. The dose curve for 1HMr dsRNA demonstrates no statistically significant difference in RNAi knockdown</w:t>
      </w:r>
      <w:r>
        <w:t xml:space="preserve"> efficacy compared to unmodified dsRNA at any dsRNA concentration. The difference at 1 ng is close to being statistically significant, with a P value of 0.0988, and 1HMr dsRNA has a moderately higher mean value than unmodified dsRNA, indicative of reduced RNAi efficacy for 1HMr dsRNA compared to unmodified dsRNA. This may explain why there is some difference in the EC50 values, with values of 21.8 ng and 7.9 ng for unmodified and 1 HMr respectively. 2HMr dsRNA demonstrated a reduction in RNAi efficacy compared to unmodified dsRNA across the entire concentration range. The difference between the two is statistically significant at 1 ng, </w:t>
      </w:r>
      <w:r w:rsidRPr="00942AF8">
        <w:t xml:space="preserve">100 ng, and 1,000 ng, and close to being statistically significant at 0.01 ng, with a P value of 0.0606. The EC50 value of 2HMr dsRNA (81.2 ng) is higher than that for unmodified dsRNA (9.8 ng). </w:t>
      </w:r>
    </w:p>
    <w:p w:rsidR="00045427" w:rsidRDefault="00045427" w:rsidP="00045427">
      <w:pPr>
        <w:spacing w:line="360" w:lineRule="auto"/>
        <w:ind w:firstLine="284"/>
      </w:pPr>
      <w:r w:rsidRPr="00942AF8">
        <w:t>Individual normalised FL/RL values for the assay are shown in figure 5.</w:t>
      </w:r>
      <w:r w:rsidR="002A5E17" w:rsidRPr="00942AF8">
        <w:t>6</w:t>
      </w:r>
      <w:r w:rsidRPr="00942AF8">
        <w:t xml:space="preserve"> c. The data shows that there is a greater spread of replicate values for lower concentrations of unmodified</w:t>
      </w:r>
      <w:r>
        <w:t xml:space="preserve"> and 1HMr dsRNAs, with replicates demonstrating increasingly good agreement as concentration increases. 2HMr dsRNA demonstrated a wide spread of values right across the concentration range, with close agreement between replicates only for 1,000 ng of dsRNA. The smallest values of standard error of the mean were also found at the higher concentrations for unmodified, 1HMr, and 2HMr dsRNAs, </w:t>
      </w:r>
      <w:r>
        <w:lastRenderedPageBreak/>
        <w:t xml:space="preserve">with great variation in the standard error values at </w:t>
      </w:r>
      <w:r w:rsidRPr="00942AF8">
        <w:t>lower concentrations, and particularly great variation in the 2HMr standard errors up until 100 ng of dsRNA (</w:t>
      </w:r>
      <w:r w:rsidR="00D16286" w:rsidRPr="00942AF8">
        <w:t>see A</w:t>
      </w:r>
      <w:r w:rsidRPr="00942AF8">
        <w:t xml:space="preserve">ppendix </w:t>
      </w:r>
      <w:r w:rsidR="00D16286" w:rsidRPr="00942AF8">
        <w:t>1</w:t>
      </w:r>
      <w:r w:rsidRPr="00942AF8">
        <w:t>, figure A</w:t>
      </w:r>
      <w:r w:rsidR="00D16286" w:rsidRPr="00942AF8">
        <w:t>1.</w:t>
      </w:r>
      <w:r w:rsidRPr="00942AF8">
        <w:t>3 c).</w:t>
      </w:r>
      <w:r>
        <w:t xml:space="preserve">   </w:t>
      </w:r>
    </w:p>
    <w:p w:rsidR="002A5E17" w:rsidRDefault="002A5E17" w:rsidP="002A5E17">
      <w:pPr>
        <w:keepNext/>
        <w:spacing w:line="360" w:lineRule="auto"/>
        <w:ind w:firstLine="284"/>
      </w:pPr>
      <w:r w:rsidRPr="002A5E17">
        <w:rPr>
          <w:noProof/>
          <w:lang w:eastAsia="en-GB"/>
        </w:rPr>
        <w:drawing>
          <wp:inline distT="0" distB="0" distL="0" distR="0">
            <wp:extent cx="5724636" cy="6047911"/>
            <wp:effectExtent l="0" t="0" r="9414" b="0"/>
            <wp:docPr id="49" name="Objec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24636" cy="6047911"/>
                      <a:chOff x="584684" y="776536"/>
                      <a:chExt cx="5724636" cy="6047911"/>
                    </a:xfrm>
                  </a:grpSpPr>
                  <a:pic>
                    <a:nvPicPr>
                      <a:cNvPr id="2050" name="Picture 2"/>
                      <a:cNvPicPr>
                        <a:picLocks noChangeAspect="1" noChangeArrowheads="1"/>
                      </a:cNvPicPr>
                    </a:nvPicPr>
                    <a:blipFill>
                      <a:blip r:embed="rId53"/>
                      <a:srcRect b="3515"/>
                      <a:stretch>
                        <a:fillRect/>
                      </a:stretch>
                    </a:blipFill>
                    <a:spPr bwMode="auto">
                      <a:xfrm>
                        <a:off x="620688" y="919791"/>
                        <a:ext cx="2683764" cy="2937922"/>
                      </a:xfrm>
                      <a:prstGeom prst="rect">
                        <a:avLst/>
                      </a:prstGeom>
                      <a:noFill/>
                      <a:ln w="9525">
                        <a:noFill/>
                        <a:miter lim="800000"/>
                        <a:headEnd/>
                        <a:tailEnd/>
                      </a:ln>
                    </a:spPr>
                  </a:pic>
                  <a:pic>
                    <a:nvPicPr>
                      <a:cNvPr id="3077" name="Picture 5"/>
                      <a:cNvPicPr>
                        <a:picLocks noChangeAspect="1" noChangeArrowheads="1"/>
                      </a:cNvPicPr>
                    </a:nvPicPr>
                    <a:blipFill>
                      <a:blip r:embed="rId54"/>
                      <a:srcRect b="1076"/>
                      <a:stretch>
                        <a:fillRect/>
                      </a:stretch>
                    </a:blipFill>
                    <a:spPr bwMode="auto">
                      <a:xfrm>
                        <a:off x="1803632" y="4088143"/>
                        <a:ext cx="3209544" cy="2736304"/>
                      </a:xfrm>
                      <a:prstGeom prst="rect">
                        <a:avLst/>
                      </a:prstGeom>
                      <a:noFill/>
                      <a:ln w="9525">
                        <a:noFill/>
                        <a:miter lim="800000"/>
                        <a:headEnd/>
                        <a:tailEnd/>
                      </a:ln>
                    </a:spPr>
                  </a:pic>
                  <a:sp>
                    <a:nvSpPr>
                      <a:cNvPr id="10" name="TextBox 9"/>
                      <a:cNvSpPr txBox="1"/>
                    </a:nvSpPr>
                    <a:spPr>
                      <a:xfrm>
                        <a:off x="584684" y="776536"/>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1" name="TextBox 10"/>
                      <a:cNvSpPr txBox="1"/>
                    </a:nvSpPr>
                    <a:spPr>
                      <a:xfrm>
                        <a:off x="3068960" y="811779"/>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2" name="TextBox 11"/>
                      <a:cNvSpPr txBox="1"/>
                    </a:nvSpPr>
                    <a:spPr>
                      <a:xfrm>
                        <a:off x="1792052" y="3836115"/>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a:pic>
                    <a:nvPicPr>
                      <a:cNvPr id="3078" name="Picture 6"/>
                      <a:cNvPicPr>
                        <a:picLocks noChangeAspect="1" noChangeArrowheads="1"/>
                      </a:cNvPicPr>
                    </a:nvPicPr>
                    <a:blipFill>
                      <a:blip r:embed="rId55"/>
                      <a:srcRect/>
                      <a:stretch>
                        <a:fillRect/>
                      </a:stretch>
                    </a:blipFill>
                    <a:spPr bwMode="auto">
                      <a:xfrm>
                        <a:off x="3383240" y="956556"/>
                        <a:ext cx="2926080" cy="2919984"/>
                      </a:xfrm>
                      <a:prstGeom prst="rect">
                        <a:avLst/>
                      </a:prstGeom>
                      <a:noFill/>
                      <a:ln w="9525">
                        <a:noFill/>
                        <a:miter lim="800000"/>
                        <a:headEnd/>
                        <a:tailEnd/>
                      </a:ln>
                    </a:spPr>
                  </a:pic>
                </lc:lockedCanvas>
              </a:graphicData>
            </a:graphic>
          </wp:inline>
        </w:drawing>
      </w:r>
    </w:p>
    <w:p w:rsidR="00B50552" w:rsidRDefault="002A5E17" w:rsidP="002A5E17">
      <w:pPr>
        <w:pStyle w:val="Caption"/>
        <w:spacing w:after="120"/>
        <w:rPr>
          <w:color w:val="auto"/>
        </w:rPr>
      </w:pPr>
      <w:bookmarkStart w:id="209" w:name="_Toc20411656"/>
      <w:r w:rsidRPr="002A5E17">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6</w:t>
      </w:r>
      <w:r w:rsidR="005C0E76">
        <w:rPr>
          <w:color w:val="auto"/>
        </w:rPr>
        <w:fldChar w:fldCharType="end"/>
      </w:r>
      <w:r w:rsidRPr="002A5E17">
        <w:rPr>
          <w:color w:val="auto"/>
        </w:rPr>
        <w:t xml:space="preserve"> </w:t>
      </w:r>
      <w:r w:rsidRPr="002A5E17">
        <w:rPr>
          <w:i/>
          <w:iCs/>
          <w:color w:val="auto"/>
        </w:rPr>
        <w:t xml:space="preserve">In vitro </w:t>
      </w:r>
      <w:r w:rsidRPr="002A5E17">
        <w:rPr>
          <w:color w:val="auto"/>
        </w:rPr>
        <w:t>analysis of the effects of 5-hydroxymethyl dsRNA modifications on RNAi in insect cells across a range of dsRNA concentrations.</w:t>
      </w:r>
      <w:bookmarkEnd w:id="209"/>
      <w:r w:rsidRPr="002A5E17">
        <w:rPr>
          <w:color w:val="auto"/>
        </w:rPr>
        <w:t xml:space="preserve"> </w:t>
      </w:r>
    </w:p>
    <w:p w:rsidR="002A5E17" w:rsidRPr="002A5E17" w:rsidRDefault="002A5E17" w:rsidP="002A5E17">
      <w:pPr>
        <w:pStyle w:val="Caption"/>
        <w:spacing w:after="120"/>
        <w:rPr>
          <w:b w:val="0"/>
          <w:color w:val="auto"/>
        </w:rPr>
      </w:pPr>
      <w:r w:rsidRPr="002A5E17">
        <w:rPr>
          <w:b w:val="0"/>
          <w:color w:val="auto"/>
        </w:rPr>
        <w:t xml:space="preserve">Luciferase assay results for 5-hydroxymethyl (HMr) and unmodified (Unmod) FLuc dsRNA. RNAi knockdown of a firefly luciferase reporter by FLuc dsRNA, is presented as ratios of firefly luciferase luminescence intensity (FL) to </w:t>
      </w:r>
      <w:r w:rsidRPr="002A5E17">
        <w:rPr>
          <w:b w:val="0"/>
          <w:i/>
          <w:iCs/>
          <w:color w:val="auto"/>
        </w:rPr>
        <w:t>Renilla</w:t>
      </w:r>
      <w:r w:rsidRPr="002A5E17">
        <w:rPr>
          <w:b w:val="0"/>
          <w:color w:val="auto"/>
        </w:rPr>
        <w:t xml:space="preserve"> luciferase luminescence intensity (RL) normalised against FL/RL values for control conditions with no dsRNA. (a) Bar graph of RNAi knockdown by 1 µg treatments of Unmod, 1HMr and 2HMr FLuc dsRNA against F59C6.5 control dsRNA. (b) Dose curves of normalised FL/RL values plotted against log of dsRNA dose per well in ng. EC50s are concentrations at which 50% RNAi knockdown occurs. Coloured stars denote statistical significance of the identically coloured point compared to unmodified dsRNA. Curves generated by non-linear regression analysis using a dose-response inhibition variable slope model in Graphpad prism software. (c) Graph of individual normalised FL/RL values for the dose curves in figure b.  </w:t>
      </w:r>
    </w:p>
    <w:p w:rsidR="00D16286" w:rsidRPr="00D16286" w:rsidRDefault="002A5E17" w:rsidP="00D16286">
      <w:pPr>
        <w:pStyle w:val="Caption"/>
        <w:rPr>
          <w:b w:val="0"/>
          <w:color w:val="auto"/>
        </w:rPr>
      </w:pPr>
      <w:r w:rsidRPr="002A5E17">
        <w:rPr>
          <w:b w:val="0"/>
          <w:color w:val="auto"/>
        </w:rPr>
        <w:t xml:space="preserve">In all graphs, mean and SEM are plotted (n=6).  Stars denote significance as calculated by unpaired T-tests. ns = P &gt; 0.05, </w:t>
      </w:r>
      <w:r w:rsidR="006A4416">
        <w:rPr>
          <w:b w:val="0"/>
          <w:color w:val="auto"/>
        </w:rPr>
        <w:t xml:space="preserve">   </w:t>
      </w:r>
      <w:r w:rsidRPr="002A5E17">
        <w:rPr>
          <w:b w:val="0"/>
          <w:color w:val="auto"/>
        </w:rPr>
        <w:t xml:space="preserve">*  = P ≤ 0.05, ** = P ≤ 0.01, *** = P ≤ 0.001, **** = P ≤ 0.0001. </w:t>
      </w:r>
      <w:r w:rsidRPr="00D16286">
        <w:rPr>
          <w:b w:val="0"/>
          <w:color w:val="auto"/>
        </w:rPr>
        <w:t>Full list of P values given in</w:t>
      </w:r>
      <w:r w:rsidRPr="002A5E17">
        <w:rPr>
          <w:b w:val="0"/>
          <w:color w:val="FF0000"/>
        </w:rPr>
        <w:t xml:space="preserve"> </w:t>
      </w:r>
      <w:r w:rsidR="00D16286" w:rsidRPr="00D16286">
        <w:rPr>
          <w:b w:val="0"/>
          <w:color w:val="auto"/>
        </w:rPr>
        <w:t xml:space="preserve">Appendix 1, figure A1.2. </w:t>
      </w:r>
    </w:p>
    <w:p w:rsidR="002A5E17" w:rsidRPr="002A5E17" w:rsidRDefault="002A5E17" w:rsidP="002A5E17">
      <w:pPr>
        <w:pStyle w:val="Caption"/>
        <w:rPr>
          <w:b w:val="0"/>
          <w:color w:val="auto"/>
        </w:rPr>
      </w:pPr>
    </w:p>
    <w:p w:rsidR="00045427" w:rsidRDefault="00045427" w:rsidP="00045427">
      <w:pPr>
        <w:pStyle w:val="Heading3"/>
        <w:spacing w:line="360" w:lineRule="auto"/>
      </w:pPr>
      <w:bookmarkStart w:id="210" w:name="_Toc17295546"/>
      <w:bookmarkStart w:id="211" w:name="_Toc35333998"/>
      <w:r>
        <w:lastRenderedPageBreak/>
        <w:t>Comparison of reproducibility of results for a single dsRNA across replicate experiments</w:t>
      </w:r>
      <w:bookmarkEnd w:id="210"/>
      <w:bookmarkEnd w:id="211"/>
    </w:p>
    <w:p w:rsidR="00045427" w:rsidRPr="00942AF8" w:rsidRDefault="00045427" w:rsidP="00045427">
      <w:pPr>
        <w:spacing w:line="360" w:lineRule="auto"/>
        <w:ind w:firstLine="284"/>
      </w:pPr>
      <w:r>
        <w:t xml:space="preserve">A comparison was made of the unmodified FLuc dsRNA dose curves from the PS, 2’F and HMr dual luciferase assays. The aim was to determine the reproducibility of results for the same dsRNA, across replicate experiments. This would enable inference of the reliability of differences between different dsRNAs for the previous screening assays. The </w:t>
      </w:r>
      <w:r w:rsidRPr="00942AF8">
        <w:t xml:space="preserve">2’F and HMr assays were carried out </w:t>
      </w:r>
      <w:r w:rsidR="00942AF8" w:rsidRPr="00942AF8">
        <w:t>concurrently</w:t>
      </w:r>
      <w:r w:rsidRPr="00942AF8">
        <w:t>, though with separate unmodified dsRNA dose curves for each assay. The PS assay was carried out at a separate time. The three unmodified FLuc dose curves are plotted in</w:t>
      </w:r>
      <w:r w:rsidR="002A5E17" w:rsidRPr="00942AF8">
        <w:t xml:space="preserve"> figure 5.7 a</w:t>
      </w:r>
      <w:r w:rsidRPr="00942AF8">
        <w:t xml:space="preserve">, with individual normalised FL/RL values given in figure </w:t>
      </w:r>
      <w:r w:rsidR="002A5E17" w:rsidRPr="00942AF8">
        <w:t>5.7</w:t>
      </w:r>
      <w:r w:rsidRPr="00942AF8">
        <w:t xml:space="preserve"> b. </w:t>
      </w:r>
    </w:p>
    <w:p w:rsidR="00045427" w:rsidRDefault="00045427" w:rsidP="00045427">
      <w:pPr>
        <w:spacing w:line="360" w:lineRule="auto"/>
        <w:ind w:firstLine="284"/>
      </w:pPr>
      <w:r>
        <w:t xml:space="preserve">The results show that the unmodified dsRNA dose curves from the 2’F and HMr assays conducted at the same time, are very similar. There is no statistically significant difference between the two </w:t>
      </w:r>
      <w:r w:rsidR="00942AF8">
        <w:t xml:space="preserve">data sets </w:t>
      </w:r>
      <w:r>
        <w:t xml:space="preserve">at any concentration. The unmodified dsRNA dose curve from the PS dsRNA assay showed statistically significant differences from the 2’F and HMr assay unmodified dsRNAs at the 100 ng and 1,000 ng concentrations, though not at any other concentrations. </w:t>
      </w:r>
      <w:bookmarkStart w:id="212" w:name="_Toc507150645"/>
    </w:p>
    <w:p w:rsidR="00045427" w:rsidRDefault="00045427" w:rsidP="00045427">
      <w:pPr>
        <w:spacing w:line="360" w:lineRule="auto"/>
        <w:ind w:firstLine="284"/>
      </w:pPr>
      <w:r>
        <w:t>The results demonstrate that the reproducibility of replicate results for the same dsRNA tested in multiple assays concurrently is excellent</w:t>
      </w:r>
      <w:r w:rsidR="006A4416">
        <w:t xml:space="preserve"> at high concentrations of dsRNA</w:t>
      </w:r>
      <w:r>
        <w:t>,</w:t>
      </w:r>
      <w:r w:rsidR="006A4416">
        <w:t xml:space="preserve"> and reasonable at lower concentrations,</w:t>
      </w:r>
      <w:r>
        <w:t xml:space="preserve"> though there is less reproducibility between results for the same dsRNA tested in different assays conducted at different times. This suggests that where the results for chemically modified dsRNAs vary from unmodified dsRNAs in a single assay, these differences are likely to be accurate. However, </w:t>
      </w:r>
      <w:r w:rsidR="00942AF8">
        <w:t xml:space="preserve">direct </w:t>
      </w:r>
      <w:r>
        <w:t xml:space="preserve">comparison of </w:t>
      </w:r>
      <w:r w:rsidR="00942AF8">
        <w:t xml:space="preserve">results for </w:t>
      </w:r>
      <w:r>
        <w:t>dsRNAs between different assays should be made cautiously.</w:t>
      </w:r>
    </w:p>
    <w:p w:rsidR="00045427" w:rsidRDefault="00045427" w:rsidP="00045427">
      <w:pPr>
        <w:spacing w:line="360" w:lineRule="auto"/>
        <w:ind w:firstLine="284"/>
      </w:pPr>
      <w:r>
        <w:t>Even though the unmodified dsRNA dose curves from the 2’F and HMr dsRNA screens are in close agreement and show no statistical difference, their EC50 values of 9.8 ng and 21.8 ng respectively show variation. In contrast the unmodified dose curve from the PS dsRNA assay is statistically different from the 2’F and HMr screen unmodified dsRNA curves, yet has an EC50 value of 20.6 ng, which is in close agreement with the EC50 from the HMr screen unmodified dsRNA curve. The close agreement of the 2’F and HMr screen unmodified dsRNA dose curves suggests that statistical difference of mean values analysed by T-test is likely a more reliable measure of difference between dsRNA dose curves, and EC50 values are of limited reliability. This is discussed further below, in the context of FL/RL values above 1.0 at some dsRNA concentrations.</w:t>
      </w:r>
    </w:p>
    <w:p w:rsidR="002A5E17" w:rsidRDefault="002A5E17">
      <w:pPr>
        <w:spacing w:after="200"/>
        <w:jc w:val="left"/>
      </w:pPr>
      <w:r>
        <w:br w:type="page"/>
      </w:r>
    </w:p>
    <w:p w:rsidR="004D046F" w:rsidRDefault="004D046F" w:rsidP="004D046F">
      <w:pPr>
        <w:keepNext/>
        <w:spacing w:line="360" w:lineRule="auto"/>
        <w:ind w:firstLine="284"/>
        <w:jc w:val="center"/>
      </w:pPr>
      <w:r w:rsidRPr="004D046F">
        <w:rPr>
          <w:noProof/>
          <w:lang w:eastAsia="en-GB"/>
        </w:rPr>
        <w:lastRenderedPageBreak/>
        <w:drawing>
          <wp:inline distT="0" distB="0" distL="0" distR="0">
            <wp:extent cx="3456384" cy="5266908"/>
            <wp:effectExtent l="0" t="0" r="0" b="0"/>
            <wp:docPr id="51" name="Object 3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56384" cy="5266908"/>
                      <a:chOff x="1628800" y="812540"/>
                      <a:chExt cx="3456384" cy="5266908"/>
                    </a:xfrm>
                  </a:grpSpPr>
                  <a:pic>
                    <a:nvPicPr>
                      <a:cNvPr id="3074" name="Picture 2"/>
                      <a:cNvPicPr>
                        <a:picLocks noChangeAspect="1" noChangeArrowheads="1"/>
                      </a:cNvPicPr>
                    </a:nvPicPr>
                    <a:blipFill>
                      <a:blip r:embed="rId56"/>
                      <a:srcRect/>
                      <a:stretch>
                        <a:fillRect/>
                      </a:stretch>
                    </a:blipFill>
                    <a:spPr bwMode="auto">
                      <a:xfrm>
                        <a:off x="1874500" y="1100572"/>
                        <a:ext cx="2994660" cy="2377440"/>
                      </a:xfrm>
                      <a:prstGeom prst="rect">
                        <a:avLst/>
                      </a:prstGeom>
                      <a:noFill/>
                      <a:ln w="9525">
                        <a:noFill/>
                        <a:miter lim="800000"/>
                        <a:headEnd/>
                        <a:tailEnd/>
                      </a:ln>
                    </a:spPr>
                  </a:pic>
                  <a:pic>
                    <a:nvPicPr>
                      <a:cNvPr id="3075" name="Picture 3"/>
                      <a:cNvPicPr>
                        <a:picLocks noChangeAspect="1" noChangeArrowheads="1"/>
                      </a:cNvPicPr>
                    </a:nvPicPr>
                    <a:blipFill>
                      <a:blip r:embed="rId57"/>
                      <a:srcRect/>
                      <a:stretch>
                        <a:fillRect/>
                      </a:stretch>
                    </a:blipFill>
                    <a:spPr bwMode="auto">
                      <a:xfrm>
                        <a:off x="1910504" y="3404828"/>
                        <a:ext cx="2770632" cy="2674620"/>
                      </a:xfrm>
                      <a:prstGeom prst="rect">
                        <a:avLst/>
                      </a:prstGeom>
                      <a:noFill/>
                      <a:ln w="9525">
                        <a:noFill/>
                        <a:miter lim="800000"/>
                        <a:headEnd/>
                        <a:tailEnd/>
                      </a:ln>
                    </a:spPr>
                  </a:pic>
                  <a:sp>
                    <a:nvSpPr>
                      <a:cNvPr id="5" name="TextBox 4"/>
                      <a:cNvSpPr txBox="1"/>
                    </a:nvSpPr>
                    <a:spPr>
                      <a:xfrm>
                        <a:off x="1628800" y="812540"/>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6" name="TextBox 5"/>
                      <a:cNvSpPr txBox="1"/>
                    </a:nvSpPr>
                    <a:spPr>
                      <a:xfrm>
                        <a:off x="1628800" y="3164413"/>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0" name="TextBox 9"/>
                      <a:cNvSpPr txBox="1"/>
                    </a:nvSpPr>
                    <a:spPr>
                      <a:xfrm>
                        <a:off x="3933056" y="2360712"/>
                        <a:ext cx="576064" cy="276999"/>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600" b="1" dirty="0" smtClean="0"/>
                            <a:t>PS HMr  *</a:t>
                          </a:r>
                        </a:p>
                        <a:p>
                          <a:r>
                            <a:rPr lang="en-GB" sz="600" b="1" dirty="0" smtClean="0"/>
                            <a:t>PS 2’F     ** </a:t>
                          </a:r>
                          <a:endParaRPr lang="en-GB" sz="600" b="1" dirty="0"/>
                        </a:p>
                      </a:txBody>
                      <a:useSpRect/>
                    </a:txSp>
                  </a:sp>
                  <a:sp>
                    <a:nvSpPr>
                      <a:cNvPr id="11" name="TextBox 10"/>
                      <a:cNvSpPr txBox="1"/>
                    </a:nvSpPr>
                    <a:spPr>
                      <a:xfrm>
                        <a:off x="4437112" y="2540732"/>
                        <a:ext cx="648072" cy="276999"/>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600" b="1" dirty="0" smtClean="0"/>
                            <a:t>PS HMr  **</a:t>
                          </a:r>
                        </a:p>
                        <a:p>
                          <a:r>
                            <a:rPr lang="en-GB" sz="600" b="1" dirty="0" smtClean="0"/>
                            <a:t>PS 2’F     ** </a:t>
                          </a:r>
                          <a:endParaRPr lang="en-GB" sz="600" b="1" dirty="0"/>
                        </a:p>
                      </a:txBody>
                      <a:useSpRect/>
                    </a:txSp>
                  </a:sp>
                </lc:lockedCanvas>
              </a:graphicData>
            </a:graphic>
          </wp:inline>
        </w:drawing>
      </w:r>
    </w:p>
    <w:p w:rsidR="004D046F" w:rsidRDefault="004D046F" w:rsidP="004D046F">
      <w:pPr>
        <w:pStyle w:val="Caption"/>
        <w:spacing w:after="120"/>
        <w:rPr>
          <w:color w:val="auto"/>
        </w:rPr>
      </w:pPr>
    </w:p>
    <w:p w:rsidR="00B50552" w:rsidRDefault="004D046F" w:rsidP="004D046F">
      <w:pPr>
        <w:pStyle w:val="Caption"/>
        <w:spacing w:after="120"/>
        <w:rPr>
          <w:color w:val="auto"/>
        </w:rPr>
      </w:pPr>
      <w:bookmarkStart w:id="213" w:name="_Toc20411657"/>
      <w:r w:rsidRPr="004D046F">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7</w:t>
      </w:r>
      <w:r w:rsidR="005C0E76">
        <w:rPr>
          <w:color w:val="auto"/>
        </w:rPr>
        <w:fldChar w:fldCharType="end"/>
      </w:r>
      <w:r w:rsidRPr="004D046F">
        <w:rPr>
          <w:color w:val="auto"/>
        </w:rPr>
        <w:t xml:space="preserve"> Comparison of reproducibility of luciferase assay results for unmodified FLuc dsRNA.</w:t>
      </w:r>
      <w:bookmarkEnd w:id="213"/>
      <w:r w:rsidRPr="004D046F">
        <w:rPr>
          <w:color w:val="auto"/>
        </w:rPr>
        <w:t xml:space="preserve"> </w:t>
      </w:r>
    </w:p>
    <w:p w:rsidR="004D046F" w:rsidRPr="004D046F" w:rsidRDefault="004D046F" w:rsidP="004D046F">
      <w:pPr>
        <w:pStyle w:val="Caption"/>
        <w:spacing w:after="120"/>
        <w:rPr>
          <w:b w:val="0"/>
          <w:color w:val="auto"/>
        </w:rPr>
      </w:pPr>
      <w:r w:rsidRPr="004D046F">
        <w:rPr>
          <w:b w:val="0"/>
          <w:color w:val="auto"/>
        </w:rPr>
        <w:t xml:space="preserve">Comparison of reproducibility of luciferase assay results for unmodified (Unmod) FLuc dsRNA between the luciferase assays screening PS, 2’F and HMr dsRNA. RNAi knockdown of a firefly luciferase reporter by FLuc dsRNA, is presented as ratios of firefly luciferase luminescence intensity (FL) to </w:t>
      </w:r>
      <w:r w:rsidRPr="004D046F">
        <w:rPr>
          <w:b w:val="0"/>
          <w:i/>
          <w:iCs/>
          <w:color w:val="auto"/>
        </w:rPr>
        <w:t>Renilla</w:t>
      </w:r>
      <w:r w:rsidRPr="004D046F">
        <w:rPr>
          <w:b w:val="0"/>
          <w:color w:val="auto"/>
        </w:rPr>
        <w:t xml:space="preserve"> luciferase luminescence intensity (RL) normalised against FL/RL values for control conditions with no dsRNA. Greater loss of fluorescence correlates to greater levels of RNAi knockdown. (a) Dose curves of normalised FL/RL values plotted against log of dsRNA dose per well in ng. (b) Individual normalised FL/RL values for the dose curves in figure a.  </w:t>
      </w:r>
    </w:p>
    <w:p w:rsidR="002A5E17" w:rsidRDefault="004D046F" w:rsidP="004D046F">
      <w:pPr>
        <w:pStyle w:val="Caption"/>
      </w:pPr>
      <w:r w:rsidRPr="004D046F">
        <w:rPr>
          <w:b w:val="0"/>
          <w:color w:val="auto"/>
        </w:rPr>
        <w:t xml:space="preserve">In all graphs, mean and SEM are plotted (n=6).  Stars denote significance [need adding later] as calculated by unpaired T-tests. ns = P &gt; 0.05, *  = P ≤ 0.05, ** = P ≤ 0.01, *** = P ≤ 0.001, **** = P ≤ 0.0001. </w:t>
      </w:r>
    </w:p>
    <w:p w:rsidR="004D046F" w:rsidRDefault="004D046F" w:rsidP="00045427">
      <w:pPr>
        <w:spacing w:line="360" w:lineRule="auto"/>
        <w:ind w:firstLine="284"/>
      </w:pPr>
    </w:p>
    <w:p w:rsidR="004D046F" w:rsidRDefault="004D046F" w:rsidP="00045427">
      <w:pPr>
        <w:spacing w:line="360" w:lineRule="auto"/>
        <w:ind w:firstLine="284"/>
      </w:pPr>
    </w:p>
    <w:p w:rsidR="004D046F" w:rsidRDefault="004D046F" w:rsidP="00045427">
      <w:pPr>
        <w:spacing w:line="360" w:lineRule="auto"/>
        <w:ind w:firstLine="284"/>
      </w:pPr>
    </w:p>
    <w:p w:rsidR="004D046F" w:rsidRDefault="004D046F" w:rsidP="00045427">
      <w:pPr>
        <w:spacing w:line="360" w:lineRule="auto"/>
        <w:ind w:firstLine="284"/>
      </w:pPr>
    </w:p>
    <w:p w:rsidR="004D046F" w:rsidRDefault="004D046F" w:rsidP="00045427">
      <w:pPr>
        <w:spacing w:line="360" w:lineRule="auto"/>
        <w:ind w:firstLine="284"/>
      </w:pPr>
    </w:p>
    <w:p w:rsidR="00045427" w:rsidRPr="00275EF7" w:rsidRDefault="00045427" w:rsidP="00045427">
      <w:pPr>
        <w:pStyle w:val="Heading3"/>
        <w:spacing w:line="360" w:lineRule="auto"/>
      </w:pPr>
      <w:bookmarkStart w:id="214" w:name="_Toc17295547"/>
      <w:bookmarkStart w:id="215" w:name="_Toc35333999"/>
      <w:r w:rsidRPr="00275EF7">
        <w:lastRenderedPageBreak/>
        <w:t>Comparison of RL values to determine cytotoxicity of dsRNA chemical modifications, and examine increased FL/RL values at low dsRNA concentrations</w:t>
      </w:r>
      <w:bookmarkEnd w:id="214"/>
      <w:bookmarkEnd w:id="215"/>
      <w:r w:rsidRPr="00275EF7">
        <w:t xml:space="preserve"> </w:t>
      </w:r>
    </w:p>
    <w:p w:rsidR="00045427" w:rsidRDefault="00045427" w:rsidP="00045427">
      <w:pPr>
        <w:spacing w:line="360" w:lineRule="auto"/>
        <w:ind w:firstLine="284"/>
      </w:pPr>
      <w:r>
        <w:t xml:space="preserve">It was previously determined </w:t>
      </w:r>
      <w:r w:rsidRPr="00942AF8">
        <w:t xml:space="preserve">in section 5.3.2.1 above that 1PS dsRNA was not cytotoxic to </w:t>
      </w:r>
      <w:r w:rsidRPr="00942AF8">
        <w:rPr>
          <w:i/>
        </w:rPr>
        <w:t>Drosophila</w:t>
      </w:r>
      <w:r w:rsidRPr="00942AF8">
        <w:t xml:space="preserve"> cells by using phosphorothioate modified non-targeting control F59C6.5 dsRNA. In order to determine that all PS, 2’F and HMr modified dsRNAs tested were not cytotoxic, the normalised RL values for concentrations of 1 µg of dsRNA from the luciferase assay dose curves above were examined, and the results are shown in figure 5.</w:t>
      </w:r>
      <w:r w:rsidR="004D046F" w:rsidRPr="00942AF8">
        <w:t>8</w:t>
      </w:r>
      <w:r w:rsidRPr="00942AF8">
        <w:t>. The results demonstrate</w:t>
      </w:r>
      <w:r>
        <w:t xml:space="preserve"> that the normalised RL values for all unmodified and chemically modified dsRNAs are close to 1.0, and therefore none of the dsRNA chemical modifications are cytotoxic.</w:t>
      </w:r>
    </w:p>
    <w:p w:rsidR="004D046F" w:rsidRDefault="004D046F" w:rsidP="00045427">
      <w:pPr>
        <w:spacing w:line="360" w:lineRule="auto"/>
        <w:ind w:firstLine="284"/>
      </w:pPr>
    </w:p>
    <w:p w:rsidR="004D046F" w:rsidRDefault="004D046F" w:rsidP="004D046F">
      <w:pPr>
        <w:keepNext/>
        <w:spacing w:line="360" w:lineRule="auto"/>
        <w:jc w:val="left"/>
      </w:pPr>
      <w:r w:rsidRPr="004D046F">
        <w:rPr>
          <w:noProof/>
          <w:lang w:eastAsia="en-GB"/>
        </w:rPr>
        <w:drawing>
          <wp:inline distT="0" distB="0" distL="0" distR="0">
            <wp:extent cx="5731510" cy="2415685"/>
            <wp:effectExtent l="0" t="0" r="2540" b="0"/>
            <wp:docPr id="52" name="Object 3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78624" cy="2604130"/>
                      <a:chOff x="315888" y="1772806"/>
                      <a:chExt cx="6178624" cy="2604130"/>
                    </a:xfrm>
                  </a:grpSpPr>
                  <a:pic>
                    <a:nvPicPr>
                      <a:cNvPr id="1026" name="Picture 2"/>
                      <a:cNvPicPr>
                        <a:picLocks noChangeAspect="1" noChangeArrowheads="1"/>
                      </a:cNvPicPr>
                    </a:nvPicPr>
                    <a:blipFill>
                      <a:blip r:embed="rId58"/>
                      <a:srcRect/>
                      <a:stretch>
                        <a:fillRect/>
                      </a:stretch>
                    </a:blipFill>
                    <a:spPr bwMode="auto">
                      <a:xfrm>
                        <a:off x="399492" y="2132846"/>
                        <a:ext cx="2057400" cy="2244090"/>
                      </a:xfrm>
                      <a:prstGeom prst="rect">
                        <a:avLst/>
                      </a:prstGeom>
                      <a:noFill/>
                      <a:ln w="9525">
                        <a:noFill/>
                        <a:miter lim="800000"/>
                        <a:headEnd/>
                        <a:tailEnd/>
                      </a:ln>
                    </a:spPr>
                  </a:pic>
                  <a:pic>
                    <a:nvPicPr>
                      <a:cNvPr id="1027" name="Picture 3"/>
                      <a:cNvPicPr>
                        <a:picLocks noChangeAspect="1" noChangeArrowheads="1"/>
                      </a:cNvPicPr>
                    </a:nvPicPr>
                    <a:blipFill>
                      <a:blip r:embed="rId59"/>
                      <a:srcRect/>
                      <a:stretch>
                        <a:fillRect/>
                      </a:stretch>
                    </a:blipFill>
                    <a:spPr bwMode="auto">
                      <a:xfrm>
                        <a:off x="2415716" y="2132846"/>
                        <a:ext cx="2057400" cy="2244090"/>
                      </a:xfrm>
                      <a:prstGeom prst="rect">
                        <a:avLst/>
                      </a:prstGeom>
                      <a:noFill/>
                      <a:ln w="9525">
                        <a:noFill/>
                        <a:miter lim="800000"/>
                        <a:headEnd/>
                        <a:tailEnd/>
                      </a:ln>
                    </a:spPr>
                  </a:pic>
                  <a:pic>
                    <a:nvPicPr>
                      <a:cNvPr id="1028" name="Picture 4"/>
                      <a:cNvPicPr>
                        <a:picLocks noChangeAspect="1" noChangeArrowheads="1"/>
                      </a:cNvPicPr>
                    </a:nvPicPr>
                    <a:blipFill>
                      <a:blip r:embed="rId60"/>
                      <a:srcRect/>
                      <a:stretch>
                        <a:fillRect/>
                      </a:stretch>
                    </a:blipFill>
                    <a:spPr bwMode="auto">
                      <a:xfrm>
                        <a:off x="4437112" y="2132846"/>
                        <a:ext cx="2057400" cy="2244090"/>
                      </a:xfrm>
                      <a:prstGeom prst="rect">
                        <a:avLst/>
                      </a:prstGeom>
                      <a:noFill/>
                      <a:ln w="9525">
                        <a:noFill/>
                        <a:miter lim="800000"/>
                        <a:headEnd/>
                        <a:tailEnd/>
                      </a:ln>
                    </a:spPr>
                  </a:pic>
                  <a:sp>
                    <a:nvSpPr>
                      <a:cNvPr id="8" name="TextBox 7"/>
                      <a:cNvSpPr txBox="1"/>
                    </a:nvSpPr>
                    <a:spPr>
                      <a:xfrm>
                        <a:off x="315888" y="1785180"/>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9" name="TextBox 8"/>
                      <a:cNvSpPr txBox="1"/>
                    </a:nvSpPr>
                    <a:spPr>
                      <a:xfrm>
                        <a:off x="2312876" y="1772806"/>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0" name="TextBox 9"/>
                      <a:cNvSpPr txBox="1"/>
                    </a:nvSpPr>
                    <a:spPr>
                      <a:xfrm>
                        <a:off x="4312332" y="1772806"/>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p>
    <w:p w:rsidR="004D046F" w:rsidRDefault="004D046F" w:rsidP="004D046F">
      <w:pPr>
        <w:pStyle w:val="Caption"/>
        <w:rPr>
          <w:color w:val="auto"/>
        </w:rPr>
      </w:pPr>
    </w:p>
    <w:p w:rsidR="00B50552" w:rsidRDefault="004D046F" w:rsidP="00B50552">
      <w:pPr>
        <w:pStyle w:val="Caption"/>
        <w:spacing w:after="120"/>
        <w:rPr>
          <w:color w:val="auto"/>
        </w:rPr>
      </w:pPr>
      <w:bookmarkStart w:id="216" w:name="_Toc20411658"/>
      <w:r w:rsidRPr="004D046F">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8</w:t>
      </w:r>
      <w:r w:rsidR="005C0E76">
        <w:rPr>
          <w:color w:val="auto"/>
        </w:rPr>
        <w:fldChar w:fldCharType="end"/>
      </w:r>
      <w:r w:rsidRPr="004D046F">
        <w:rPr>
          <w:color w:val="auto"/>
        </w:rPr>
        <w:t xml:space="preserve"> Analysis of the cytotoxicity of phosphorothioate, 2’-fluoro and 5-hydroxymethyl dsRNA modifications to insect cells.</w:t>
      </w:r>
      <w:bookmarkEnd w:id="216"/>
      <w:r w:rsidRPr="004D046F">
        <w:rPr>
          <w:color w:val="auto"/>
        </w:rPr>
        <w:t xml:space="preserve"> </w:t>
      </w:r>
    </w:p>
    <w:p w:rsidR="004D046F" w:rsidRPr="004D046F" w:rsidRDefault="004D046F" w:rsidP="00B50552">
      <w:pPr>
        <w:pStyle w:val="Caption"/>
        <w:spacing w:after="120"/>
        <w:rPr>
          <w:b w:val="0"/>
          <w:color w:val="auto"/>
        </w:rPr>
      </w:pPr>
      <w:r w:rsidRPr="004D046F">
        <w:rPr>
          <w:b w:val="0"/>
          <w:color w:val="auto"/>
        </w:rPr>
        <w:t xml:space="preserve">Graphs of normalised RL values from the luciferase assay results for 1 µg of PS (a), 2’F (b), and HMr (c) FLuc dsRNAs compared to the unmodified FLuc and unmodified F59C6.5 controls. </w:t>
      </w:r>
      <w:r w:rsidRPr="004D046F">
        <w:rPr>
          <w:b w:val="0"/>
          <w:i/>
          <w:iCs/>
          <w:color w:val="auto"/>
        </w:rPr>
        <w:t>Renilla</w:t>
      </w:r>
      <w:r w:rsidRPr="004D046F">
        <w:rPr>
          <w:b w:val="0"/>
          <w:color w:val="auto"/>
        </w:rPr>
        <w:t xml:space="preserve"> luciferase luminescence intensity (RL) normalised against RL values for control conditions with no dsRNA.</w:t>
      </w:r>
    </w:p>
    <w:p w:rsidR="004D046F" w:rsidRDefault="004D046F" w:rsidP="00045427">
      <w:pPr>
        <w:spacing w:line="360" w:lineRule="auto"/>
        <w:ind w:firstLine="284"/>
      </w:pPr>
    </w:p>
    <w:p w:rsidR="00045427" w:rsidRDefault="00045427" w:rsidP="00045427">
      <w:pPr>
        <w:spacing w:line="360" w:lineRule="auto"/>
        <w:ind w:firstLine="284"/>
      </w:pPr>
      <w:r>
        <w:t xml:space="preserve">Data for the following dsRNAs and concentrations in each assay have an average normalised FL/RL value above 1.0 </w:t>
      </w:r>
      <w:r w:rsidRPr="00942AF8">
        <w:t>(table 5.</w:t>
      </w:r>
      <w:r w:rsidR="004D046F" w:rsidRPr="00942AF8">
        <w:t>9</w:t>
      </w:r>
      <w:r w:rsidRPr="00942AF8">
        <w:t xml:space="preserve">). </w:t>
      </w:r>
      <w:r w:rsidR="004D046F" w:rsidRPr="00942AF8">
        <w:t xml:space="preserve"> For all of the assays, many of the lower concentrations of dsRNA with averages around or below</w:t>
      </w:r>
      <w:r w:rsidR="004D046F">
        <w:t xml:space="preserve"> 1.0 have individual replicate values that exceed 1.0. In some experiments, F59C6.5 dsRNA resulted in a similar effect. A normalised FL/RL value of 1.0 represents 0% knockdown, and is equivalent to the mean of the no dsRNA control. In theory data should therefore not have a value above 1.0, and values above 1.0 could be the result of either high FL values or low RL values.</w:t>
      </w:r>
    </w:p>
    <w:p w:rsidR="004D046F" w:rsidRDefault="004D046F" w:rsidP="00045427">
      <w:pPr>
        <w:spacing w:line="360" w:lineRule="auto"/>
        <w:ind w:firstLine="284"/>
      </w:pPr>
    </w:p>
    <w:p w:rsidR="004D046F" w:rsidRDefault="004D046F" w:rsidP="00045427">
      <w:pPr>
        <w:spacing w:line="360" w:lineRule="auto"/>
        <w:ind w:firstLine="284"/>
      </w:pPr>
    </w:p>
    <w:p w:rsidR="004D046F" w:rsidRPr="004D046F" w:rsidRDefault="004D046F" w:rsidP="004D046F">
      <w:pPr>
        <w:pStyle w:val="Caption"/>
        <w:keepNext/>
        <w:rPr>
          <w:color w:val="auto"/>
        </w:rPr>
      </w:pPr>
      <w:bookmarkStart w:id="217" w:name="_Toc20405270"/>
      <w:r w:rsidRPr="004D046F">
        <w:rPr>
          <w:color w:val="auto"/>
        </w:rPr>
        <w:lastRenderedPageBreak/>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5</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9</w:t>
      </w:r>
      <w:r w:rsidR="005C0E76">
        <w:rPr>
          <w:color w:val="auto"/>
        </w:rPr>
        <w:fldChar w:fldCharType="end"/>
      </w:r>
      <w:r w:rsidRPr="004D046F">
        <w:rPr>
          <w:color w:val="auto"/>
        </w:rPr>
        <w:t xml:space="preserve"> Luciferase assay data points with average normalised FL/RL values significantly greater than 1.0.</w:t>
      </w:r>
      <w:bookmarkEnd w:id="217"/>
    </w:p>
    <w:tbl>
      <w:tblPr>
        <w:tblStyle w:val="TableGrid"/>
        <w:tblW w:w="0" w:type="auto"/>
        <w:tblLook w:val="04A0"/>
      </w:tblPr>
      <w:tblGrid>
        <w:gridCol w:w="3080"/>
        <w:gridCol w:w="3081"/>
        <w:gridCol w:w="3081"/>
      </w:tblGrid>
      <w:tr w:rsidR="00045427" w:rsidTr="004D046F">
        <w:tc>
          <w:tcPr>
            <w:tcW w:w="3080" w:type="dxa"/>
            <w:vAlign w:val="center"/>
          </w:tcPr>
          <w:p w:rsidR="00045427" w:rsidRPr="00D60C44" w:rsidRDefault="00045427" w:rsidP="004D046F">
            <w:pPr>
              <w:spacing w:line="360" w:lineRule="auto"/>
              <w:jc w:val="center"/>
              <w:rPr>
                <w:b/>
              </w:rPr>
            </w:pPr>
            <w:r>
              <w:rPr>
                <w:b/>
              </w:rPr>
              <w:t>Assay</w:t>
            </w:r>
          </w:p>
        </w:tc>
        <w:tc>
          <w:tcPr>
            <w:tcW w:w="3081" w:type="dxa"/>
            <w:vAlign w:val="center"/>
          </w:tcPr>
          <w:p w:rsidR="00045427" w:rsidRPr="00D60C44" w:rsidRDefault="00045427" w:rsidP="004D046F">
            <w:pPr>
              <w:spacing w:line="360" w:lineRule="auto"/>
              <w:jc w:val="center"/>
              <w:rPr>
                <w:b/>
              </w:rPr>
            </w:pPr>
            <w:r>
              <w:rPr>
                <w:b/>
              </w:rPr>
              <w:t>dsRNA</w:t>
            </w:r>
          </w:p>
        </w:tc>
        <w:tc>
          <w:tcPr>
            <w:tcW w:w="3081" w:type="dxa"/>
            <w:vAlign w:val="center"/>
          </w:tcPr>
          <w:p w:rsidR="00045427" w:rsidRPr="00D60C44" w:rsidRDefault="00045427" w:rsidP="004D046F">
            <w:pPr>
              <w:spacing w:line="360" w:lineRule="auto"/>
              <w:jc w:val="center"/>
              <w:rPr>
                <w:b/>
              </w:rPr>
            </w:pPr>
            <w:r>
              <w:rPr>
                <w:b/>
              </w:rPr>
              <w:t>Concentrations (ng) affected</w:t>
            </w:r>
          </w:p>
        </w:tc>
      </w:tr>
      <w:tr w:rsidR="00045427" w:rsidTr="004D046F">
        <w:tc>
          <w:tcPr>
            <w:tcW w:w="3080" w:type="dxa"/>
            <w:vAlign w:val="center"/>
          </w:tcPr>
          <w:p w:rsidR="00045427" w:rsidRDefault="00045427" w:rsidP="004D046F">
            <w:pPr>
              <w:spacing w:line="360" w:lineRule="auto"/>
              <w:jc w:val="center"/>
            </w:pPr>
            <w:r>
              <w:t>Phosphorothioate dose curve</w:t>
            </w:r>
          </w:p>
        </w:tc>
        <w:tc>
          <w:tcPr>
            <w:tcW w:w="3081" w:type="dxa"/>
            <w:vAlign w:val="center"/>
          </w:tcPr>
          <w:p w:rsidR="00045427" w:rsidRDefault="00045427" w:rsidP="004D046F">
            <w:pPr>
              <w:spacing w:line="360" w:lineRule="auto"/>
              <w:jc w:val="center"/>
            </w:pPr>
            <w:r>
              <w:t>FLuc Unmod</w:t>
            </w:r>
          </w:p>
        </w:tc>
        <w:tc>
          <w:tcPr>
            <w:tcW w:w="3081" w:type="dxa"/>
            <w:vAlign w:val="center"/>
          </w:tcPr>
          <w:p w:rsidR="00045427" w:rsidRDefault="00045427" w:rsidP="004D046F">
            <w:pPr>
              <w:spacing w:line="360" w:lineRule="auto"/>
              <w:jc w:val="center"/>
            </w:pPr>
            <w:r>
              <w:t>0.1</w:t>
            </w:r>
          </w:p>
        </w:tc>
      </w:tr>
      <w:tr w:rsidR="00045427" w:rsidTr="004D046F">
        <w:tc>
          <w:tcPr>
            <w:tcW w:w="3080" w:type="dxa"/>
            <w:vAlign w:val="center"/>
          </w:tcPr>
          <w:p w:rsidR="00045427" w:rsidRDefault="00045427" w:rsidP="004D046F">
            <w:pPr>
              <w:spacing w:line="360" w:lineRule="auto"/>
              <w:jc w:val="center"/>
            </w:pPr>
          </w:p>
        </w:tc>
        <w:tc>
          <w:tcPr>
            <w:tcW w:w="3081" w:type="dxa"/>
            <w:vAlign w:val="center"/>
          </w:tcPr>
          <w:p w:rsidR="00045427" w:rsidRDefault="00045427" w:rsidP="004D046F">
            <w:pPr>
              <w:spacing w:line="360" w:lineRule="auto"/>
              <w:jc w:val="center"/>
            </w:pPr>
            <w:r>
              <w:t>FLuc 1PS</w:t>
            </w:r>
          </w:p>
        </w:tc>
        <w:tc>
          <w:tcPr>
            <w:tcW w:w="3081" w:type="dxa"/>
            <w:vAlign w:val="center"/>
          </w:tcPr>
          <w:p w:rsidR="00045427" w:rsidRDefault="00045427" w:rsidP="004D046F">
            <w:pPr>
              <w:spacing w:line="360" w:lineRule="auto"/>
              <w:jc w:val="center"/>
            </w:pPr>
            <w:r>
              <w:t>0.01, 0.1</w:t>
            </w:r>
          </w:p>
        </w:tc>
      </w:tr>
      <w:tr w:rsidR="00045427" w:rsidTr="004D046F">
        <w:tc>
          <w:tcPr>
            <w:tcW w:w="3080" w:type="dxa"/>
            <w:vAlign w:val="center"/>
          </w:tcPr>
          <w:p w:rsidR="00045427" w:rsidRDefault="00045427" w:rsidP="004D046F">
            <w:pPr>
              <w:spacing w:line="360" w:lineRule="auto"/>
              <w:jc w:val="center"/>
            </w:pPr>
          </w:p>
        </w:tc>
        <w:tc>
          <w:tcPr>
            <w:tcW w:w="3081" w:type="dxa"/>
            <w:vAlign w:val="center"/>
          </w:tcPr>
          <w:p w:rsidR="00045427" w:rsidRDefault="00045427" w:rsidP="004D046F">
            <w:pPr>
              <w:spacing w:line="360" w:lineRule="auto"/>
              <w:jc w:val="center"/>
            </w:pPr>
            <w:r>
              <w:t>FLuc 2PS</w:t>
            </w:r>
          </w:p>
        </w:tc>
        <w:tc>
          <w:tcPr>
            <w:tcW w:w="3081" w:type="dxa"/>
            <w:vAlign w:val="center"/>
          </w:tcPr>
          <w:p w:rsidR="00045427" w:rsidRDefault="00045427" w:rsidP="004D046F">
            <w:pPr>
              <w:spacing w:line="360" w:lineRule="auto"/>
              <w:jc w:val="center"/>
            </w:pPr>
            <w:r>
              <w:t>0.01, 0.1</w:t>
            </w:r>
          </w:p>
        </w:tc>
      </w:tr>
      <w:tr w:rsidR="00045427" w:rsidTr="004D046F">
        <w:tc>
          <w:tcPr>
            <w:tcW w:w="3080" w:type="dxa"/>
            <w:vAlign w:val="center"/>
          </w:tcPr>
          <w:p w:rsidR="00045427" w:rsidRDefault="00045427" w:rsidP="004D046F">
            <w:pPr>
              <w:spacing w:line="360" w:lineRule="auto"/>
              <w:jc w:val="center"/>
            </w:pPr>
            <w:r>
              <w:t>2’-Fluoro dose curve</w:t>
            </w:r>
          </w:p>
        </w:tc>
        <w:tc>
          <w:tcPr>
            <w:tcW w:w="3081" w:type="dxa"/>
            <w:vAlign w:val="center"/>
          </w:tcPr>
          <w:p w:rsidR="00045427" w:rsidRDefault="00045427" w:rsidP="004D046F">
            <w:pPr>
              <w:spacing w:line="360" w:lineRule="auto"/>
              <w:jc w:val="center"/>
            </w:pPr>
            <w:r>
              <w:t>FLuc Unmod</w:t>
            </w:r>
          </w:p>
        </w:tc>
        <w:tc>
          <w:tcPr>
            <w:tcW w:w="3081" w:type="dxa"/>
            <w:vAlign w:val="center"/>
          </w:tcPr>
          <w:p w:rsidR="00045427" w:rsidRDefault="00045427" w:rsidP="004D046F">
            <w:pPr>
              <w:spacing w:line="360" w:lineRule="auto"/>
              <w:jc w:val="center"/>
            </w:pPr>
            <w:r>
              <w:t>0.1</w:t>
            </w:r>
          </w:p>
        </w:tc>
      </w:tr>
      <w:tr w:rsidR="00045427" w:rsidTr="004D046F">
        <w:tc>
          <w:tcPr>
            <w:tcW w:w="3080" w:type="dxa"/>
            <w:vAlign w:val="center"/>
          </w:tcPr>
          <w:p w:rsidR="00045427" w:rsidRDefault="00045427" w:rsidP="004D046F">
            <w:pPr>
              <w:spacing w:line="360" w:lineRule="auto"/>
              <w:jc w:val="center"/>
            </w:pPr>
          </w:p>
        </w:tc>
        <w:tc>
          <w:tcPr>
            <w:tcW w:w="3081" w:type="dxa"/>
            <w:vAlign w:val="center"/>
          </w:tcPr>
          <w:p w:rsidR="00045427" w:rsidRDefault="00045427" w:rsidP="004D046F">
            <w:pPr>
              <w:spacing w:line="360" w:lineRule="auto"/>
              <w:jc w:val="center"/>
            </w:pPr>
            <w:r>
              <w:t>FLuc 1 2’F</w:t>
            </w:r>
          </w:p>
        </w:tc>
        <w:tc>
          <w:tcPr>
            <w:tcW w:w="3081" w:type="dxa"/>
            <w:vAlign w:val="center"/>
          </w:tcPr>
          <w:p w:rsidR="00045427" w:rsidRDefault="00045427" w:rsidP="004D046F">
            <w:pPr>
              <w:spacing w:line="360" w:lineRule="auto"/>
              <w:jc w:val="center"/>
            </w:pPr>
            <w:r>
              <w:t>0.01</w:t>
            </w:r>
          </w:p>
        </w:tc>
      </w:tr>
      <w:tr w:rsidR="00045427" w:rsidTr="004D046F">
        <w:tc>
          <w:tcPr>
            <w:tcW w:w="3080" w:type="dxa"/>
            <w:vAlign w:val="center"/>
          </w:tcPr>
          <w:p w:rsidR="00045427" w:rsidRDefault="00045427" w:rsidP="004D046F">
            <w:pPr>
              <w:spacing w:line="360" w:lineRule="auto"/>
              <w:jc w:val="center"/>
            </w:pPr>
          </w:p>
        </w:tc>
        <w:tc>
          <w:tcPr>
            <w:tcW w:w="3081" w:type="dxa"/>
            <w:vAlign w:val="center"/>
          </w:tcPr>
          <w:p w:rsidR="00045427" w:rsidRDefault="00045427" w:rsidP="004D046F">
            <w:pPr>
              <w:spacing w:line="360" w:lineRule="auto"/>
              <w:jc w:val="center"/>
            </w:pPr>
            <w:r>
              <w:t>FLuc 2 2’F</w:t>
            </w:r>
          </w:p>
        </w:tc>
        <w:tc>
          <w:tcPr>
            <w:tcW w:w="3081" w:type="dxa"/>
            <w:vAlign w:val="center"/>
          </w:tcPr>
          <w:p w:rsidR="00045427" w:rsidRDefault="00045427" w:rsidP="004D046F">
            <w:pPr>
              <w:spacing w:line="360" w:lineRule="auto"/>
              <w:jc w:val="center"/>
            </w:pPr>
            <w:r>
              <w:t>0.01, 0.1, 1</w:t>
            </w:r>
          </w:p>
        </w:tc>
      </w:tr>
      <w:tr w:rsidR="00045427" w:rsidTr="004D046F">
        <w:tc>
          <w:tcPr>
            <w:tcW w:w="3080" w:type="dxa"/>
            <w:vAlign w:val="center"/>
          </w:tcPr>
          <w:p w:rsidR="00045427" w:rsidRDefault="00045427" w:rsidP="004D046F">
            <w:pPr>
              <w:spacing w:line="360" w:lineRule="auto"/>
              <w:jc w:val="center"/>
            </w:pPr>
            <w:r>
              <w:t>5-Hydroxymethyl dose curve</w:t>
            </w:r>
          </w:p>
        </w:tc>
        <w:tc>
          <w:tcPr>
            <w:tcW w:w="3081" w:type="dxa"/>
            <w:vAlign w:val="center"/>
          </w:tcPr>
          <w:p w:rsidR="00045427" w:rsidRDefault="00045427" w:rsidP="004D046F">
            <w:pPr>
              <w:spacing w:line="360" w:lineRule="auto"/>
              <w:jc w:val="center"/>
            </w:pPr>
            <w:r>
              <w:t>FLuc Unmod</w:t>
            </w:r>
          </w:p>
        </w:tc>
        <w:tc>
          <w:tcPr>
            <w:tcW w:w="3081" w:type="dxa"/>
            <w:vAlign w:val="center"/>
          </w:tcPr>
          <w:p w:rsidR="00045427" w:rsidRDefault="00045427" w:rsidP="004D046F">
            <w:pPr>
              <w:spacing w:line="360" w:lineRule="auto"/>
              <w:jc w:val="center"/>
            </w:pPr>
            <w:r>
              <w:t>0.01</w:t>
            </w:r>
          </w:p>
        </w:tc>
      </w:tr>
      <w:tr w:rsidR="00045427" w:rsidTr="004D046F">
        <w:tc>
          <w:tcPr>
            <w:tcW w:w="3080" w:type="dxa"/>
            <w:vAlign w:val="center"/>
          </w:tcPr>
          <w:p w:rsidR="00045427" w:rsidRDefault="00045427" w:rsidP="004D046F">
            <w:pPr>
              <w:spacing w:line="360" w:lineRule="auto"/>
              <w:jc w:val="center"/>
            </w:pPr>
          </w:p>
        </w:tc>
        <w:tc>
          <w:tcPr>
            <w:tcW w:w="3081" w:type="dxa"/>
            <w:vAlign w:val="center"/>
          </w:tcPr>
          <w:p w:rsidR="00045427" w:rsidRDefault="00045427" w:rsidP="004D046F">
            <w:pPr>
              <w:spacing w:line="360" w:lineRule="auto"/>
              <w:jc w:val="center"/>
            </w:pPr>
            <w:r>
              <w:t>FLuc 1HMr</w:t>
            </w:r>
          </w:p>
        </w:tc>
        <w:tc>
          <w:tcPr>
            <w:tcW w:w="3081" w:type="dxa"/>
            <w:vAlign w:val="center"/>
          </w:tcPr>
          <w:p w:rsidR="00045427" w:rsidRDefault="00045427" w:rsidP="004D046F">
            <w:pPr>
              <w:spacing w:line="360" w:lineRule="auto"/>
              <w:jc w:val="center"/>
            </w:pPr>
            <w:r>
              <w:t>0.01, 0.1</w:t>
            </w:r>
          </w:p>
        </w:tc>
      </w:tr>
      <w:tr w:rsidR="00045427" w:rsidTr="004D046F">
        <w:tc>
          <w:tcPr>
            <w:tcW w:w="3080" w:type="dxa"/>
            <w:vAlign w:val="center"/>
          </w:tcPr>
          <w:p w:rsidR="00045427" w:rsidRDefault="00045427" w:rsidP="004D046F">
            <w:pPr>
              <w:spacing w:line="360" w:lineRule="auto"/>
              <w:jc w:val="center"/>
            </w:pPr>
          </w:p>
        </w:tc>
        <w:tc>
          <w:tcPr>
            <w:tcW w:w="3081" w:type="dxa"/>
            <w:vAlign w:val="center"/>
          </w:tcPr>
          <w:p w:rsidR="00045427" w:rsidRDefault="00045427" w:rsidP="004D046F">
            <w:pPr>
              <w:spacing w:line="360" w:lineRule="auto"/>
              <w:jc w:val="center"/>
            </w:pPr>
            <w:r>
              <w:t>FLuc 2HMr</w:t>
            </w:r>
          </w:p>
        </w:tc>
        <w:tc>
          <w:tcPr>
            <w:tcW w:w="3081" w:type="dxa"/>
            <w:vAlign w:val="center"/>
          </w:tcPr>
          <w:p w:rsidR="00045427" w:rsidRDefault="00045427" w:rsidP="004D046F">
            <w:pPr>
              <w:spacing w:line="360" w:lineRule="auto"/>
              <w:jc w:val="center"/>
            </w:pPr>
            <w:r>
              <w:t>0.01, 0.1, 1</w:t>
            </w:r>
          </w:p>
        </w:tc>
      </w:tr>
    </w:tbl>
    <w:p w:rsidR="00045427" w:rsidRDefault="00045427" w:rsidP="00045427">
      <w:pPr>
        <w:spacing w:line="360" w:lineRule="auto"/>
        <w:ind w:firstLine="284"/>
      </w:pPr>
    </w:p>
    <w:p w:rsidR="00045427" w:rsidRDefault="00045427" w:rsidP="00045427">
      <w:pPr>
        <w:spacing w:line="360" w:lineRule="auto"/>
        <w:ind w:firstLine="284"/>
      </w:pPr>
      <w:r>
        <w:t xml:space="preserve">In order to determine whether the high FL/RL </w:t>
      </w:r>
      <w:r w:rsidRPr="00942AF8">
        <w:t xml:space="preserve">values for the dsRNA concentrations listed in table 5.10 above were due to increased FL values or low RL values, the normalised RL values for all concentrations of dsRNA from the luciferase assay dose curves above were examined, and the results are shown in </w:t>
      </w:r>
      <w:r w:rsidR="00D16286" w:rsidRPr="00942AF8">
        <w:t>A</w:t>
      </w:r>
      <w:r w:rsidRPr="00942AF8">
        <w:t>ppendix</w:t>
      </w:r>
      <w:r w:rsidR="00D16286" w:rsidRPr="00942AF8">
        <w:t xml:space="preserve"> 1</w:t>
      </w:r>
      <w:r w:rsidRPr="00942AF8">
        <w:t xml:space="preserve">, figure </w:t>
      </w:r>
      <w:r w:rsidR="00D16286" w:rsidRPr="00942AF8">
        <w:t>A1.5</w:t>
      </w:r>
      <w:r w:rsidRPr="00942AF8">
        <w:t>. The results demonstrate that the normalised RL values for all unmodified and chemically modified dsRNAs at all concentrations are</w:t>
      </w:r>
      <w:r>
        <w:t xml:space="preserve"> close to 1.0, and low dsRNA concentrations with high FL/RL values do not show significantly reduced RL values compared to other dsRNA concentrations. The high FL/RL values are therefore due to increased FL values at these concentrations, rather than reduced RL values.</w:t>
      </w:r>
    </w:p>
    <w:p w:rsidR="00045427" w:rsidRDefault="00045427" w:rsidP="00045427">
      <w:pPr>
        <w:spacing w:line="360" w:lineRule="auto"/>
        <w:ind w:firstLine="284"/>
      </w:pPr>
      <w:r>
        <w:t xml:space="preserve">In theory the normalised FL/RL data should not have a value above 1.0, and values above 1.0 suggest potential upregulation of the reporter by an unknown mechanism in response to low amounts of dsRNA. It is known that RNAi-related genes such as Dicer and Argonaute are upregulated in response to dsRNA </w:t>
      </w:r>
      <w:r w:rsidR="005C0E76">
        <w:fldChar w:fldCharType="begin" w:fldLock="1"/>
      </w:r>
      <w:r>
        <w:instrText>ADDIN CSL_CITATION {"citationItems":[{"id":"ITEM-1","itemData":{"DOI":"10.1007/s00427-012-0404-x","ISSN":"0949-944X","author":[{"dropping-particle":"","family":"Lozano","given":"Jesus","non-dropping-particle":"","parse-names":false,"suffix":""},{"dropping-particle":"","family":"Gomez-Orte","given":"Eva","non-dropping-particle":"","parse-names":false,"suffix":""},{"dropping-particle":"","family":"Lee","given":"How-Jing","non-dropping-particle":"","parse-names":false,"suffix":""},{"dropping-particle":"","family":"Belles","given":"Xavier","non-dropping-particle":"","parse-names":false,"suffix":""}],"container-title":"Development Genes and Evolution","id":"ITEM-1","issue":"4","issued":{"date-parts":[["2012","7","6"]]},"page":"229-235","publisher":"Springer-Verlag","title":"Super-induction of Dicer-2 expression by alien double-stranded RNAs: an evolutionary ancient response to viral infection?","type":"article-journal","volume":"222"},"uris":["http://www.mendeley.com/documents/?uuid=dafadc04-f8d3-38ea-99c5-e88d09534951"]},{"id":"ITEM-2","itemData":{"DOI":"10.1016/j.ibmb.2012.05.001","ISSN":"09651748","PMID":"22634162","abstract":"Gene silencing by RNA interference (RNAi) can be a useful reverse genetics tool in eukaryotes. However, some species appear refractory to RNAi. To study the role of the differential expression of RNAi proteins in RNAi, we isolated partial dicer-2, argonaute-2 translin, vasa intronic gene (VIG) and tudor staphylococcus/micrococcal nuclease (TSN) genes from the tobacco hornworm, Manduca sexta, a well-studied insect model which we have found to be variably sensitive to RNAi. We found that the RNAi gene, translin, was expressed at minimal levels in M. sexta tissue and that there is a specific, dose-dependent upregulation of dicer-2 and argonaute-2 expression in response to injection with dsRNA, but no upregulation of the other genes tested. Upregulation of gene expression was rapid and transient. In order to prolong the upregulation we introduced multiple doses of dsRNA, resulting in multiple peaks of dicer-2 gene expression. Our results have implications for the design of RNAi experiments and may help to explain differences in the sensitivity of eukaryotic organisms to RNAi.","author":[{"dropping-particle":"","family":"Garbutt","given":"Jennie S.","non-dropping-particle":"","parse-names":false,"suffix":""},{"dropping-particle":"","family":"Reynolds","given":"Stuart E.","non-dropping-particle":"","parse-names":false,"suffix":""}],"container-title":"Insect Biochemistry and Molecular Biology","id":"ITEM-2","issue":"9","issued":{"date-parts":[["2012","9"]]},"page":"621-628","title":"Induction of RNA interference genes by double-stranded RNA; implications for susceptibility to RNA interference","type":"article-journal","volume":"42"},"uris":["http://www.mendeley.com/documents/?uuid=624b89a6-4111-3e1f-a1b8-48e6e18b5607"]}],"mendeley":{"formattedCitation":"(Garbutt and Reynolds, 2012; Lozano &lt;i&gt;et al.&lt;/i&gt;, 2012)","plainTextFormattedCitation":"(Garbutt and Reynolds, 2012; Lozano et al., 2012)","previouslyFormattedCitation":"(Garbutt and Reynolds, 2012; Lozano &lt;i&gt;et al.&lt;/i&gt;, 2012)"},"properties":{"noteIndex":0},"schema":"https://github.com/citation-style-language/schema/raw/master/csl-citation.json"}</w:instrText>
      </w:r>
      <w:r w:rsidR="005C0E76">
        <w:fldChar w:fldCharType="separate"/>
      </w:r>
      <w:r w:rsidRPr="00757B42">
        <w:rPr>
          <w:noProof/>
        </w:rPr>
        <w:t xml:space="preserve">(Garbutt and Reynolds, 2012; Lozano </w:t>
      </w:r>
      <w:r w:rsidRPr="00757B42">
        <w:rPr>
          <w:i/>
          <w:noProof/>
        </w:rPr>
        <w:t>et al.</w:t>
      </w:r>
      <w:r w:rsidRPr="00757B42">
        <w:rPr>
          <w:noProof/>
        </w:rPr>
        <w:t>, 2012)</w:t>
      </w:r>
      <w:r w:rsidR="005C0E76">
        <w:fldChar w:fldCharType="end"/>
      </w:r>
      <w:r>
        <w:t xml:space="preserve">. It may be possible a more global upregulation of genes takes place in response to non-targeting dsRNA, or concentrations of targeting dsRNA that are low enough to be ineffective for RNAi. Alternatively, the media may be deficient in nucleotides, and thus adding dsRNA may result in an increased amount of dsRNA-derived nucleotides, allowing the cells to upregulate their overall expression levels, whilst there is simultaneously not enough dsRNA present to be effective for RNAi. This would explain why for some dsRNAs the effect is not seen for the very lowest concentration of 0.01 ng but is seen for 0.1 ng, as 0.01 ng may not result in enough free nucleotides to cause an increase in cellular metabolism. </w:t>
      </w:r>
      <w:r w:rsidR="00942AF8">
        <w:t xml:space="preserve">In theory this would result in both firefly and </w:t>
      </w:r>
      <w:r w:rsidR="00942AF8" w:rsidRPr="00076FAC">
        <w:rPr>
          <w:i/>
        </w:rPr>
        <w:t>Renilla</w:t>
      </w:r>
      <w:r w:rsidR="00942AF8">
        <w:t xml:space="preserve"> luciferase expression levels increasing equally, and so the resultant difference in FL and RL values would cancel out, though the different promoters of the two luciferase reporters may result in different levels of upregulation of the reporter proteins. </w:t>
      </w:r>
      <w:r>
        <w:t xml:space="preserve"> </w:t>
      </w:r>
    </w:p>
    <w:p w:rsidR="00045427" w:rsidRDefault="00045427" w:rsidP="00045427">
      <w:pPr>
        <w:spacing w:line="360" w:lineRule="auto"/>
        <w:ind w:firstLine="284"/>
      </w:pPr>
      <w:r>
        <w:lastRenderedPageBreak/>
        <w:t xml:space="preserve">It should be noted that as a result of these inflated FL/RL readings, several of the dose curves have maximum values greater than other dose curves from the same assay. For example, for the 2’fluoro assay, the 1 2’F </w:t>
      </w:r>
      <w:r w:rsidRPr="00942AF8">
        <w:t>dose curve has a maximum value greater than that of the unmodified dose curve at the lowest dsRNA concentration, though a similar minimum value as the unmodified dsRNA curve at the highest concentration</w:t>
      </w:r>
      <w:r w:rsidR="004D046F" w:rsidRPr="00942AF8">
        <w:t xml:space="preserve"> (see figure 5.5</w:t>
      </w:r>
      <w:r w:rsidRPr="00942AF8">
        <w:t>). The maxima and minima of the 2 2’F curve are both greater than the corresponding values for the unmodified</w:t>
      </w:r>
      <w:r>
        <w:t xml:space="preserve"> dsRNA curve. These shifts in the maxima and minima of some dose curves will affect the EC50 value, and therefore the information that can be inferred from the EC50 value has limitations. Statistical tests at specific concentrations are therefore more likely to be accurate in confirming differences in RNAi efficacy. An increased number of replicates may reveal that several dsRNAs have significant differences in RNAi efficacy at a greater number of concentrations.</w:t>
      </w:r>
    </w:p>
    <w:bookmarkEnd w:id="212"/>
    <w:p w:rsidR="004D046F" w:rsidRDefault="004D046F">
      <w:pPr>
        <w:spacing w:after="200"/>
        <w:jc w:val="left"/>
      </w:pPr>
      <w:r>
        <w:br w:type="page"/>
      </w:r>
    </w:p>
    <w:p w:rsidR="00045427" w:rsidRPr="008F7158" w:rsidRDefault="00045427" w:rsidP="00045427">
      <w:pPr>
        <w:pStyle w:val="Heading2"/>
        <w:spacing w:line="360" w:lineRule="auto"/>
      </w:pPr>
      <w:bookmarkStart w:id="218" w:name="_Toc17295548"/>
      <w:bookmarkStart w:id="219" w:name="_Toc35334000"/>
      <w:r>
        <w:lastRenderedPageBreak/>
        <w:t>Conclusions</w:t>
      </w:r>
      <w:bookmarkEnd w:id="218"/>
      <w:bookmarkEnd w:id="219"/>
    </w:p>
    <w:p w:rsidR="00045427" w:rsidRDefault="00045427" w:rsidP="00045427">
      <w:pPr>
        <w:spacing w:line="360" w:lineRule="auto"/>
      </w:pPr>
    </w:p>
    <w:p w:rsidR="00045427" w:rsidRPr="00F83A05" w:rsidRDefault="00045427" w:rsidP="00045427">
      <w:pPr>
        <w:spacing w:line="360" w:lineRule="auto"/>
        <w:ind w:firstLine="284"/>
        <w:rPr>
          <w:color w:val="FF0000"/>
        </w:rPr>
      </w:pPr>
      <w:r>
        <w:t xml:space="preserve">The aim of this chapter was to study the effects of dsRNA chemical modifications on RNAi </w:t>
      </w:r>
      <w:r w:rsidRPr="00CE43CD">
        <w:rPr>
          <w:i/>
        </w:rPr>
        <w:t>in vitro</w:t>
      </w:r>
      <w:r>
        <w:t xml:space="preserve"> in insect cells. </w:t>
      </w:r>
      <w:r w:rsidRPr="00B17F36">
        <w:rPr>
          <w:i/>
        </w:rPr>
        <w:t>Drosophila</w:t>
      </w:r>
      <w:r>
        <w:rPr>
          <w:i/>
        </w:rPr>
        <w:t xml:space="preserve"> melanogaster</w:t>
      </w:r>
      <w:r>
        <w:t xml:space="preserve"> Kc167 cells were used as a model system to successfully study the RNAi efficacy of a range chemically modified dsRNAs, including phosphorothioate (PS), 2’-fluoro (2’F) and 5-hydroxymethyl (HMr) dsRNAs, using a dual luciferase assay reporter system to quantify RNAi-induced knockdown.</w:t>
      </w:r>
    </w:p>
    <w:p w:rsidR="00045427" w:rsidRDefault="00045427" w:rsidP="00045427">
      <w:pPr>
        <w:spacing w:line="360" w:lineRule="auto"/>
        <w:ind w:firstLine="284"/>
      </w:pPr>
      <w:r>
        <w:t>While at the highest dsRNA concentration of 1 µg per well both 1PS and 2PS dsRNAs resulted in the same high level of knockdown as the equivalent amount of unmodified dsRNA, both 2 2’F and 2HMr dsRNA did not achieve maximum knockdown, despite being at concentrations above the dsRNA saturation concentration previously determined. 1 2’F and 1HMr dsRNAs however, resulted in equivalent knockdown to unmodified dsRNA at the 1 µg concentration, therefore suggesting that the total number of modifications tolerated within a dsRNA molecule differs depending on the type of modification.</w:t>
      </w:r>
    </w:p>
    <w:p w:rsidR="00045427" w:rsidRDefault="00045427" w:rsidP="00045427">
      <w:pPr>
        <w:spacing w:line="360" w:lineRule="auto"/>
        <w:ind w:firstLine="284"/>
      </w:pPr>
      <w:r>
        <w:t xml:space="preserve">Results from the present study demonstrated that 1PS dsRNAs were all equally effective irrespective of which of the four nucleotides was replaced by the phosphorothioate analogue. In </w:t>
      </w:r>
      <w:r w:rsidRPr="004C24A8">
        <w:rPr>
          <w:i/>
        </w:rPr>
        <w:t>C. elegans</w:t>
      </w:r>
      <w:r>
        <w:t xml:space="preserve"> it has previously been determined that short dsRNA (26 bp) with uridine phosphorothioate analogue nucleotides, was less effective for RNAi than dsRNA with any of the other three nucleotides replaced by their phosphorothioate analogue </w:t>
      </w:r>
      <w:r w:rsidR="005C0E76">
        <w:fldChar w:fldCharType="begin" w:fldLock="1"/>
      </w:r>
      <w:r>
        <w:instrText>ADDIN CSL_CITATION {"citationItems":[{"id":"ITEM-1","itemData":{"ISSN":"1097-2765","PMID":"11106747","abstract":"In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cell","id":"ITEM-1","issue":"5","issued":{"date-parts":[["2000","11"]]},"page":"1077-87","title":"Functional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2000)","plainTextFormattedCitation":"(Parrish et al., 2000)","previouslyFormattedCitation":"(Parrish &lt;i&gt;et al.&lt;/i&gt;, 2000)"},"properties":{"noteIndex":0},"schema":"https://github.com/citation-style-language/schema/raw/master/csl-citation.json"}</w:instrText>
      </w:r>
      <w:r w:rsidR="005C0E76">
        <w:fldChar w:fldCharType="separate"/>
      </w:r>
      <w:r w:rsidRPr="004C24A8">
        <w:rPr>
          <w:noProof/>
        </w:rPr>
        <w:t xml:space="preserve">(Parrish </w:t>
      </w:r>
      <w:r w:rsidRPr="004C24A8">
        <w:rPr>
          <w:i/>
          <w:noProof/>
        </w:rPr>
        <w:t>et al.</w:t>
      </w:r>
      <w:r w:rsidRPr="004C24A8">
        <w:rPr>
          <w:noProof/>
        </w:rPr>
        <w:t>, 2000)</w:t>
      </w:r>
      <w:r w:rsidR="005C0E76">
        <w:fldChar w:fldCharType="end"/>
      </w:r>
      <w:r>
        <w:t>. However</w:t>
      </w:r>
      <w:r w:rsidR="00E93841">
        <w:t>,</w:t>
      </w:r>
      <w:r>
        <w:t xml:space="preserve"> dsRNAs with A, C or G replaced by phosphorothioate analogues (1PS) were as effective as unmodified dsRNA. The results here demonstrate that insect cells demonstrate robust RNAi-induced knockdown as a result of all four 1PS dsRNAs, with no reduction in RNAi efficacy for PS U dsRNA. In mammalian cells, siRNAs (21 bp) with up to approximately half of their nucleotides replaced by phosphorothioate analogues have been demonstrated to be as effective for RNAi as unmodified siRNAs, whereas siRNAs containing all phosphorothioate linkages were active for RNAi but showed reduced efficacy </w:t>
      </w:r>
      <w:r w:rsidR="005C0E76">
        <w:fldChar w:fldCharType="begin" w:fldLock="1"/>
      </w:r>
      <w:r>
        <w:instrText>ADDIN CSL_CITATION {"citationItems":[{"id":"ITEM-1","itemData":{"DOI":"10.1021/bi0343774","ISSN":"0006-2960","PMID":"12834349","abstract":"RNA interference (RNAi) is proving to be a robust and versatile technique for controlling gene expression in mammalian cells. To fully realize its potential in vivo, however, it may be necessary to introduce chemical modifications to optimize potency, stability, and pharmacokinetic properties. Here, we test the effects of chemical modifications on RNA stability and inhibition of gene expression. We find that RNA duplexes containing either phosphodiester or varying numbers of phosphorothioate linkages are remarkably stable during prolonged incubations in serum. Treatment of cells with RNA duplexes containing phosphorothioate linkages leads to selective inhibition of gene expression. RNAi also tolerates the introduction of 2'-deoxy-2'-fluorouridine or locked nucleic acid (LNA) nucleotides. Introduction of LNA nucleotides also substantially increases the thermal stability of modified RNA duplexes without compromising the efficiency of RNAi. These results suggest that inhibition of gene expression by RNAi is compatible with a broad spectrum of chemical modifications to the duplex, affording a wide range of useful options for probing the mechanism of RNAi and for improving RNA interference in vivo.","author":[{"dropping-particle":"","family":"Braasch","given":"Dwaine A.","non-dropping-particle":"","parse-names":false,"suffix":""},{"dropping-particle":"","family":"Jensen","given":"Susan","non-dropping-particle":"","parse-names":false,"suffix":""},{"dropping-particle":"","family":"Liu","given":"Yinghui","non-dropping-particle":"","parse-names":false,"suffix":""},{"dropping-particle":"","family":"Kaur","given":"Kiran","non-dropping-particle":"","parse-names":false,"suffix":""},{"dropping-particle":"","family":"Arar","given":"Khalil","non-dropping-particle":"","parse-names":false,"suffix":""},{"dropping-particle":"","family":"White","given":"Michael A.","non-dropping-particle":"","parse-names":false,"suffix":""},{"dropping-particle":"","family":"Corey","given":"David R.","non-dropping-particle":"","parse-names":false,"suffix":""}],"container-title":"Biochemistry","id":"ITEM-1","issue":"26","issued":{"date-parts":[["2003","7","8"]]},"page":"7967-7975","title":"RNA Interference in Mammalian Cells by Chemically-Modified RNA &lt;sup&gt;†&lt;/sup&gt;","type":"article-journal","volume":"42"},"uris":["http://www.mendeley.com/documents/?uuid=64a42631-2469-393f-899d-064802514614"]}],"mendeley":{"formattedCitation":"(Braasch &lt;i&gt;et al.&lt;/i&gt;, 2003)","plainTextFormattedCitation":"(Braasch et al., 2003)","previouslyFormattedCitation":"(Braasch &lt;i&gt;et al.&lt;/i&gt;, 2003)"},"properties":{"noteIndex":0},"schema":"https://github.com/citation-style-language/schema/raw/master/csl-citation.json"}</w:instrText>
      </w:r>
      <w:r w:rsidR="005C0E76">
        <w:fldChar w:fldCharType="separate"/>
      </w:r>
      <w:r w:rsidRPr="004C24A8">
        <w:rPr>
          <w:noProof/>
        </w:rPr>
        <w:t xml:space="preserve">(Braasch </w:t>
      </w:r>
      <w:r w:rsidRPr="004C24A8">
        <w:rPr>
          <w:i/>
          <w:noProof/>
        </w:rPr>
        <w:t>et al.</w:t>
      </w:r>
      <w:r w:rsidRPr="004C24A8">
        <w:rPr>
          <w:noProof/>
        </w:rPr>
        <w:t>, 2003)</w:t>
      </w:r>
      <w:r w:rsidR="005C0E76">
        <w:fldChar w:fldCharType="end"/>
      </w:r>
      <w:r>
        <w:t>. The study by Braasch et al. (2003), also concluded the reduction in RNAi activity for siRNAs with a high phosphorothioate content was related to the PS modified siRNAs accumulating in the nucleus, where there is no RISC activity. The results for insect cells are in line with the</w:t>
      </w:r>
      <w:r w:rsidR="00E93841">
        <w:t xml:space="preserve"> first ob</w:t>
      </w:r>
      <w:r>
        <w:t xml:space="preserve">servation, with 2PS dsRNA – which has approximately half of its total nucleotides replaced by phosphorothioate analogues – was as effective for RNAi as unmodified dsRNA, and more effective at some concentrations. Further data from mammalian cells indicates that phosphorothioate modification of the entirety of the seed region of the guide strand of an siRNA resulted in equal RNAi-induced knockdown to an unmodified siRNA </w:t>
      </w:r>
      <w:r w:rsidR="005C0E76">
        <w:fldChar w:fldCharType="begin" w:fldLock="1"/>
      </w:r>
      <w:r>
        <w:instrText>ADDIN CSL_CITATION {"citationItems":[{"id":"ITEM-1","itemData":{"DOI":"10.1021/acsomega.7b00291","ISSN":"2470-1343","PMID":"29450406","abstract":"Chemical modifications of 2'-O-methyl (2'-OMe) and locked nucleic acid (LNA) of the nucleotides in the seed region (positions 2-8) of the small interfering RNA (siRNA) guide strand significantly reduced seed-matched (SM) off-target effects. The siRNA with 2'-OMe modifications inhibited the expression of a completely-matched (CM) target gene, whereas that with LNA modifications did not inhibit the expression of the CM target. By computational predictions of conformational changes of siRNA by these modifications, we revealed that both modifications in the siRNA seed region reduce SM off-target effects by steric hindrance to base-pairing with target transcripts but LNA modifications also disturb the association of the siRNA guide strand with the Argonaute (AGO) protein by altering RNA conformation. Thus, chemical modifications of the siRNA guide strand, which alter steric conformation to disturb base-pairing with target transcripts but do not disturb the association with the AGO protein, may successfully suppress off-target effects without substantial loss of RNA silencing activity.","author":[{"dropping-particle":"","family":"Iribe","given":"Hanna","non-dropping-particle":"","parse-names":false,"suffix":""},{"dropping-particle":"","family":"Miyamoto","given":"Kengo","non-dropping-particle":"","parse-names":false,"suffix":""},{"dropping-particle":"","family":"Takahashi","given":"Tomoko","non-dropping-particle":"","parse-names":false,"suffix":""},{"dropping-particle":"","family":"Kobayashi","given":"Yoshiaki","non-dropping-particle":"","parse-names":false,"suffix":""},{"dropping-particle":"","family":"Leo","given":"Jastina","non-dropping-particle":"","parse-names":false,"suffix":""},{"dropping-particle":"","family":"Aida","given":"Misako","non-dropping-particle":"","parse-names":false,"suffix":""},{"dropping-particle":"","family":"Ui-Tei","given":"Kumiko","non-dropping-particle":"","parse-names":false,"suffix":""}],"container-title":"ACS omega","id":"ITEM-1","issue":"5","issued":{"date-parts":[["2017","5","31"]]},"page":"2055-2064","publisher":"American Chemical Society","title":"Chemical Modification of the siRNA Seed Region Suppresses Off-Target Effects by Steric Hindrance to Base-Pairing with Targets.","type":"article-journal","volume":"2"},"uris":["http://www.mendeley.com/documents/?uuid=1d034da9-198a-32ef-88fd-c33d839435cd"]}],"mendeley":{"formattedCitation":"(Iribe &lt;i&gt;et al.&lt;/i&gt;, 2017)","plainTextFormattedCitation":"(Iribe et al., 2017)","previouslyFormattedCitation":"(Iribe &lt;i&gt;et al.&lt;/i&gt;, 2017)"},"properties":{"noteIndex":0},"schema":"https://github.com/citation-style-language/schema/raw/master/csl-citation.json"}</w:instrText>
      </w:r>
      <w:r w:rsidR="005C0E76">
        <w:fldChar w:fldCharType="separate"/>
      </w:r>
      <w:r w:rsidRPr="004C75DC">
        <w:rPr>
          <w:noProof/>
        </w:rPr>
        <w:t xml:space="preserve">(Iribe </w:t>
      </w:r>
      <w:r w:rsidRPr="004C75DC">
        <w:rPr>
          <w:i/>
          <w:noProof/>
        </w:rPr>
        <w:t>et al.</w:t>
      </w:r>
      <w:r w:rsidRPr="004C75DC">
        <w:rPr>
          <w:noProof/>
        </w:rPr>
        <w:t>, 2017)</w:t>
      </w:r>
      <w:r w:rsidR="005C0E76">
        <w:fldChar w:fldCharType="end"/>
      </w:r>
      <w:r>
        <w:t xml:space="preserve">, and </w:t>
      </w:r>
      <w:r>
        <w:lastRenderedPageBreak/>
        <w:t>this was demonstrated for a range of dsRNA concentrations in contrast to the studies by Braasch and Parrish which utilised only a single high concentration of siRNA.</w:t>
      </w:r>
    </w:p>
    <w:p w:rsidR="00045427" w:rsidRDefault="00045427" w:rsidP="00045427">
      <w:pPr>
        <w:spacing w:line="360" w:lineRule="auto"/>
        <w:ind w:firstLine="284"/>
      </w:pPr>
    </w:p>
    <w:p w:rsidR="00045427" w:rsidRPr="006D6DB5" w:rsidRDefault="00045427" w:rsidP="00045427">
      <w:pPr>
        <w:spacing w:line="360" w:lineRule="auto"/>
        <w:ind w:firstLine="284"/>
        <w:rPr>
          <w:color w:val="FF0000"/>
        </w:rPr>
      </w:pPr>
      <w:r w:rsidRPr="00260634">
        <w:t>Parrisch et al. (2000) also</w:t>
      </w:r>
      <w:r>
        <w:t xml:space="preserve"> investigated 1 2’F long siRNAs (26 bp) with uridine residues replaced by a 2’-fluoro analogue in </w:t>
      </w:r>
      <w:r w:rsidRPr="00542E3E">
        <w:rPr>
          <w:i/>
        </w:rPr>
        <w:t>C. elegans</w:t>
      </w:r>
      <w:r>
        <w:t xml:space="preserve">, and determined it was equally active for RNAi compared to unmodified dsRNA. siRNAs with a small number (2 to 4) of 2’-fluoro modifications were investigated by Brassch et al. (2003) in mammalian cells and found to be equally active for RNAi compared to unmodified siRNAs, though greater numbers of 2’-fluoro modifications were not investigated. There is also data that indicates that both 2’-fluoro modification of the guide strand does not reduce activity across a range of siRNA concentrations </w:t>
      </w:r>
      <w:r w:rsidR="005C0E76">
        <w:fldChar w:fldCharType="begin" w:fldLock="1"/>
      </w:r>
      <w:r>
        <w:instrText>ADDIN CSL_CITATION {"citationItems":[{"id":"ITEM-1","itemData":{"DOI":"10.1021/jm050044o","ISSN":"0022-2623","PMID":"15974578","abstract":"A systematic study on the effect of 2'-sugar modifications (2'-F (2'-F-2'-deoxy-nucleoside residues), 2'-O-Me (2'-O-methyl-nucleoside residues), and 2'-O-MOE [2'-O-(2-methoxyethyl)]-nucleoside residues) in the antisense and sense strands of short interference RNA (siRNA) was performed in HeLa cells. The study of the antisense strand of siRNAs demonstrated that activity depends on the position of the modifications in the sequence. The siRNAs with modified ribonucleotides at the 5'-end of the antisense strand were less active relative to the 3'-modified ones. The 2'-F sugar was generally well-tolerated on the antisense strand, whereas the 2'-O-Me showed significant shift in activity depending on the position of modification. The 2'-O-MOE modification in the antisense strand resulted in less active siRNA constructs regardless of placement position in the construct. The incorporation of the modified residues, e.g., 2'-O-Me and 2'-O-MOE, in the sense strand of siRNA did not show a strong positional preference. These results may provide guidelines to design effective and stable siRNAs for RNA interference mediated therapeutic applications.","author":[{"dropping-particle":"","family":"Prakash","given":"Thazha P.","non-dropping-particle":"","parse-names":false,"suffix":""},{"dropping-particle":"","family":"Allerson","given":"Charles R.","non-dropping-particle":"","parse-names":false,"suffix":""},{"dropping-particle":"","family":"Dande","given":"Prasad","non-dropping-particle":"","parse-names":false,"suffix":""},{"dropping-particle":"","family":"Vickers","given":"Timothy A.","non-dropping-particle":"","parse-names":false,"suffix":""},{"dropping-particle":"","family":"Sioufi","given":"Namir","non-dropping-particle":"","parse-names":false,"suffix":""},{"dropping-particle":"","family":"Jarres","given":"Russell","non-dropping-particle":"","parse-names":false,"suffix":""},{"dropping-particle":"","family":"Baker","given":"Brenda F.","non-dropping-particle":"","parse-names":false,"suffix":""},{"dropping-particle":"","family":"Swayze","given":"Eric E.","non-dropping-particle":"","parse-names":false,"suffix":""},{"dropping-particle":"","family":"Griffey","given":"Richard H.","non-dropping-particle":"","parse-names":false,"suffix":""},{"dropping-particle":"","family":"Bhat","given":"Balkrishen","non-dropping-particle":"","parse-names":false,"suffix":""}],"container-title":"Journal of Medicinal Chemistry","id":"ITEM-1","issue":"13","issued":{"date-parts":[["2005","6","30"]]},"page":"4247-4253","title":"Positional Effect of Chemical Modifications on Short Interference RNA Activity in Mammalian Cells","type":"article-journal","volume":"48"},"uris":["http://www.mendeley.com/documents/?uuid=0023623d-f300-30b8-afc0-f9fa78caa4d6"]}],"mendeley":{"formattedCitation":"(Prakash &lt;i&gt;et al.&lt;/i&gt;, 2005)","plainTextFormattedCitation":"(Prakash et al., 2005)","previouslyFormattedCitation":"(Prakash &lt;i&gt;et al.&lt;/i&gt;, 2005)"},"properties":{"noteIndex":0},"schema":"https://github.com/citation-style-language/schema/raw/master/csl-citation.json"}</w:instrText>
      </w:r>
      <w:r w:rsidR="005C0E76">
        <w:fldChar w:fldCharType="separate"/>
      </w:r>
      <w:r w:rsidRPr="00F37DD2">
        <w:rPr>
          <w:noProof/>
        </w:rPr>
        <w:t xml:space="preserve">(Prakash </w:t>
      </w:r>
      <w:r w:rsidRPr="00F37DD2">
        <w:rPr>
          <w:i/>
          <w:noProof/>
        </w:rPr>
        <w:t>et al.</w:t>
      </w:r>
      <w:r w:rsidRPr="00F37DD2">
        <w:rPr>
          <w:noProof/>
        </w:rPr>
        <w:t>, 2005)</w:t>
      </w:r>
      <w:r w:rsidR="005C0E76">
        <w:fldChar w:fldCharType="end"/>
      </w:r>
      <w:r>
        <w:t xml:space="preserve">, and that 2’-fluoro modifications in the passenger strand at the position where Argonaute 2 cleaves the passenger strand, may result in increased RNAi efficacy </w:t>
      </w:r>
      <w:r w:rsidR="005C0E76">
        <w:fldChar w:fldCharType="begin" w:fldLock="1"/>
      </w:r>
      <w:r>
        <w:instrText>ADDIN CSL_CITATION {"citationItems":[{"id":"ITEM-1","itemData":{"DOI":"10.1002/cbdv.200790073","ISSN":"16121872","PMID":"17511001","abstract":"Short interfering RNA (siRNA) molecules with good gene-silencing properties are needed for drug development based on RNA interference (RNAi). An initial step in RNAi is the activation of the RNA-induced silencing complex RISC, which requires degradation of the sense strand of the siRNA duplex. Although various chemical modifications have been introduced to the antisense strand, modifications to the Argonaute2 (Ago2) cleavage site in the sense strand have, so far, not been described in detail. In this work, novel 2'-F-purine modifications were introduced to siRNAs, and their biological efficacies were tested in cells stably expressing human tartrate-resistant acid phosphatase (TRACP). A validated siRNA that contains both purine and pyrimidine nucleotides at the putative Ago2 cleavage site was chemically modified to contain all possible combinations of 2'-fluorinated 2'-deoxypurines and/or 2'-deoxypyrimidines in the antisense and/or sense strands. The capacity of 2'-F-modified siRNAs to knock down their target mRNA and protein was studied, together with monitoring siRNA toxicity. All 2'-F-modified siRNAs resulted in target knockdown at nanomolar concentrations, despite their high thermal stability. These experiments provide the first evidence that RISC activation not only allows 2'-F modifications at the sense-strand cleavage site, but also increase the biological efficacy of modified siRNAs in vitro.","author":[{"dropping-particle":"","family":"Muhonen","given":"Pirkko","non-dropping-particle":"","parse-names":false,"suffix":""},{"dropping-particle":"","family":"Tennilä","given":"Tuula","non-dropping-particle":"","parse-names":false,"suffix":""},{"dropping-particle":"","family":"Azhayeva","given":"Elena","non-dropping-particle":"","parse-names":false,"suffix":""},{"dropping-particle":"","family":"Parthasarathy","given":"Ranga N.","non-dropping-particle":"","parse-names":false,"suffix":""},{"dropping-particle":"","family":"Janckila","given":"Anthony J.","non-dropping-particle":"","parse-names":false,"suffix":""},{"dropping-particle":"","family":"Väänänen","given":"H. Kalervo","non-dropping-particle":"","parse-names":false,"suffix":""},{"dropping-particle":"","family":"Azhayev","given":"Alex","non-dropping-particle":"","parse-names":false,"suffix":""},{"dropping-particle":"","family":"Laitala-Leinonen","given":"Tiina","non-dropping-particle":"","parse-names":false,"suffix":""}],"container-title":"Chemistry &amp; Biodiversity","id":"ITEM-1","issue":"5","issued":{"date-parts":[["2007","5"]]},"page":"858-873","title":"RNA Interference Tolerates 2′-Fluoro Modifications at the Argonaute2 Cleavage Site","type":"article-journal","volume":"4"},"uris":["http://www.mendeley.com/documents/?uuid=36088deb-1abd-3b8f-a4ed-2e650d4e0209"]}],"mendeley":{"formattedCitation":"(Muhonen &lt;i&gt;et al.&lt;/i&gt;, 2007)","plainTextFormattedCitation":"(Muhonen et al., 2007)","previouslyFormattedCitation":"(Muhonen &lt;i&gt;et al.&lt;/i&gt;, 2007)"},"properties":{"noteIndex":0},"schema":"https://github.com/citation-style-language/schema/raw/master/csl-citation.json"}</w:instrText>
      </w:r>
      <w:r w:rsidR="005C0E76">
        <w:fldChar w:fldCharType="separate"/>
      </w:r>
      <w:r w:rsidRPr="00EB5FD0">
        <w:rPr>
          <w:noProof/>
        </w:rPr>
        <w:t xml:space="preserve">(Muhonen </w:t>
      </w:r>
      <w:r w:rsidRPr="00EB5FD0">
        <w:rPr>
          <w:i/>
          <w:noProof/>
        </w:rPr>
        <w:t>et al.</w:t>
      </w:r>
      <w:r w:rsidRPr="00EB5FD0">
        <w:rPr>
          <w:noProof/>
        </w:rPr>
        <w:t>, 2007)</w:t>
      </w:r>
      <w:r w:rsidR="005C0E76">
        <w:fldChar w:fldCharType="end"/>
      </w:r>
      <w:r>
        <w:t xml:space="preserve">. These results are in agreement with those presented here for insect cells, which demonstrate that 1 2’F dsRNA is as active for RNAi as unmodified dsRNA, and has increased activity at some concentrations.  </w:t>
      </w:r>
    </w:p>
    <w:p w:rsidR="00045427" w:rsidRDefault="00045427" w:rsidP="00045427">
      <w:pPr>
        <w:spacing w:line="360" w:lineRule="auto"/>
        <w:ind w:firstLine="284"/>
      </w:pPr>
    </w:p>
    <w:p w:rsidR="00045427" w:rsidRDefault="00045427" w:rsidP="00045427">
      <w:pPr>
        <w:spacing w:line="360" w:lineRule="auto"/>
        <w:ind w:firstLine="284"/>
      </w:pPr>
      <w:r>
        <w:t xml:space="preserve">The lower RNAi efficacy of 2HMr dsRNA was </w:t>
      </w:r>
      <w:r w:rsidR="00E93841">
        <w:t>somewhat</w:t>
      </w:r>
      <w:r>
        <w:t xml:space="preserve"> surprising as the modification is not on the backbone of the dsRNA but rather on </w:t>
      </w:r>
      <w:r w:rsidRPr="00942AF8">
        <w:t>the base itself, and therefore not in a position where either degrading nucleases or Dicer-2 cut long dsRNA (see figure 3.1 a). Looking at 5’-hydroxymethyl cytidine as an example, the 5’ position where the hydroxymethyl group is attached</w:t>
      </w:r>
      <w:r>
        <w:t xml:space="preserve"> to the pyrimidine ring is also not one of the functional groups responsible for forming hydrogen bonds with guanosine residues in the opposite strand of the dsRNA. The hydroxyl group is also separated from the nearest functional group (4 NH</w:t>
      </w:r>
      <w:r w:rsidRPr="008B4667">
        <w:rPr>
          <w:vertAlign w:val="subscript"/>
        </w:rPr>
        <w:t>2</w:t>
      </w:r>
      <w:r>
        <w:t xml:space="preserve">) by three carbon atoms (the 4 and 5 pyrimidine carbons, and the methyl carbon of the hyroxymethyl group), and from the nearest double bond by two carbon atoms (the 5 pyrimidine carbon, and the methyl carbon of the hyroxymethyl group), therefore does not participate in any resonance stabilisation that might affect the hydrogen bonding groups. However, there is evidence that while 5-methyl modifications increases the thermal stability of duplex nucleic acids, 5-hydroxymethyl modifications moderately reduce the thermal stability of duplex nucleic acids compared to unmodified nucleic acids </w:t>
      </w:r>
      <w:r w:rsidR="005C0E76">
        <w:fldChar w:fldCharType="begin" w:fldLock="1"/>
      </w:r>
      <w:r>
        <w:instrText>ADDIN CSL_CITATION {"citationItems":[{"id":"ITEM-1","itemData":{"DOI":"10.1039/c0cc05671e","ISSN":"1359-7345","abstract":"Cytosine-5-methylation stabilises DNA duplexes and is associated with transcriptional repression; 5-methylcytosine undergoes hydroxylation to 5-hydroxymethylcytosine, a modification of unknown biological function. Spectroscopic and calorimetric analyses show that 5-hydroxymethylcytosine introduction reverses the stabilising effect of 5-methylcytosine, suggesting that in some contexts, 5-methylcytosine hydroxylation may, along with other factors, contribute to the alleviation of transcriptional repression.","author":[{"dropping-particle":"","family":"Thalhammer","given":"Armin","non-dropping-particle":"","parse-names":false,"suffix":""},{"dropping-particle":"","family":"Hansen","given":"Anders S.","non-dropping-particle":"","parse-names":false,"suffix":""},{"dropping-particle":"","family":"El-Sagheer","given":"Afaf H.","non-dropping-particle":"","parse-names":false,"suffix":""},{"dropping-particle":"","family":"Brown","given":"Tom","non-dropping-particle":"","parse-names":false,"suffix":""},{"dropping-particle":"","family":"Schofield","given":"Christopher J.","non-dropping-particle":"","parse-names":false,"suffix":""}],"container-title":"Chemical Communications","id":"ITEM-1","issue":"18","issued":{"date-parts":[["2011","4","19"]]},"page":"5325","publisher":"The Royal Society of Chemistry","title":"Hydroxylation of methylated CpG dinucleotides reverses stabilisation of DNA duplexes by cytosine 5-methylation","type":"article-journal","volume":"47"},"uris":["http://www.mendeley.com/documents/?uuid=630d2ec9-d1ad-376a-b4b8-3429a007965e"]},{"id":"ITEM-2","itemData":{"DOI":"10.1016/J.BMCL.2015.01.070","ISSN":"0960-894X","abstract":"An oxidation-based synthetic approach was developed for facile preparation of 5-formyl-2′-deoxycytidine and 5-hydroxymethyl-2′-deoxycytidine phosphoramidites. Upon introducing organic solvent components and copper catalysts, C5-methyl groups of 5-methyl-2′-deoxycytidine and thymidine were readily oxidized to formyl and hydroxyl functionality, respectively. Standard solid phase DNA synthesis and conventional deprotection methods were applicable to synthesize 5-formyl- or 5-hydroxymethyl-cytosine containing DNA oligonucleotides, which were used to study the effect of epigenetic modifications on DNA thermal dynamic stability.","author":[{"dropping-particle":"","family":"Xuan","given":"Shuguang","non-dropping-particle":"","parse-names":false,"suffix":""},{"dropping-particle":"","family":"Wu","given":"Qiong","non-dropping-particle":"","parse-names":false,"suffix":""},{"dropping-particle":"","family":"Cui","given":"Liang","non-dropping-particle":"","parse-names":false,"suffix":""},{"dropping-particle":"","family":"Zhang","given":"Dawei","non-dropping-particle":"","parse-names":false,"suffix":""},{"dropping-particle":"","family":"Shao","given":"Fangwei","non-dropping-particle":"","parse-names":false,"suffix":""}],"container-title":"Bioorganic &amp; Medicinal Chemistry Letters","id":"ITEM-2","issue":"6","issued":{"date-parts":[["2015","3","15"]]},"page":"1186-1191","publisher":"Pergamon","title":"5-Hydroxymethylcytosine and 5-formylcytosine containing deoxyoligonucleotides: Facile syntheses and melting temperature studies","type":"article-journal","volume":"25"},"uris":["http://www.mendeley.com/documents/?uuid=19738b41-b2c0-3fad-8328-a2cb1165dc20"]}],"mendeley":{"formattedCitation":"(Thalhammer &lt;i&gt;et al.&lt;/i&gt;, 2011; Xuan &lt;i&gt;et al.&lt;/i&gt;, 2015)","plainTextFormattedCitation":"(Thalhammer et al., 2011; Xuan et al., 2015)","previouslyFormattedCitation":"(Thalhammer &lt;i&gt;et al.&lt;/i&gt;, 2011; Xuan &lt;i&gt;et al.&lt;/i&gt;, 2015)"},"properties":{"noteIndex":0},"schema":"https://github.com/citation-style-language/schema/raw/master/csl-citation.json"}</w:instrText>
      </w:r>
      <w:r w:rsidR="005C0E76">
        <w:fldChar w:fldCharType="separate"/>
      </w:r>
      <w:r w:rsidRPr="00C03FFC">
        <w:rPr>
          <w:noProof/>
        </w:rPr>
        <w:t xml:space="preserve">(Thalhammer </w:t>
      </w:r>
      <w:r w:rsidRPr="00C03FFC">
        <w:rPr>
          <w:i/>
          <w:noProof/>
        </w:rPr>
        <w:t>et al.</w:t>
      </w:r>
      <w:r w:rsidRPr="00C03FFC">
        <w:rPr>
          <w:noProof/>
        </w:rPr>
        <w:t xml:space="preserve">, 2011; Xuan </w:t>
      </w:r>
      <w:r w:rsidRPr="00C03FFC">
        <w:rPr>
          <w:i/>
          <w:noProof/>
        </w:rPr>
        <w:t>et al.</w:t>
      </w:r>
      <w:r w:rsidRPr="00C03FFC">
        <w:rPr>
          <w:noProof/>
        </w:rPr>
        <w:t>, 2015)</w:t>
      </w:r>
      <w:r w:rsidR="005C0E76">
        <w:fldChar w:fldCharType="end"/>
      </w:r>
      <w:r>
        <w:t xml:space="preserve">, therefore the 5-hydroxymethyl modification may affect the unwinding and discarding of the passenger strand, or reduce the strength of binding between the ss-si-RISC and the target mRNA. </w:t>
      </w:r>
    </w:p>
    <w:p w:rsidR="00045427" w:rsidRDefault="00045427" w:rsidP="00045427">
      <w:pPr>
        <w:spacing w:line="360" w:lineRule="auto"/>
        <w:ind w:firstLine="284"/>
      </w:pPr>
      <w:r>
        <w:t xml:space="preserve">In dsDNA, 5-hydroxymethyl groups on 5-hydroxymethyl cytidine can extend into the grooves. Although dsRNA is an A form helix, while dsDNA is a B form helix, it is presumed </w:t>
      </w:r>
      <w:r w:rsidRPr="00C673CC">
        <w:t>that 5-hydroxymethyl groups in the dsRNA strand are also exposed, and may therefore impact on binding of the</w:t>
      </w:r>
      <w:r>
        <w:t xml:space="preserve"> siRNAs derived from the dsRNA to Argonaute-2, through steric hindrance. It is also possible </w:t>
      </w:r>
      <w:r>
        <w:lastRenderedPageBreak/>
        <w:t>that the difference in knockdown seen in the cell culture experiment might be due to differences in uptake of the dsRNA into the cells by the receptors responsible, again due to altered binding by HMr dsRNA.</w:t>
      </w:r>
    </w:p>
    <w:p w:rsidR="00045427" w:rsidRDefault="00045427" w:rsidP="00045427">
      <w:pPr>
        <w:spacing w:line="360" w:lineRule="auto"/>
        <w:ind w:firstLine="284"/>
        <w:rPr>
          <w:color w:val="FF0000"/>
        </w:rPr>
      </w:pPr>
      <w:r>
        <w:t xml:space="preserve">The similarity of 1HMr dsRNA to unmodified dsRNA may be the result of the HMr residues being dispersed enough to not significantly affect binding of dsRNA with scavenger receptors, Dicer-2 or Argonaute-2, which are required for uptake and processing of dsRNA to functional siRNAs. There may also be too few HMr modifications to significantly affect duplex stability, and therefore unwinding of the passenger strand and binding of the guide strand-RISC complex to the target mRNA are also not significantly affected. </w:t>
      </w:r>
    </w:p>
    <w:p w:rsidR="00045427" w:rsidRDefault="00045427" w:rsidP="00045427">
      <w:pPr>
        <w:spacing w:line="360" w:lineRule="auto"/>
        <w:ind w:firstLine="284"/>
      </w:pPr>
    </w:p>
    <w:p w:rsidR="00045427" w:rsidRDefault="00045427" w:rsidP="00045427">
      <w:pPr>
        <w:spacing w:line="360" w:lineRule="auto"/>
        <w:ind w:firstLine="284"/>
      </w:pPr>
      <w:r>
        <w:t xml:space="preserve">The cleavage mechanism of RNase III enzymes </w:t>
      </w:r>
      <w:r w:rsidR="005C0E76">
        <w:fldChar w:fldCharType="begin" w:fldLock="1"/>
      </w:r>
      <w:r>
        <w:instrText>ADDIN CSL_CITATION {"citationItems":[{"id":"ITEM-1","itemData":{"DOI":"10.1093/nar/gki197","ISSN":"1362-4962","PMID":"15699182","abstract":"Escherichia coli ribonuclease III (RNase III; EC 3.1.24) is a double-stranded(ds)-RNA-specific endonuclease with key roles in diverse RNA maturation and decay pathways. E.coli RNase III is a member of a structurally distinct superfamily that includes Dicer, a central enzyme in the mechanism of RNA interference. E.coli RNase III requires a divalent metal ion for activity, with Mg2+ as the preferred species. However, neither the function(s) nor the number of metal ions involved in catalysis is known. To gain information on metal ion involvement in catalysis, the rate of cleavage of the model substrate R1.1 RNA was determined as a function of Mg2+ concentration. Single-turnover conditions were applied, wherein phosphodiester cleavage was the rate-limiting event. The measured Hill coefficient (n (H)) is 2.0 +/- 0.1, indicative of the involvement of two Mg2+ ions in phosphodiester hydrolysis. It is also shown that 2-hydroxy-4H-isoquinoline-1,3-dione--an inhibitor of ribonucleases that employ two divalent metal ions in their catalytic sites--inhibits E.coli RNase III cleavage of R1.1 RNA. The IC50 for the compound is 14 microM for the Mg2+-supported reaction, and 8 microM for the Mn2+-supported reaction. The compound exhibits noncompetitive inhibitory kinetics, indicating that it does not perturb substrate binding. Neither the O-methylated version of the compound nor the unsubstituted imide inhibit substrate cleavage, which is consistent with a specific interaction of the N-hydroxyimide with two closely positioned divalent metal ions. A preliminary model is presented for functional roles of two divalent metal ions in the RNase III catalytic mechanism.","author":[{"dropping-particle":"","family":"Sun","given":"Weimei","non-dropping-particle":"","parse-names":false,"suffix":""},{"dropping-particle":"","family":"Pertzev","given":"Alexandre","non-dropping-particle":"","parse-names":false,"suffix":""},{"dropping-particle":"","family":"Nicholson","given":"Allen W","non-dropping-particle":"","parse-names":false,"suffix":""}],"container-title":"Nucleic acids research","id":"ITEM-1","issue":"3","issued":{"date-parts":[["2005"]]},"page":"807-15","publisher":"Oxford University Press","title":"Catalytic mechanism of Escherichia coli ribonuclease III: kinetic and inhibitor evidence for the involvement of two magnesium ions in RNA phosphodiester hydrolysis.","type":"article-journal","volume":"33"},"uris":["http://www.mendeley.com/documents/?uuid=1bfed7cd-496e-3311-8100-0c72a08bbf21"]}],"mendeley":{"formattedCitation":"(Sun, Pertzev and Nicholson, 2005)","plainTextFormattedCitation":"(Sun, Pertzev and Nicholson, 2005)","previouslyFormattedCitation":"(Sun, Pertzev and Nicholson, 2005)"},"properties":{"noteIndex":0},"schema":"https://github.com/citation-style-language/schema/raw/master/csl-citation.json"}</w:instrText>
      </w:r>
      <w:r w:rsidR="005C0E76">
        <w:fldChar w:fldCharType="separate"/>
      </w:r>
      <w:r w:rsidRPr="008D4F3B">
        <w:rPr>
          <w:noProof/>
        </w:rPr>
        <w:t>(Sun, Pertzev and Nicholson, 2005)</w:t>
      </w:r>
      <w:r w:rsidR="005C0E76">
        <w:fldChar w:fldCharType="end"/>
      </w:r>
      <w:r>
        <w:t xml:space="preserve">, and many other nucleases </w:t>
      </w:r>
      <w:r w:rsidR="005C0E76">
        <w:fldChar w:fldCharType="begin" w:fldLock="1"/>
      </w:r>
      <w:r>
        <w:instrText>ADDIN CSL_CITATION {"citationItems":[{"id":"ITEM-1","itemData":{"DOI":"10.3762/bjoc.14.68","ISSN":"1860-5397","PMID":"29719577","abstract":"Nucleic acids that store and transfer biological information are polymeric diesters of phosphoric acid. Cleavage of the phosphodiester linkages by protein enzymes, nucleases, is one of the underlying biological processes. The remarkable catalytic efficiency of nucleases, together with the ability of ribonucleic acids to serve sometimes as nucleases, has made the cleavage of phosphodiesters a subject of intensive mechanistic studies. In addition to studies of nucleases by pH-rate dependency, X-ray crystallography, amino acid/nucleotide substitution and computational approaches, experimental and theoretical studies with small molecular model compounds still play a role. With small molecules, the importance of various elementary processes, such as proton transfer and metal ion binding, for stabilization of transition states may be elucidated and systematic variation of the basicity of the entering or departing nucleophile enables determination of the position of the transition state on the reaction coordinate. Such data is important on analyzing enzyme mechanisms based on synergistic participation of several catalytic entities. Many nucleases are metalloenzymes and small molecular models offer an excellent tool to construct models for their catalytic centers. The present review tends to be an up to date summary of what has been achieved by mechanistic studies with small molecular phosphodiesters.","author":[{"dropping-particle":"","family":"Mikkola","given":"Satu","non-dropping-particle":"","parse-names":false,"suffix":""},{"dropping-particle":"","family":"Lönnberg","given":"Tuomas","non-dropping-particle":"","parse-names":false,"suffix":""},{"dropping-particle":"","family":"Lönnberg","given":"Harri","non-dropping-particle":"","parse-names":false,"suffix":""}],"container-title":"Beilstein journal of organic chemistry","id":"ITEM-1","issued":{"date-parts":[["2018"]]},"page":"803-837","publisher":"Beilstein-Institut","title":"Phosphodiester models for cleavage of nucleic acids.","type":"article-journal","volume":"14"},"uris":["http://www.mendeley.com/documents/?uuid=e14d9d47-f260-3100-9746-c14c1b448b1d"]}],"mendeley":{"formattedCitation":"(Mikkola, Lönnberg and Lönnberg, 2018)","plainTextFormattedCitation":"(Mikkola, Lönnberg and Lönnberg, 2018)","previouslyFormattedCitation":"(Mikkola, Lönnberg and Lönnberg, 2018)"},"properties":{"noteIndex":0},"schema":"https://github.com/citation-style-language/schema/raw/master/csl-citation.json"}</w:instrText>
      </w:r>
      <w:r w:rsidR="005C0E76">
        <w:fldChar w:fldCharType="separate"/>
      </w:r>
      <w:r w:rsidRPr="00D90449">
        <w:rPr>
          <w:noProof/>
        </w:rPr>
        <w:t>(Mikkola, Lönnberg and Lönnberg, 2018)</w:t>
      </w:r>
      <w:r w:rsidR="005C0E76">
        <w:fldChar w:fldCharType="end"/>
      </w:r>
      <w:r>
        <w:t>, involves the lone pairs of electrons on the non-bridging oxygens in the phosphate group of a phosphodiester bond in the nucleic acid substrate coordinating with metal ions in order to facilitate binding of the nuclease to the substrate at certain amino acid residues. This orientates the nucleic acid substrate such that amino acid groups elsewhere on the nuclease can initiate the series of nucleophilic attack reactions that result in cleavage of the substrate. As one of the non-bridging oxygen atoms is replaced by a sulphur atom in phosphorothioate nucleic acid, it is reasonable to assume this may affect the activity of such nucleases. The 2’ hydroxyl group on the RNA ribose ring is also involved in the ‘in-line’ attack reaction that cleaves RNA substrates</w:t>
      </w:r>
      <w:r w:rsidR="00942AF8">
        <w:t xml:space="preserve"> for some nucleases</w:t>
      </w:r>
      <w:r>
        <w:t xml:space="preserve"> </w:t>
      </w:r>
      <w:r w:rsidR="005C0E76">
        <w:fldChar w:fldCharType="begin" w:fldLock="1"/>
      </w:r>
      <w:r>
        <w:instrText>ADDIN CSL_CITATION {"citationItems":[{"id":"ITEM-1","itemData":{"DOI":"10.1093/nar/gkm394","ISSN":"1362-4962","PMID":"17553832","abstract":"Since the proposal of 'in-line attack' conformation as a possibly important intermediate in RNA cleavage, its structure has been captured in various protein and RNA enzymes; these structures strengthen the belief that this conformation plays an essential role in the catalysis of RNA cleavage. As generally discussed, this intermediate structure can be involved in energy barrier reduction in two possible ways, e.g. through either conformational effect or electrostatic effect. In order to quantitatively elucidate the contribution of conformational effect in this type of enzyme catalysis, free energy simulations were performed on the RNA structures both in a splicing endonuclease complex and in the aqueous solution. Our free energy simulation results revealed that the 'in-line attack' conformational effect plays a modest role in facilitating the reaction rate enhancement (approximately 12-fold) compared with the overall 10(12)-fold rate increase. The close agreement between the present computational estimation and an experimental measurement on the spontaneous RNA cleavage in an in vitro evolved ATP aptamer motives us to realize that the conformation distribution of an enzyme substrate prior to rather than after its binding determines the upper bound of the rate enhancement ability through the conformational strategy.","author":[{"dropping-particle":"","family":"Min","given":"Donghong","non-dropping-particle":"","parse-names":false,"suffix":""},{"dropping-particle":"","family":"Xue","given":"Song","non-dropping-particle":"","parse-names":false,"suffix":""},{"dropping-particle":"","family":"Li","given":"Hong","non-dropping-particle":"","parse-names":false,"suffix":""},{"dropping-particle":"","family":"Yang","given":"Wei","non-dropping-particle":"","parse-names":false,"suffix":""}],"container-title":"Nucleic acids research","id":"ITEM-1","issue":"12","issued":{"date-parts":[["2007"]]},"page":"4001-6","publisher":"Oxford University Press","title":"'In-line attack' conformational effect plays a modest role in an enzyme-catalyzed RNA cleavage: a free energy simulation study.","type":"article-journal","volume":"35"},"uris":["http://www.mendeley.com/documents/?uuid=43b3ea6f-4f9f-38b4-abb0-fa316d0cf9b6"]}],"mendeley":{"formattedCitation":"(Min &lt;i&gt;et al.&lt;/i&gt;, 2007)","plainTextFormattedCitation":"(Min et al., 2007)","previouslyFormattedCitation":"(Min &lt;i&gt;et al.&lt;/i&gt;, 2007)"},"properties":{"noteIndex":0},"schema":"https://github.com/citation-style-language/schema/raw/master/csl-citation.json"}</w:instrText>
      </w:r>
      <w:r w:rsidR="005C0E76">
        <w:fldChar w:fldCharType="separate"/>
      </w:r>
      <w:r w:rsidRPr="00CC76B1">
        <w:rPr>
          <w:noProof/>
        </w:rPr>
        <w:t xml:space="preserve">(Min </w:t>
      </w:r>
      <w:r w:rsidRPr="00CC76B1">
        <w:rPr>
          <w:i/>
          <w:noProof/>
        </w:rPr>
        <w:t>et al.</w:t>
      </w:r>
      <w:r w:rsidRPr="00CC76B1">
        <w:rPr>
          <w:noProof/>
        </w:rPr>
        <w:t>, 2007)</w:t>
      </w:r>
      <w:r w:rsidR="005C0E76">
        <w:fldChar w:fldCharType="end"/>
      </w:r>
      <w:r w:rsidR="00942AF8">
        <w:t xml:space="preserve"> (though not for RNase III</w:t>
      </w:r>
      <w:r w:rsidR="00E93841">
        <w:t>/Dicer</w:t>
      </w:r>
      <w:r w:rsidR="00942AF8">
        <w:t xml:space="preserve"> cleavage)</w:t>
      </w:r>
      <w:r>
        <w:t xml:space="preserve">, therefore substitution of this oxygen by a fluorine atom in 2’-fluoro dsRNA is also likely to affect the efficiency of the cleavage mechanism. As cleavage of long dsRNA to siRNAs by Dicer-2, and resistance of dsRNA to more general nucleases are key factors determining RNAi efficacy, it is little surprise that PS and 2’F modifications have an effect on RNAi efficacy. </w:t>
      </w:r>
    </w:p>
    <w:p w:rsidR="00045427" w:rsidRPr="00C74320" w:rsidRDefault="00045427" w:rsidP="00045427">
      <w:pPr>
        <w:spacing w:line="360" w:lineRule="auto"/>
        <w:ind w:firstLine="284"/>
        <w:rPr>
          <w:color w:val="FF0000"/>
        </w:rPr>
      </w:pPr>
    </w:p>
    <w:p w:rsidR="00045427" w:rsidRPr="007D54F2" w:rsidRDefault="00045427" w:rsidP="00045427">
      <w:pPr>
        <w:spacing w:line="360" w:lineRule="auto"/>
        <w:ind w:firstLine="284"/>
        <w:rPr>
          <w:color w:val="FF0000"/>
        </w:rPr>
      </w:pPr>
      <w:r>
        <w:t xml:space="preserve">It was determined that using equal amounts (e.g. 50 ng each) of two dsRNAs to partially knockdown two different components of the same pathway by RNAi, was as effective at reducing the overall activity of the pathway, as twice the amount of a single dsRNA (e.g. 100 ng) targeting a single pathway component for RNAi-induced knockdown. Using 100 ng each of two dsRNAs to target two pathway components might result in a further increase in overall pathway activity reduction, however this requires more dsRNA to be generated. There is no advantage to using multiple gene targets when attempting to minimise the dsRNA needed to reduce the activity of a certain signalling pathway by RNAi for this model system.  </w:t>
      </w:r>
    </w:p>
    <w:p w:rsidR="00045427" w:rsidRDefault="00045427" w:rsidP="00045427">
      <w:pPr>
        <w:spacing w:line="360" w:lineRule="auto"/>
        <w:ind w:firstLine="284"/>
      </w:pPr>
      <w:r>
        <w:lastRenderedPageBreak/>
        <w:t xml:space="preserve">The results presented in this chapter </w:t>
      </w:r>
      <w:r w:rsidRPr="00AA2F10">
        <w:t>demonstrate</w:t>
      </w:r>
      <w:r>
        <w:t xml:space="preserve"> for the first time</w:t>
      </w:r>
      <w:r w:rsidRPr="00AA2F10">
        <w:t xml:space="preserve"> that chemically modified dsRNAs can be used </w:t>
      </w:r>
      <w:r>
        <w:t>for RNAi applications in</w:t>
      </w:r>
      <w:r w:rsidRPr="00AA2F10">
        <w:t xml:space="preserve"> </w:t>
      </w:r>
      <w:r w:rsidRPr="00AA2F10">
        <w:rPr>
          <w:i/>
        </w:rPr>
        <w:t>Drosophila melanogaster</w:t>
      </w:r>
      <w:r w:rsidRPr="00AA2F10">
        <w:t xml:space="preserve"> Kc167</w:t>
      </w:r>
      <w:r w:rsidR="00E93841">
        <w:t xml:space="preserve"> cells</w:t>
      </w:r>
      <w:r w:rsidRPr="00AA2F10">
        <w:t>. Based on the chemical modifications used in this study, the results show no significant loss of RNAi efficacy compared to unmodified dsRNA</w:t>
      </w:r>
      <w:r>
        <w:t>,</w:t>
      </w:r>
      <w:r w:rsidRPr="00AA2F10">
        <w:t xml:space="preserve"> therefore suggesting that these long dsRNA</w:t>
      </w:r>
      <w:r>
        <w:t>s can be successfully uptaken by cells, and processed by Dicer-2 and RISC. Furthermore</w:t>
      </w:r>
      <w:r w:rsidR="003C4663">
        <w:t>,</w:t>
      </w:r>
      <w:r>
        <w:t xml:space="preserve"> a number of chemically modified dsRNAs showed improved RNAi efficacy, </w:t>
      </w:r>
      <w:r w:rsidRPr="0089075B">
        <w:t xml:space="preserve">and can be potentially used </w:t>
      </w:r>
      <w:r>
        <w:t>as</w:t>
      </w:r>
      <w:r w:rsidRPr="0089075B">
        <w:t xml:space="preserve"> dsRNA biopesticides to target major crop pests.</w:t>
      </w:r>
    </w:p>
    <w:p w:rsidR="00045427" w:rsidRPr="007D54F2" w:rsidRDefault="00045427" w:rsidP="00045427">
      <w:pPr>
        <w:spacing w:line="360" w:lineRule="auto"/>
        <w:ind w:firstLine="284"/>
        <w:rPr>
          <w:color w:val="FF0000"/>
        </w:rPr>
      </w:pPr>
    </w:p>
    <w:p w:rsidR="004D046F" w:rsidRDefault="004D046F">
      <w:pPr>
        <w:spacing w:after="200"/>
        <w:jc w:val="left"/>
      </w:pPr>
      <w:r>
        <w:br w:type="page"/>
      </w:r>
    </w:p>
    <w:p w:rsidR="004D046F" w:rsidRDefault="004D046F" w:rsidP="004D046F">
      <w:pPr>
        <w:spacing w:after="200"/>
        <w:jc w:val="center"/>
        <w:rPr>
          <w:sz w:val="72"/>
          <w:szCs w:val="72"/>
        </w:rPr>
      </w:pPr>
      <w:r>
        <w:rPr>
          <w:sz w:val="72"/>
          <w:szCs w:val="72"/>
        </w:rPr>
        <w:lastRenderedPageBreak/>
        <w:t>Chapter 6</w:t>
      </w:r>
    </w:p>
    <w:p w:rsidR="004D046F" w:rsidRDefault="004D046F" w:rsidP="004D046F">
      <w:pPr>
        <w:spacing w:after="200"/>
        <w:jc w:val="center"/>
        <w:rPr>
          <w:sz w:val="72"/>
          <w:szCs w:val="72"/>
        </w:rPr>
      </w:pPr>
    </w:p>
    <w:p w:rsidR="004D046F" w:rsidRDefault="00013A14" w:rsidP="004D046F">
      <w:pPr>
        <w:jc w:val="center"/>
      </w:pPr>
      <w:r w:rsidRPr="00013A14">
        <w:rPr>
          <w:i/>
          <w:sz w:val="52"/>
          <w:szCs w:val="52"/>
        </w:rPr>
        <w:t xml:space="preserve">In vivo </w:t>
      </w:r>
      <w:r w:rsidRPr="00013A14">
        <w:rPr>
          <w:sz w:val="52"/>
          <w:szCs w:val="52"/>
        </w:rPr>
        <w:t>analysis of RNAi efficacy of chemically modified dsRNA in live insects</w:t>
      </w:r>
    </w:p>
    <w:p w:rsidR="004D046F" w:rsidRDefault="004D046F">
      <w:pPr>
        <w:spacing w:after="200"/>
        <w:jc w:val="left"/>
      </w:pPr>
    </w:p>
    <w:p w:rsidR="00013A14" w:rsidRDefault="00013A14">
      <w:pPr>
        <w:spacing w:after="200"/>
        <w:jc w:val="left"/>
      </w:pPr>
      <w:r>
        <w:br w:type="page"/>
      </w:r>
    </w:p>
    <w:p w:rsidR="00013A14" w:rsidRPr="00C03466" w:rsidRDefault="00013A14" w:rsidP="00013A14">
      <w:pPr>
        <w:pStyle w:val="Heading1"/>
        <w:spacing w:before="120" w:after="240" w:line="360" w:lineRule="auto"/>
      </w:pPr>
      <w:bookmarkStart w:id="220" w:name="_Toc35334001"/>
      <w:r w:rsidRPr="00C03466">
        <w:rPr>
          <w:i/>
        </w:rPr>
        <w:lastRenderedPageBreak/>
        <w:t>In vivo</w:t>
      </w:r>
      <w:r w:rsidRPr="00C03466">
        <w:t xml:space="preserve"> analysis of RNAi </w:t>
      </w:r>
      <w:r>
        <w:t>efficacy of</w:t>
      </w:r>
      <w:r w:rsidRPr="00C03466">
        <w:t xml:space="preserve"> </w:t>
      </w:r>
      <w:r>
        <w:t xml:space="preserve">chemically </w:t>
      </w:r>
      <w:r w:rsidRPr="00C03466">
        <w:t>modified dsRNA in live insects</w:t>
      </w:r>
      <w:bookmarkEnd w:id="220"/>
      <w:r w:rsidRPr="00C03466">
        <w:t xml:space="preserve"> </w:t>
      </w:r>
    </w:p>
    <w:p w:rsidR="00013A14" w:rsidRDefault="00013A14" w:rsidP="00013A14">
      <w:pPr>
        <w:pStyle w:val="Heading2"/>
        <w:spacing w:before="120" w:after="120" w:line="360" w:lineRule="auto"/>
        <w:ind w:left="567"/>
      </w:pPr>
      <w:bookmarkStart w:id="221" w:name="_Toc15562890"/>
      <w:bookmarkStart w:id="222" w:name="_Toc35334002"/>
      <w:r>
        <w:t>Abstract</w:t>
      </w:r>
      <w:bookmarkEnd w:id="221"/>
      <w:bookmarkEnd w:id="222"/>
    </w:p>
    <w:p w:rsidR="00013A14" w:rsidRDefault="00013A14" w:rsidP="00013A14">
      <w:pPr>
        <w:spacing w:line="360" w:lineRule="auto"/>
        <w:ind w:firstLine="284"/>
      </w:pPr>
      <w:r>
        <w:t>The aim of this chapter was to study the effects of chemical modifications of dsRNA in live Coleopteran and Hemipteran insects, as many insects in these orders are crop pests. It was hypothesised that increased nuclease resistance and improved uptake of the chemically modified dsRNA may lead to increased RNAi activity compared to unmodified dsRNA.</w:t>
      </w:r>
    </w:p>
    <w:p w:rsidR="00013A14" w:rsidRDefault="00013A14" w:rsidP="00013A14">
      <w:pPr>
        <w:spacing w:line="360" w:lineRule="auto"/>
        <w:ind w:firstLine="284"/>
      </w:pPr>
      <w:r>
        <w:t xml:space="preserve">To study the effects of chemical modifications of dsRNA on RNAi activity, a range of  chemically modified dsRNA (including phosphorothioate (PS), 2’-fluoro (2’F) and 5-hydroxymethyl (HMr)), were injected into southern green stink bugs </w:t>
      </w:r>
      <w:r w:rsidRPr="00AB68EE">
        <w:rPr>
          <w:i/>
        </w:rPr>
        <w:t>Nezara viridula</w:t>
      </w:r>
      <w:r>
        <w:t xml:space="preserve"> (Hemiptera), and fed to western corn rootworm (WCR) </w:t>
      </w:r>
      <w:r w:rsidRPr="00AB68EE">
        <w:rPr>
          <w:i/>
        </w:rPr>
        <w:t>Diabrotica virgifera virgifera</w:t>
      </w:r>
      <w:r>
        <w:t xml:space="preserve"> (Coleoptera) in diet plate or soil feeding assays. RNAi activity was assessed based on insect mortality in each of the assays. </w:t>
      </w:r>
    </w:p>
    <w:p w:rsidR="00013A14" w:rsidRDefault="00013A14" w:rsidP="00013A14">
      <w:pPr>
        <w:spacing w:line="360" w:lineRule="auto"/>
        <w:ind w:firstLine="284"/>
      </w:pPr>
    </w:p>
    <w:p w:rsidR="00013A14" w:rsidRDefault="00013A14" w:rsidP="00013A14">
      <w:pPr>
        <w:spacing w:line="360" w:lineRule="auto"/>
        <w:ind w:firstLine="284"/>
      </w:pPr>
      <w:r>
        <w:t>The diet plate assay results show dsRNA with 2’F modifications in either strand but not both has almost equivalent RNAi activity to unmodified dsRNA in both stink bugs and WCR. dsRNA with PS modifications in the passenger strand or guide strand had equivalent activity to unmodified dsRNA when injected into stink bug. dsRNA with PS modifications in the passenger strand showed RNAi activity approximately equal to that of unmodified dsRNA in WCR, while dsRNA with PS modifications in the guide strand demonstrated reduced RNAi activity. PS or 2’F modifications in both strands of the dsRNA greatly abrogated RNAi activity in WCR. 1PS dsRNAs were also more active than 2PS dsRNAs, and dsRNA with 2PS modifications in both strands showed low to no RNAi efficacy. HMr dsRNA showed equivalent RNAi activity to unmodified dsRNA when fed to WCR.</w:t>
      </w:r>
    </w:p>
    <w:p w:rsidR="00013A14" w:rsidRDefault="00013A14" w:rsidP="00013A14">
      <w:pPr>
        <w:spacing w:line="360" w:lineRule="auto"/>
        <w:ind w:firstLine="284"/>
      </w:pPr>
      <w:r>
        <w:t xml:space="preserve">PS dsRNAs fed to WCR in a soil feeding assay demonstrated similar efficacy ranking to that for PS dsRNAs in the diet plate assay. None of the PS dsRNAs demonstrated a reduction in loss of RNAi activity over time compared to unmodified dsRNA in soil. </w:t>
      </w:r>
    </w:p>
    <w:p w:rsidR="00013A14" w:rsidRDefault="00013A14" w:rsidP="00013A14">
      <w:pPr>
        <w:spacing w:line="360" w:lineRule="auto"/>
        <w:ind w:firstLine="284"/>
      </w:pPr>
      <w:r w:rsidRPr="007720A8">
        <w:t>In conclusion, the results show that a range of different chemically modified dsRNA resulted in efficient RNAi in southern green stink bugs and western corn rootworm using insect mortality assays</w:t>
      </w:r>
      <w:r>
        <w:t>.</w:t>
      </w:r>
      <w:r w:rsidRPr="007720A8">
        <w:t xml:space="preserve"> </w:t>
      </w:r>
      <w:r>
        <w:t xml:space="preserve">However, none of the chemically modified dsRNAs analysed showed an improvement in RNAi activity compared to unmodified dsRNA in the assays used. Clear distinctions in RNAi efficacy were observed depending on type, location, and quantity of chemical modifications present within the dsRNA. </w:t>
      </w:r>
      <w:r w:rsidRPr="007720A8">
        <w:t>Therefore these results provide further mechanistic insight into the potential use of chemically modified dsRNA biopesticides</w:t>
      </w:r>
      <w:r>
        <w:t>.</w:t>
      </w:r>
    </w:p>
    <w:p w:rsidR="00013A14" w:rsidRDefault="00013A14" w:rsidP="00013A14">
      <w:pPr>
        <w:pStyle w:val="Heading2"/>
        <w:spacing w:before="120" w:after="120" w:line="360" w:lineRule="auto"/>
        <w:ind w:left="567"/>
      </w:pPr>
      <w:bookmarkStart w:id="223" w:name="_Toc15562891"/>
      <w:bookmarkStart w:id="224" w:name="_Toc35334003"/>
      <w:r>
        <w:lastRenderedPageBreak/>
        <w:t>Introduction</w:t>
      </w:r>
      <w:bookmarkEnd w:id="223"/>
      <w:bookmarkEnd w:id="224"/>
    </w:p>
    <w:p w:rsidR="00013A14" w:rsidRDefault="00013A14" w:rsidP="00013A14">
      <w:pPr>
        <w:spacing w:line="360" w:lineRule="auto"/>
        <w:ind w:firstLine="284"/>
      </w:pPr>
      <w:r>
        <w:t xml:space="preserve">RNAi efficiency between insects of different orders is known to vary. Coleopteran insects (beetles) demonstrate the most robust and systemic RNAi response </w:t>
      </w:r>
      <w:r w:rsidR="005C0E76">
        <w:fldChar w:fldCharType="begin" w:fldLock="1"/>
      </w:r>
      <w:r>
        <w:instrText>ADDIN CSL_CITATION {"citationItems":[{"id":"ITEM-1","itemData":{"DOI":"10.1186/gb-2008-9-1-r10","ISSN":"1465-6906","PMID":"18201385","abstract":"BACKGROUND RNA interference (RNAi) is a highly conserved cellular mechanism. In some organisms, such as Caenorhabditis elegans, the RNAi response can be transmitted systemically. Some insects also exhibit a systemic RNAi response. However, Drosophila, the leading insect model organism, does not show a robust systemic RNAi response, necessitating another model system to study the molecular mechanism of systemic RNAi in insects. RESULTS We used Tribolium, which exhibits robust systemic RNAi, as an alternative model system. We have identified the core RNAi genes, as well as genes potentially involved in systemic RNAi, from the Tribolium genome. Both phylogenetic and functional analyses suggest that Tribolium has a somewhat larger inventory of core component genes than Drosophila, perhaps allowing a more sensitive response to double-stranded RNA (dsRNA). We also identified three Tribolium homologs of C. elegans sid-1, which encodes a possible dsRNA channel. However, detailed sequence analysis has revealed that these Tribolium homologs share more identity with another C. elegans gene, tag-130. We analyzed tag-130 mutants, and found that this gene does not have a function in systemic RNAi in C. elegans. Likewise, the Tribolium sid-like genes do not seem to be required for systemic RNAi. These results suggest that insect sid-1-like genes have a different function than dsRNA uptake. Moreover, Tribolium lacks homologs of several genes important for RNAi in C. elegans. CONCLUSION Although both Tribolium and C. elegans show a robust systemic RNAi response, our genome-wide survey reveals significant differences between the RNAi mechanisms of these organisms. Thus, insects may use an alternative mechanism for the systemic RNAi response. Understanding this process would assist with rendering other insects amenable to systemic RNAi, and may influence pest control approaches.","author":[{"dropping-particle":"","family":"Tomoyasu","given":"Yoshinori","non-dropping-particle":"","parse-names":false,"suffix":""},{"dropping-particle":"","family":"Miller","given":"Sherry C","non-dropping-particle":"","parse-names":false,"suffix":""},{"dropping-particle":"","family":"Tomita","given":"Shuichiro","non-dropping-particle":"","parse-names":false,"suffix":""},{"dropping-particle":"","family":"Schoppmeier","given":"Michael","non-dropping-particle":"","parse-names":false,"suffix":""},{"dropping-particle":"","family":"Grossmann","given":"Daniela","non-dropping-particle":"","parse-names":false,"suffix":""},{"dropping-particle":"","family":"Bucher","given":"Gregor","non-dropping-particle":"","parse-names":false,"suffix":""}],"container-title":"Genome Biology","id":"ITEM-1","issue":"1","issued":{"date-parts":[["2008","1","17"]]},"page":"R10","title":"Exploring systemic RNA interference in insects: a genome-wide survey for RNAi genes in Tribolium","type":"article-journal","volume":"9"},"uris":["http://www.mendeley.com/documents/?uuid=8d2500e2-514a-3d6f-94b9-3aaecc781ee5"]},{"id":"ITEM-2","itemData":{"DOI":"10.1371/journal.pone.0047431","ISSN":"1932-6203","PMID":"23133513","abstract":"The phenomenon of RNAi, in which the introduction of dsRNA into a cell triggers the destruction of the corresponding mRNA resulting in a gene silencing effect, is conserved across a wide array of plant and animal phyla. However, the mechanism by which the dsRNA enters a cell, allowing the RNAi effect to occur throughout a multicellular organism (systemic RNAi), has only been studied extensively in certain plants and the nematode Caenorhabditis elegans. In recent years, RNAi has become a popular reverse genetic technique for gene silencing in many organisms. Although many RNAi techniques in non-traditional model organisms rely on the systemic nature of RNAi, little has been done to analyze the parameters required to obtain a robust systemic RNAi response. The data provided here show that the concentration and length of dsRNA have profound effects on the efficacy of the RNAi response both in regard to initial efficiency and duration of the effect in Tribolium castaneum. In addition, our analyses using a series of short dsRNAs and chimeric dsRNA provide evidence that dsRNA cellular uptake (and not the RNAi response itself) is the major step affected by dsRNA size in Tribolium. We also demonstrate that competitive inhibition of dsRNA can occur when multiple dsRNAs are injected together, influencing the effectiveness of RNAi. These data provide specific information essential to the design and implementation of RNAi based studies, and may provide insight into the molecular basis of the systemic RNAi response in insects.","author":[{"dropping-particle":"","family":"Miller","given":"Sherry C.","non-dropping-particle":"","parse-names":false,"suffix":""},{"dropping-particle":"","family":"Miyata","given":"Keita","non-dropping-particle":"","parse-names":false,"suffix":""},{"dropping-particle":"","family":"Brown","given":"Susan J.","non-dropping-particle":"","parse-names":false,"suffix":""},{"dropping-particle":"","family":"Tomoyasu","given":"Yoshinori","non-dropping-particle":"","parse-names":false,"suffix":""}],"container-title":"PLoS ONE","editor":[{"dropping-particle":"","family":"McGregor","given":"Alistair P.","non-dropping-particle":"","parse-names":false,"suffix":""}],"id":"ITEM-2","issue":"10","issued":{"date-parts":[["2012","10","25"]]},"page":"e47431","title":"Dissecting Systemic RNA Interference in the Red Flour Beetle Tribolium castaneum: Parameters Affecting the Efficiency of RNAi","type":"article-journal","volume":"7"},"uris":["http://www.mendeley.com/documents/?uuid=f6259c1c-1dff-3e7c-ad68-e2b692e3393e"]}],"mendeley":{"formattedCitation":"(Tomoyasu &lt;i&gt;et al.&lt;/i&gt;, 2008; Miller &lt;i&gt;et al.&lt;/i&gt;, 2012)","plainTextFormattedCitation":"(Tomoyasu et al., 2008; Miller et al., 2012)","previouslyFormattedCitation":"(Tomoyasu &lt;i&gt;et al.&lt;/i&gt;, 2008; Miller &lt;i&gt;et al.&lt;/i&gt;, 2012)"},"properties":{"noteIndex":0},"schema":"https://github.com/citation-style-language/schema/raw/master/csl-citation.json"}</w:instrText>
      </w:r>
      <w:r w:rsidR="005C0E76">
        <w:fldChar w:fldCharType="separate"/>
      </w:r>
      <w:r w:rsidRPr="008F2D31">
        <w:rPr>
          <w:noProof/>
        </w:rPr>
        <w:t xml:space="preserve">(Tomoyasu </w:t>
      </w:r>
      <w:r w:rsidRPr="008F2D31">
        <w:rPr>
          <w:i/>
          <w:noProof/>
        </w:rPr>
        <w:t>et al.</w:t>
      </w:r>
      <w:r w:rsidRPr="008F2D31">
        <w:rPr>
          <w:noProof/>
        </w:rPr>
        <w:t xml:space="preserve">, 2008; Miller </w:t>
      </w:r>
      <w:r w:rsidRPr="008F2D31">
        <w:rPr>
          <w:i/>
          <w:noProof/>
        </w:rPr>
        <w:t>et al.</w:t>
      </w:r>
      <w:r w:rsidRPr="008F2D31">
        <w:rPr>
          <w:noProof/>
        </w:rPr>
        <w:t>, 2012)</w:t>
      </w:r>
      <w:r w:rsidR="005C0E76">
        <w:fldChar w:fldCharType="end"/>
      </w:r>
      <w:r>
        <w:t xml:space="preserve">. One of the first successful demonstrations of RNAi as a potential orally delivered insecticide was in a Coleopteran species, </w:t>
      </w:r>
      <w:r w:rsidRPr="008F2D31">
        <w:rPr>
          <w:i/>
        </w:rPr>
        <w:t>Diabrotica virgifera virgifera</w:t>
      </w:r>
      <w:r>
        <w:t xml:space="preserve"> or western corn rootworm (WCR) </w:t>
      </w:r>
      <w:r w:rsidR="005C0E76">
        <w:fldChar w:fldCharType="begin" w:fldLock="1"/>
      </w:r>
      <w:r>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interference","type":"article-journal","volume":"25"},"uris":["http://www.mendeley.com/documents/?uuid=f36b1865-baf2-4cfb-bf8c-3a0a3c4b563c"]}],"mendeley":{"formattedCitation":"(Baum &lt;i&gt;et al.&lt;/i&gt;, 2007)","plainTextFormattedCitation":"(Baum et al., 2007)","previouslyFormattedCitation":"(Baum &lt;i&gt;et al.&lt;/i&gt;, 2007)"},"properties":{"noteIndex":0},"schema":"https://github.com/citation-style-language/schema/raw/master/csl-citation.json"}</w:instrText>
      </w:r>
      <w:r w:rsidR="005C0E76">
        <w:fldChar w:fldCharType="separate"/>
      </w:r>
      <w:r w:rsidRPr="008F2D31">
        <w:rPr>
          <w:noProof/>
        </w:rPr>
        <w:t xml:space="preserve">(Baum </w:t>
      </w:r>
      <w:r w:rsidRPr="008F2D31">
        <w:rPr>
          <w:i/>
          <w:noProof/>
        </w:rPr>
        <w:t>et al.</w:t>
      </w:r>
      <w:r w:rsidRPr="008F2D31">
        <w:rPr>
          <w:noProof/>
        </w:rPr>
        <w:t>, 2007)</w:t>
      </w:r>
      <w:r w:rsidR="005C0E76">
        <w:fldChar w:fldCharType="end"/>
      </w:r>
      <w:r>
        <w:t xml:space="preserve">. In contrast, Lepidopteran insect species (butterflies and moths) demonstrate a very poor RNAi response </w:t>
      </w:r>
      <w:r w:rsidR="005C0E76">
        <w:fldChar w:fldCharType="begin" w:fldLock="1"/>
      </w:r>
      <w:r w:rsidR="00C57A7E">
        <w:instrText>ADDIN CSL_CITATION {"citationItems":[{"id":"ITEM-1","itemData":{"DOI":"10.1080/15476286.2016.1191728","ISSN":"1547-6286","abstract":"ABSTRACTRNA interference (RNAi) has become a widely used reverse genetic tool to study gene function in eukaryotic organisms and is being developed as a technology for insect pest management. The e...","author":[{"dropping-particle":"","family":"Shukla","given":"Jayendra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Biology","id":"ITEM-1","issue":"7","issued":{"date-parts":[["2016","7","2"]]},"page":"656-669","publisher":"Taylor &amp; Francis","title":"Reduced stability and intracellular transport of dsRNA contribute to poor RNAi response in lepidopteran insects","type":"article-journal","volume":"13"},"uris":["http://www.mendeley.com/documents/?uuid=623de80b-b2d6-3e82-9fe5-c06c5cedb3b8"]}],"mendeley":{"formattedCitation":"(Shukla &lt;i&gt;et al.&lt;/i&gt;, 2016a)","plainTextFormattedCitation":"(Shukla et al., 2016a)","previouslyFormattedCitation":"(Shukla &lt;i&gt;et al.&lt;/i&gt;, 2016)"},"properties":{"noteIndex":0},"schema":"https://github.com/citation-style-language/schema/raw/master/csl-citation.json"}</w:instrText>
      </w:r>
      <w:r w:rsidR="005C0E76">
        <w:fldChar w:fldCharType="separate"/>
      </w:r>
      <w:r w:rsidR="00C57A7E" w:rsidRPr="00C57A7E">
        <w:rPr>
          <w:noProof/>
        </w:rPr>
        <w:t xml:space="preserve">(Shukla </w:t>
      </w:r>
      <w:r w:rsidR="00C57A7E" w:rsidRPr="00C57A7E">
        <w:rPr>
          <w:i/>
          <w:noProof/>
        </w:rPr>
        <w:t>et al.</w:t>
      </w:r>
      <w:r w:rsidR="00C57A7E" w:rsidRPr="00C57A7E">
        <w:rPr>
          <w:noProof/>
        </w:rPr>
        <w:t>, 2016a)</w:t>
      </w:r>
      <w:r w:rsidR="005C0E76">
        <w:fldChar w:fldCharType="end"/>
      </w:r>
      <w:r>
        <w:t xml:space="preserve">. A number of factors have been proposed as contributing to this. Lepidoptera have a high pH in the midgut lumen capable of degrading dsRNA, and the goblet cells responsible for producing the high pH are one of the most alkaline biological systems known </w:t>
      </w:r>
      <w:r w:rsidR="005C0E76">
        <w:fldChar w:fldCharType="begin" w:fldLock="1"/>
      </w:r>
      <w:r>
        <w:instrText>ADDIN CSL_CITATION {"citationItems":[{"id":"ITEM-1","itemData":{"ISSN":"1477-9145","PMID":"9874748","abstract":"Lepidopteran larvae demonstrate several remarkable specialisations of the alimentary canal: the most active epithelial transport known; a unique cell type, called a goblet cell; and the highest pH values known to be generated by a biological system. The electrogenic K+ pump in midgut is now known to be energised by a H+-pumping V-ATPase, and net alkali metal transport is achieved by linking it to a nH+/alkali metal exchanger, which recycles H+ into the cytoplasm. Generation of high luminal pH is modelled as a passive (Nernstian) distribution of protons in the electrical field generated by the V-type ATPase. Electrode impalements show that the potential difference across the goblet cavity membrane is extremely high. Measurements of pH gradients generated in vitro confirm that the midgut itself generates such a gradient, that this process relies on metabolic energy, and that the differential ability of midgut subregions to perform acid-base transport maps to their differing morphologies and to the pH profiles observed along the gut in vivo. During larval/larval moults, K+ transport is suppressed. The transepithelial potential difference (PD) across the gut collapses and recovers in phase with the loss and recovery of the gut pH gradient, and with tissue V-ATPase activity, confirming that these processes are intimately linked. Acridine Orange partitions into acidic compartments and might be expected to be concentrated in goblet cavities, as these are the compartments toward which the V-ATPase pumps protons. However, under normal conditions, Acridine Orange is excluded from the cavities. Red metachromasia of the cavities (implying low pH) is only observed when the ion transport status of the tissue is compromised. It thus seems likely that, under physiological conditions, K+/H+ exchange is tight enough to produce a neutral or alkaline, rather than acidic, cavity. Molecular analysis of the 16 000 Mr subunit from Manduca midgut reveals it to be closely similar to other known 16 000 Mr sequences, particularly that from Drosophila brain. It is thus likely to be a true H+ channel, rather than one modified for K+ transport. The cavity can be modelled in two ways: (i) to isolate the site of proton equilibration electrically from the main gut lumen, and thus allow larger pH gradients to develop, or (ii) to buffer the V-ATPase from the alkaline pH in the gut lumen, which would otherwise destroy the gradient driving the exchange of H+ for alkali metal cations. The fi…","author":[{"dropping-particle":"","family":"Dow","given":"","non-dropping-particle":"","parse-names":false,"suffix":""}],"container-title":"The Journal of experimental biology","id":"ITEM-1","issue":"Pt 1","issued":{"date-parts":[["1992","11","1"]]},"page":"355-375","title":"pH GRADIENTS IN LEPIDOPTERAN MIDGUT.","type":"article-journal","volume":"172"},"uris":["http://www.mendeley.com/documents/?uuid=31fb9a8b-4b27-3be9-80f2-b14d5e75d572"]},{"id":"ITEM-2","itemData":{"DOI":"10.1016/J.JINSPHYS.2010.11.006","ISSN":"0022-1910","abstract":"Gene silencing through RNA interference (RNAi) has revolutionized the study of gene function, particularly in non-model insects. However, in Lepidoptera (moths and butterflies) RNAi has many times proven to be difficult to achieve. Most of the negative results have been anecdotal and the positive experiments have not been collected in such a way that they are possible to analyze. In this review, we have collected detailed data from more than 150 experiments including all to date published and many unpublished experiments. Despite a large variation in the data, trends that are found are that RNAi is particularly successful in the family Saturniidae and in genes involved in immunity. On the contrary, gene expression in epidermal tissues seems to be most difficult to silence. In addition, gene silencing by feeding dsRNA requires high concentrations for success. Possible causes for the variability of success in RNAi experiments in Lepidoptera are discussed. The review also points to a need to further investigate the mechanism of RNAi in lepidopteran insects and its possible connection to the innate immune response. Our general understanding of RNAi in Lepidoptera will be further aided in the future as our public database at http://insectacentral.org/RNAi will continue to gather information on RNAi experiments.","author":[{"dropping-particle":"","family":"Terenius","given":"Olle","non-dropping-particle":"","parse-names":false,"suffix":""},{"dropping-particle":"","family":"Papanicolaou","given":"Alexie","non-dropping-particle":"","parse-names":false,"suffix":""},{"dropping-particle":"","family":"Garbutt","given":"Jennie S.","non-dropping-particle":"","parse-names":false,"suffix":""},{"dropping-particle":"","family":"Eleftherianos","given":"Ioannis","non-dropping-particle":"","parse-names":false,"suffix":""},{"dropping-particle":"","family":"Huvenne","given":"Hanneke","non-dropping-particle":"","parse-names":false,"suffix":""},{"dropping-particle":"","family":"Kanginakudru","given":"Sriramana","non-dropping-particle":"","parse-names":false,"suffix":""},{"dropping-particle":"","family":"Albrechtsen","given":"Merete","non-dropping-particle":"","parse-names":false,"suffix":""},{"dropping-particle":"","family":"An","given":"Chunju","non-dropping-particle":"","parse-names":false,"suffix":""},{"dropping-particle":"","family":"Aymeric","given":"Jean-Luc","non-dropping-particle":"","parse-names":false,"suffix":""},{"dropping-particle":"","family":"Barthel","given":"Andrea","non-dropping-particle":"","parse-names":false,"suffix":""},{"dropping-particle":"","family":"Bebas","given":"Piotr","non-dropping-particle":"","parse-names":false,"suffix":""},{"dropping-particle":"","family":"Bitra","given":"Kavita","non-dropping-particle":"","parse-names":false,"suffix":""},{"dropping-particle":"","family":"Bravo","given":"Alejandra","non-dropping-particle":"","parse-names":false,"suffix":""},{"dropping-particle":"","family":"Chevalier","given":"François","non-dropping-particle":"","parse-names":false,"suffix":""},{"dropping-particle":"","family":"Collinge","given":"Derek P.","non-dropping-particle":"","parse-names":false,"suffix":""},{"dropping-particle":"","family":"Crava","given":"Cristina M.","non-dropping-particle":"","parse-names":false,"suffix":""},{"dropping-particle":"","family":"Maagd","given":"Ruud A.","non-dropping-particle":"de","parse-names":false,"suffix":""},{"dropping-particle":"","family":"Duvic","given":"Bernard","non-dropping-particle":"","parse-names":false,"suffix":""},{"dropping-particle":"","family":"Erlandson","given":"Martin","non-dropping-particle":"","parse-names":false,"suffix":""},{"dropping-particle":"","family":"Faye","given":"Ingrid","non-dropping-particle":"","parse-names":false,"suffix":""},{"dropping-particle":"","family":"Felföldi","given":"Gabriella","non-dropping-particle":"","parse-names":false,"suffix":""},{"dropping-particle":"","family":"Fujiwara","given":"Haruhiko","non-dropping-particle":"","parse-names":false,"suffix":""},{"dropping-particle":"","family":"Futahashi","given":"Ryo","non-dropping-particle":"","parse-names":false,"suffix":""},{"dropping-particle":"","family":"Gandhe","given":"Archana S.","non-dropping-particle":"","parse-names":false,"suffix":""},{"dropping-particle":"","family":"Gatehouse","given":"Heather S.","non-dropping-particle":"","parse-names":false,"suffix":""},{"dropping-particle":"","family":"Gatehouse","given":"Laurence N.","non-dropping-particle":"","parse-names":false,"suffix":""},{"dropping-particle":"","family":"Giebultowicz","given":"Jadwiga M.","non-dropping-particle":"","parse-names":false,"suffix":""},{"dropping-particle":"","family":"Gómez","given":"Isabel","non-dropping-particle":"","parse-names":false,"suffix":""},{"dropping-particle":"","family":"Grimmelikhuijzen","given":"Cornelis J.P.","non-dropping-particle":"","parse-names":false,"suffix":""},{"dropping-particle":"","family":"Groot","given":"Astrid T.","non-dropping-particle":"","parse-names":false,"suffix":""},{"dropping-particle":"","family":"Hauser","given":"Frank","non-dropping-particle":"","parse-names":false,"suffix":""},{"dropping-particle":"","family":"Heckel","given":"David G.","non-dropping-particle":"","parse-names":false,"suffix":""},{"dropping-particle":"","family":"Hegedus","given":"Dwayne D.","non-dropping-particle":"","parse-names":false,"suffix":""},{"dropping-particle":"","family":"Hrycaj","given":"Steven","non-dropping-particle":"","parse-names":false,"suffix":""},{"dropping-particle":"","family":"Huang","given":"Lihua","non-dropping-particle":"","parse-names":false,"suffix":""},{"dropping-particle":"","family":"Hull","given":"J. Joe","non-dropping-particle":"","parse-names":false,"suffix":""},{"dropping-particle":"","family":"Iatrou","given":"Kostas","non-dropping-particle":"","parse-names":false,"suffix":""},{"dropping-particle":"","family":"Iga","given":"Masatoshi","non-dropping-particle":"","parse-names":false,"suffix":""},{"dropping-particle":"","family":"Kanost","given":"Michael R.","non-dropping-particle":"","parse-names":false,"suffix":""},{"dropping-particle":"","family":"Kotwica","given":"Joanna","non-dropping-particle":"","parse-names":false,"suffix":""},{"dropping-particle":"","family":"Li","given":"Changyou","non-dropping-particle":"","parse-names":false,"suffix":""},{"dropping-particle":"","family":"Li","given":"Jianghong","non-dropping-particle":"","parse-names":false,"suffix":""},{"dropping-particle":"","family":"Liu","given":"Jisheng","non-dropping-particle":"","parse-names":false,"suffix":""},{"dropping-particle":"","family":"Lundmark","given":"Magnus","non-dropping-particle":"","parse-names":false,"suffix":""},{"dropping-particle":"","family":"Matsumoto","given":"Shogo","non-dropping-particle":"","parse-names":false,"suffix":""},{"dropping-particle":"","family":"Meyering-Vos","given":"Martina","non-dropping-particle":"","parse-names":false,"suffix":""},{"dropping-particle":"","family":"Millichap","given":"Peter J.","non-dropping-particle":"","parse-names":false,"suffix":""},{"dropping-particle":"","family":"Monteiro","given":"Antónia","non-dropping-particle":"","parse-names":false,"suffix":""},{"dropping-particle":"","family":"Mrinal","given":"Nirotpal","non-dropping-particle":"","parse-names":false,"suffix":""},{"dropping-particle":"","family":"Niimi","given":"Teruyuki","non-dropping-particle":"","parse-names":false,"suffix":""},{"dropping-particle":"","family":"Nowara","given":"Daniela","non-dropping-particle":"","parse-names":false,"suffix":""},{"dropping-particle":"","family":"Ohnishi","given":"Atsushi","non-dropping-particle":"","parse-names":false,"suffix":""},{"dropping-particle":"","family":"Oostra","given":"Vicencio","non-dropping-particle":"","parse-names":false,"suffix":""},{"dropping-particle":"","family":"Ozaki","given":"Katsuhisa","non-dropping-particle":"","parse-names":false,"suffix":""},{"dropping-particle":"","family":"Papakonstantinou","given":"Maria","non-dropping-particle":"","parse-names":false,"suffix":""},{"dropping-particle":"","family":"Popadic","given":"Aleksandar","non-dropping-particle":"","parse-names":false,"suffix":""},{"dropping-particle":"V.","family":"Rajam","given":"Manchikatla","non-dropping-particle":"","parse-names":false,"suffix":""},{"dropping-particle":"","family":"Saenko","given":"Suzanne","non-dropping-particle":"","parse-names":false,"suffix":""},{"dropping-particle":"","family":"Simpson","given":"Robert M.","non-dropping-particle":"","parse-names":false,"suffix":""},{"dropping-particle":"","family":"Soberón","given":"Mario","non-dropping-particle":"","parse-names":false,"suffix":""},{"dropping-particle":"","family":"Strand","given":"Michael R.","non-dropping-particle":"","parse-names":false,"suffix":""},{"dropping-particle":"","family":"Tomita","given":"Shuichiro","non-dropping-particle":"","parse-names":false,"suffix":""},{"dropping-particle":"","family":"Toprak","given":"Umut","non-dropping-particle":"","parse-names":false,"suffix":""},{"dropping-particle":"","family":"Wang","given":"Ping","non-dropping-particle":"","parse-names":false,"suffix":""},{"dropping-particle":"","family":"Wee","given":"Choon Wei","non-dropping-particle":"","parse-names":false,"suffix":""},{"dropping-particle":"","family":"Whyard","given":"Steven","non-dropping-particle":"","parse-names":false,"suffix":""},{"dropping-particle":"","family":"Zhang","given":"Wenqing","non-dropping-particle":"","parse-names":false,"suffix":""},{"dropping-particle":"","family":"Nagaraju","given":"Javaregowda","non-dropping-particle":"","parse-names":false,"suffix":""},{"dropping-particle":"","family":"ffrench-Constant","given":"Richard H.","non-dropping-particle":"","parse-names":false,"suffix":""},{"dropping-particle":"","family":"Herrero","given":"Salvador","non-dropping-particle":"","parse-names":false,"suffix":""},{"dropping-particle":"","family":"Gordon","given":"Karl","non-dropping-particle":"","parse-names":false,"suffix":""},{"dropping-particle":"","family":"Swevers","given":"Luc","non-dropping-particle":"","parse-names":false,"suffix":""},{"dropping-particle":"","family":"Smagghe","given":"Guy","non-dropping-particle":"","parse-names":false,"suffix":""}],"container-title":"Journal of Insect Physiology","id":"ITEM-2","issue":"2","issued":{"date-parts":[["2011","2","1"]]},"page":"231-245","publisher":"Pergamon","title":"RNA interference in Lepidoptera: An overview of successful and unsuccessful studies and implications for experimental design","type":"article-journal","volume":"57"},"uris":["http://www.mendeley.com/documents/?uuid=0d7208e2-a447-3641-85af-7efe399a4301"]}],"mendeley":{"formattedCitation":"(Dow, 1992; Terenius &lt;i&gt;et al.&lt;/i&gt;, 2011)","plainTextFormattedCitation":"(Dow, 1992; Terenius et al., 2011)","previouslyFormattedCitation":"(Dow, 1992; Terenius &lt;i&gt;et al.&lt;/i&gt;, 2011)"},"properties":{"noteIndex":0},"schema":"https://github.com/citation-style-language/schema/raw/master/csl-citation.json"}</w:instrText>
      </w:r>
      <w:r w:rsidR="005C0E76">
        <w:fldChar w:fldCharType="separate"/>
      </w:r>
      <w:r w:rsidRPr="00FA616A">
        <w:rPr>
          <w:noProof/>
        </w:rPr>
        <w:t xml:space="preserve">(Dow, 1992; Terenius </w:t>
      </w:r>
      <w:r w:rsidRPr="00FA616A">
        <w:rPr>
          <w:i/>
          <w:noProof/>
        </w:rPr>
        <w:t>et al.</w:t>
      </w:r>
      <w:r w:rsidRPr="00FA616A">
        <w:rPr>
          <w:noProof/>
        </w:rPr>
        <w:t>, 2011)</w:t>
      </w:r>
      <w:r w:rsidR="005C0E76">
        <w:fldChar w:fldCharType="end"/>
      </w:r>
      <w:r>
        <w:t xml:space="preserve">. A potent nuclease termed RNAi efficiency-related nuclease (REase) only found in Lepidoptera, is responsible for significant degradation of dsRNA in insect cells </w:t>
      </w:r>
      <w:r w:rsidR="005C0E76">
        <w:fldChar w:fldCharType="begin" w:fldLock="1"/>
      </w:r>
      <w:r>
        <w:instrText>ADDIN CSL_CITATION {"citationItems":[{"id":"ITEM-1","itemData":{"DOI":"10.1074/jbc.RA117.001553","ISSN":"0021-9258","PMID":"29500196","abstract":"More than 70% of all agricultural pests are insects in the order Lepidoptera, which, unlike other related insect orders, are not very sensitive to RNAi, limiting genetic studies of this insect group. However, the reason for this distinct lepidopteran characteristic is unknown. Previously, using transcriptome analysis of the Asian corn borer Ostrinia furnacalis, we identified a gene, termed up56, that is up-regulated in response to dsRNA. Here we report that this Lepidoptera-specific gene encodes a nuclease that contributes to RNAi insensitivity in this insect order. Its identity was experimentally validated, and sequence analysis indicated that up56 encodes a previously uncharacterized protein with homologous sequences in seven other lepidopteran species. Its computationally predicted three-dimensional structure revealed a high structural similarity to human exonuclease I. Exposure to dsRNA in O. furnacalis strongly up-regulated this gene's expression, and the protein could digest single-stranded RNA (ssRNA), dsRNA, and dsDNA both in vitro and in vivo Of note, we found that this up-regulation of up56 expression is faster than that of the gene encoding the key RNAi-associated nuclease Dicer. up56 knockdown in O. furnacalis significantly enhanced RNAi efficiency. Moreover, up56 overexpression in Drosophila melanogaster suppressed RNAi efficiency. Finally, up56 knockdown significantly increased the amount and diversity of small RNAs. Therefore, we renamed this protein RNAi efficiency-related nuclease (REase). In conclusion, we propose that REase may explain why lepidopterans are refractory to RNAi and that it represents a target for further research of RNAi efficiency in this insect order.","author":[{"dropping-particle":"","family":"Guan","given":"Ruo-Bing","non-dropping-particle":"","parse-names":false,"suffix":""},{"dropping-particle":"","family":"Li","given":"Hai-Chao","non-dropping-particle":"","parse-names":false,"suffix":""},{"dropping-particle":"","family":"Fan","given":"Yu-Jie","non-dropping-particle":"","parse-names":false,"suffix":""},{"dropping-particle":"","family":"Hu","given":"Shao-Ru","non-dropping-particle":"","parse-names":false,"suffix":""},{"dropping-particle":"","family":"Christiaens","given":"Olivier","non-dropping-particle":"","parse-names":false,"suffix":""},{"dropping-particle":"","family":"Smagghe","given":"Guy","non-dropping-particle":"","parse-names":false,"suffix":""},{"dropping-particle":"","family":"Miao","given":"Xue-Xia","non-dropping-particle":"","parse-names":false,"suffix":""}],"container-title":"Journal of Biological Chemistry","id":"ITEM-1","issue":"16","issued":{"date-parts":[["2018","4","20"]]},"page":"6011-6021","title":"A nuclease specific to lepidopteran insects suppresses RNAi","type":"article-journal","volume":"293"},"uris":["http://www.mendeley.com/documents/?uuid=a04f10d0-590a-3291-a879-f890d7289d7b"]}],"mendeley":{"formattedCitation":"(Guan &lt;i&gt;et al.&lt;/i&gt;, 2018)","plainTextFormattedCitation":"(Guan et al., 2018)","previouslyFormattedCitation":"(Guan &lt;i&gt;et al.&lt;/i&gt;, 2018)"},"properties":{"noteIndex":0},"schema":"https://github.com/citation-style-language/schema/raw/master/csl-citation.json"}</w:instrText>
      </w:r>
      <w:r w:rsidR="005C0E76">
        <w:fldChar w:fldCharType="separate"/>
      </w:r>
      <w:r w:rsidRPr="002230DB">
        <w:rPr>
          <w:noProof/>
        </w:rPr>
        <w:t xml:space="preserve">(Guan </w:t>
      </w:r>
      <w:r w:rsidRPr="002230DB">
        <w:rPr>
          <w:i/>
          <w:noProof/>
        </w:rPr>
        <w:t>et al.</w:t>
      </w:r>
      <w:r w:rsidRPr="002230DB">
        <w:rPr>
          <w:noProof/>
        </w:rPr>
        <w:t>, 2018)</w:t>
      </w:r>
      <w:r w:rsidR="005C0E76">
        <w:fldChar w:fldCharType="end"/>
      </w:r>
      <w:r>
        <w:t xml:space="preserve">. Most insects exhibit an upregulation of the RNAi genes Dicer-2 and Argonaute-2 in response to uptake of dsRNA </w:t>
      </w:r>
      <w:r w:rsidR="005C0E76">
        <w:fldChar w:fldCharType="begin" w:fldLock="1"/>
      </w:r>
      <w:r>
        <w:instrText>ADDIN CSL_CITATION {"citationItems":[{"id":"ITEM-1","itemData":{"DOI":"10.1016/j.ibmb.2012.05.001","ISSN":"09651748","PMID":"22634162","abstract":"Gene silencing by RNA interference (RNAi) can be a useful reverse genetics tool in eukaryotes. However, some species appear refractory to RNAi. To study the role of the differential expression of RNAi proteins in RNAi, we isolated partial dicer-2, argonaute-2 translin, vasa intronic gene (VIG) and tudor staphylococcus/micrococcal nuclease (TSN) genes from the tobacco hornworm, Manduca sexta, a well-studied insect model which we have found to be variably sensitive to RNAi. We found that the RNAi gene, translin, was expressed at minimal levels in M. sexta tissue and that there is a specific, dose-dependent upregulation of dicer-2 and argonaute-2 expression in response to injection with dsRNA, but no upregulation of the other genes tested. Upregulation of gene expression was rapid and transient. In order to prolong the upregulation we introduced multiple doses of dsRNA, resulting in multiple peaks of dicer-2 gene expression. Our results have implications for the design of RNAi experiments and may help to explain differences in the sensitivity of eukaryotic organisms to RNAi.","author":[{"dropping-particle":"","family":"Garbutt","given":"Jennie S.","non-dropping-particle":"","parse-names":false,"suffix":""},{"dropping-particle":"","family":"Reynolds","given":"Stuart E.","non-dropping-particle":"","parse-names":false,"suffix":""}],"container-title":"Insect Biochemistry and Molecular Biology","id":"ITEM-1","issue":"9","issued":{"date-parts":[["2012","9"]]},"page":"621-628","title":"Induction of RNA interference genes by double-stranded RNA; implications for susceptibility to RNA interference","type":"article-journal","volume":"42"},"uris":["http://www.mendeley.com/documents/?uuid=624b89a6-4111-3e1f-a1b8-48e6e18b5607"]},{"id":"ITEM-2","itemData":{"DOI":"10.1007/s00427-012-0404-x","ISSN":"0949-944X","author":[{"dropping-particle":"","family":"Lozano","given":"Jesus","non-dropping-particle":"","parse-names":false,"suffix":""},{"dropping-particle":"","family":"Gomez-Orte","given":"Eva","non-dropping-particle":"","parse-names":false,"suffix":""},{"dropping-particle":"","family":"Lee","given":"How-Jing","non-dropping-particle":"","parse-names":false,"suffix":""},{"dropping-particle":"","family":"Belles","given":"Xavier","non-dropping-particle":"","parse-names":false,"suffix":""}],"container-title":"Development Genes and Evolution","id":"ITEM-2","issue":"4","issued":{"date-parts":[["2012","7","6"]]},"page":"229-235","publisher":"Springer-Verlag","title":"Super-induction of Dicer-2 expression by alien double-stranded RNAs: an evolutionary ancient response to viral infection?","type":"article-journal","volume":"222"},"uris":["http://www.mendeley.com/documents/?uuid=dafadc04-f8d3-38ea-99c5-e88d09534951"]}],"mendeley":{"formattedCitation":"(Garbutt and Reynolds, 2012; Lozano &lt;i&gt;et al.&lt;/i&gt;, 2012)","plainTextFormattedCitation":"(Garbutt and Reynolds, 2012; Lozano et al., 2012)","previouslyFormattedCitation":"(Garbutt and Reynolds, 2012; Lozano &lt;i&gt;et al.&lt;/i&gt;, 2012)"},"properties":{"noteIndex":0},"schema":"https://github.com/citation-style-language/schema/raw/master/csl-citation.json"}</w:instrText>
      </w:r>
      <w:r w:rsidR="005C0E76">
        <w:fldChar w:fldCharType="separate"/>
      </w:r>
      <w:r w:rsidRPr="00033648">
        <w:rPr>
          <w:noProof/>
        </w:rPr>
        <w:t xml:space="preserve">(Garbutt and Reynolds, 2012; Lozano </w:t>
      </w:r>
      <w:r w:rsidRPr="00033648">
        <w:rPr>
          <w:i/>
          <w:noProof/>
        </w:rPr>
        <w:t>et al.</w:t>
      </w:r>
      <w:r w:rsidRPr="00033648">
        <w:rPr>
          <w:noProof/>
        </w:rPr>
        <w:t>, 2012)</w:t>
      </w:r>
      <w:r w:rsidR="005C0E76">
        <w:fldChar w:fldCharType="end"/>
      </w:r>
      <w:r>
        <w:t xml:space="preserve">. However, this response is reduced in Lepidoptera compared to other insects </w:t>
      </w:r>
      <w:r w:rsidR="005C0E76">
        <w:fldChar w:fldCharType="begin" w:fldLock="1"/>
      </w:r>
      <w:r>
        <w:instrText>ADDIN CSL_CITATION {"citationItems":[{"id":"ITEM-1","itemData":{"DOI":"10.1146/annurev-ento-112408-085301","ISSN":"0066-4170","PMID":"19961326","abstract":"The increasing availability of insect genomes has revealed a large number of genes with unknown functions and the resulting problem of how to discover these functions. The RNA interference (RNAi) technique, which generates loss-of-function phenotypes by depletion of a chosen transcript, can help to overcome this challenge. RNAi can unveil the functions of new genes, lead to the discovery of new functions for old genes, and find the genes for old functions. Moreover, the possibility of studying the functions of homologous genes in different species can allow comparisons of the genetic networks regulating a given function in different insect groups, thereby facilitating an evolutionary insight into developmental processes. RNAi also has drawbacks and obscure points, however, such as those related to differences in species sensitivity. Disentangling these differences is one of the main challenges in the RNAi field.","author":[{"dropping-particle":"","family":"Bellés","given":"Xavier","non-dropping-particle":"","parse-names":false,"suffix":""}],"container-title":"Annual Review of Entomology","id":"ITEM-1","issue":"1","issued":{"date-parts":[["2010","1"]]},"page":"111-128","title":"Beyond &lt;i&gt;Drosophila:&lt;/i&gt; RNAi In Vivo and Functional Genomics in Insects","type":"article-journal","volume":"55"},"uris":["http://www.mendeley.com/documents/?uuid=f96d49ac-eba3-34db-b0d4-f08a70f30ae4"]}],"mendeley":{"formattedCitation":"(Bellés, 2010)","plainTextFormattedCitation":"(Bellés, 2010)","previouslyFormattedCitation":"(Bellés, 2010)"},"properties":{"noteIndex":0},"schema":"https://github.com/citation-style-language/schema/raw/master/csl-citation.json"}</w:instrText>
      </w:r>
      <w:r w:rsidR="005C0E76">
        <w:fldChar w:fldCharType="separate"/>
      </w:r>
      <w:r w:rsidRPr="00033648">
        <w:rPr>
          <w:noProof/>
        </w:rPr>
        <w:t>(Bellés, 2010)</w:t>
      </w:r>
      <w:r w:rsidR="005C0E76">
        <w:fldChar w:fldCharType="end"/>
      </w:r>
      <w:r>
        <w:t xml:space="preserve">, and upregulation of the REase protein in response to detection of dsRNA is faster than the upregulation of Dicer-2 </w:t>
      </w:r>
      <w:r w:rsidR="005C0E76">
        <w:fldChar w:fldCharType="begin" w:fldLock="1"/>
      </w:r>
      <w:r>
        <w:instrText>ADDIN CSL_CITATION {"citationItems":[{"id":"ITEM-1","itemData":{"DOI":"10.1074/jbc.RA117.001553","ISSN":"0021-9258","PMID":"29500196","abstract":"More than 70% of all agricultural pests are insects in the order Lepidoptera, which, unlike other related insect orders, are not very sensitive to RNAi, limiting genetic studies of this insect group. However, the reason for this distinct lepidopteran characteristic is unknown. Previously, using transcriptome analysis of the Asian corn borer Ostrinia furnacalis, we identified a gene, termed up56, that is up-regulated in response to dsRNA. Here we report that this Lepidoptera-specific gene encodes a nuclease that contributes to RNAi insensitivity in this insect order. Its identity was experimentally validated, and sequence analysis indicated that up56 encodes a previously uncharacterized protein with homologous sequences in seven other lepidopteran species. Its computationally predicted three-dimensional structure revealed a high structural similarity to human exonuclease I. Exposure to dsRNA in O. furnacalis strongly up-regulated this gene's expression, and the protein could digest single-stranded RNA (ssRNA), dsRNA, and dsDNA both in vitro and in vivo Of note, we found that this up-regulation of up56 expression is faster than that of the gene encoding the key RNAi-associated nuclease Dicer. up56 knockdown in O. furnacalis significantly enhanced RNAi efficiency. Moreover, up56 overexpression in Drosophila melanogaster suppressed RNAi efficiency. Finally, up56 knockdown significantly increased the amount and diversity of small RNAs. Therefore, we renamed this protein RNAi efficiency-related nuclease (REase). In conclusion, we propose that REase may explain why lepidopterans are refractory to RNAi and that it represents a target for further research of RNAi efficiency in this insect order.","author":[{"dropping-particle":"","family":"Guan","given":"Ruo-Bing","non-dropping-particle":"","parse-names":false,"suffix":""},{"dropping-particle":"","family":"Li","given":"Hai-Chao","non-dropping-particle":"","parse-names":false,"suffix":""},{"dropping-particle":"","family":"Fan","given":"Yu-Jie","non-dropping-particle":"","parse-names":false,"suffix":""},{"dropping-particle":"","family":"Hu","given":"Shao-Ru","non-dropping-particle":"","parse-names":false,"suffix":""},{"dropping-particle":"","family":"Christiaens","given":"Olivier","non-dropping-particle":"","parse-names":false,"suffix":""},{"dropping-particle":"","family":"Smagghe","given":"Guy","non-dropping-particle":"","parse-names":false,"suffix":""},{"dropping-particle":"","family":"Miao","given":"Xue-Xia","non-dropping-particle":"","parse-names":false,"suffix":""}],"container-title":"Journal of Biological Chemistry","id":"ITEM-1","issue":"16","issued":{"date-parts":[["2018","4","20"]]},"page":"6011-6021","title":"A nuclease specific to lepidopteran insects suppresses RNAi","type":"article-journal","volume":"293"},"uris":["http://www.mendeley.com/documents/?uuid=a04f10d0-590a-3291-a879-f890d7289d7b"]}],"mendeley":{"formattedCitation":"(Guan &lt;i&gt;et al.&lt;/i&gt;, 2018)","plainTextFormattedCitation":"(Guan et al., 2018)","previouslyFormattedCitation":"(Guan &lt;i&gt;et al.&lt;/i&gt;, 2018)"},"properties":{"noteIndex":0},"schema":"https://github.com/citation-style-language/schema/raw/master/csl-citation.json"}</w:instrText>
      </w:r>
      <w:r w:rsidR="005C0E76">
        <w:fldChar w:fldCharType="separate"/>
      </w:r>
      <w:r w:rsidRPr="00033648">
        <w:rPr>
          <w:noProof/>
        </w:rPr>
        <w:t xml:space="preserve">(Guan </w:t>
      </w:r>
      <w:r w:rsidRPr="00033648">
        <w:rPr>
          <w:i/>
          <w:noProof/>
        </w:rPr>
        <w:t>et al.</w:t>
      </w:r>
      <w:r w:rsidRPr="00033648">
        <w:rPr>
          <w:noProof/>
        </w:rPr>
        <w:t>, 2018)</w:t>
      </w:r>
      <w:r w:rsidR="005C0E76">
        <w:fldChar w:fldCharType="end"/>
      </w:r>
      <w:r>
        <w:t>.</w:t>
      </w:r>
    </w:p>
    <w:p w:rsidR="00013A14" w:rsidRDefault="005C0E76" w:rsidP="00013A14">
      <w:pPr>
        <w:spacing w:line="360" w:lineRule="auto"/>
        <w:ind w:firstLine="284"/>
      </w:pPr>
      <w:r>
        <w:fldChar w:fldCharType="begin" w:fldLock="1"/>
      </w:r>
      <w:r w:rsidR="00C57A7E">
        <w:instrText>ADDIN CSL_CITATION {"citationItems":[{"id":"ITEM-1","itemData":{"DOI":"10.1080/15476286.2016.1191728","ISSN":"1547-6286","abstract":"ABSTRACTRNA interference (RNAi) has become a widely used reverse genetic tool to study gene function in eukaryotic organisms and is being developed as a technology for insect pest management. The e...","author":[{"dropping-particle":"","family":"Shukla","given":"Jayendra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Biology","id":"ITEM-1","issue":"7","issued":{"date-parts":[["2016","7","2"]]},"page":"656-669","publisher":"Taylor &amp; Francis","title":"Reduced stability and intracellular transport of dsRNA contribute to poor RNAi response in lepidopteran insects","type":"article-journal","volume":"13"},"uris":["http://www.mendeley.com/documents/?uuid=623de80b-b2d6-3e82-9fe5-c06c5cedb3b8"]}],"mendeley":{"formattedCitation":"(Shukla &lt;i&gt;et al.&lt;/i&gt;, 2016a)","manualFormatting":"Shukla et al., ","plainTextFormattedCitation":"(Shukla et al., 2016a)","previouslyFormattedCitation":"(Shukla &lt;i&gt;et al.&lt;/i&gt;, 2016)"},"properties":{"noteIndex":0},"schema":"https://github.com/citation-style-language/schema/raw/master/csl-citation.json"}</w:instrText>
      </w:r>
      <w:r>
        <w:fldChar w:fldCharType="separate"/>
      </w:r>
      <w:r w:rsidR="00013A14" w:rsidRPr="00474D21">
        <w:rPr>
          <w:noProof/>
        </w:rPr>
        <w:t xml:space="preserve">Shukla </w:t>
      </w:r>
      <w:r w:rsidR="00013A14" w:rsidRPr="00474D21">
        <w:rPr>
          <w:i/>
          <w:noProof/>
        </w:rPr>
        <w:t>et al.</w:t>
      </w:r>
      <w:r w:rsidR="00013A14" w:rsidRPr="00474D21">
        <w:rPr>
          <w:noProof/>
        </w:rPr>
        <w:t xml:space="preserve">, </w:t>
      </w:r>
      <w:r>
        <w:fldChar w:fldCharType="end"/>
      </w:r>
      <w:r w:rsidR="00013A14">
        <w:t>directly compared several factors affecting RNAi efficiency between Coleoptera and Lepidoptera, such as dsRNA uptake, dsRNA degradation and processing of dsRNA to siRNAs (</w:t>
      </w:r>
      <w:r>
        <w:fldChar w:fldCharType="begin" w:fldLock="1"/>
      </w:r>
      <w:r w:rsidR="00C57A7E">
        <w:instrText>ADDIN CSL_CITATION {"citationItems":[{"id":"ITEM-1","itemData":{"DOI":"10.1080/15476286.2016.1191728","ISSN":"1547-6286","abstract":"ABSTRACTRNA interference (RNAi) has become a widely used reverse genetic tool to study gene function in eukaryotic organisms and is being developed as a technology for insect pest management. The e...","author":[{"dropping-particle":"","family":"Shukla","given":"Jayendra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Biology","id":"ITEM-1","issue":"7","issued":{"date-parts":[["2016","7","2"]]},"page":"656-669","publisher":"Taylor &amp; Francis","title":"Reduced stability and intracellular transport of dsRNA contribute to poor RNAi response in lepidopteran insects","type":"article-journal","volume":"13"},"uris":["http://www.mendeley.com/documents/?uuid=623de80b-b2d6-3e82-9fe5-c06c5cedb3b8"]}],"mendeley":{"formattedCitation":"(Shukla &lt;i&gt;et al.&lt;/i&gt;, 2016a)","manualFormatting":"Shukla et al., (2016)","plainTextFormattedCitation":"(Shukla et al., 2016a)","previouslyFormattedCitation":"(Shukla &lt;i&gt;et al.&lt;/i&gt;, 2016)"},"properties":{"noteIndex":0},"schema":"https://github.com/citation-style-language/schema/raw/master/csl-citation.json"}</w:instrText>
      </w:r>
      <w:r>
        <w:fldChar w:fldCharType="separate"/>
      </w:r>
      <w:r w:rsidR="00013A14" w:rsidRPr="00474D21">
        <w:rPr>
          <w:noProof/>
        </w:rPr>
        <w:t xml:space="preserve">Shukla </w:t>
      </w:r>
      <w:r w:rsidR="00013A14" w:rsidRPr="00474D21">
        <w:rPr>
          <w:i/>
          <w:noProof/>
        </w:rPr>
        <w:t>et al.</w:t>
      </w:r>
      <w:r w:rsidR="00013A14" w:rsidRPr="00474D21">
        <w:rPr>
          <w:noProof/>
        </w:rPr>
        <w:t xml:space="preserve">, </w:t>
      </w:r>
      <w:r w:rsidR="00013A14">
        <w:rPr>
          <w:noProof/>
        </w:rPr>
        <w:t>(</w:t>
      </w:r>
      <w:r w:rsidR="00013A14" w:rsidRPr="00474D21">
        <w:rPr>
          <w:noProof/>
        </w:rPr>
        <w:t>2016)</w:t>
      </w:r>
      <w:r>
        <w:fldChar w:fldCharType="end"/>
      </w:r>
      <w:r w:rsidR="00013A14">
        <w:t>). The results showed that ce</w:t>
      </w:r>
      <w:r w:rsidR="003C4663">
        <w:t>lls of both insect orders</w:t>
      </w:r>
      <w:r w:rsidR="00013A14">
        <w:t xml:space="preserve"> efficiently uptake dsRNA. However, while coleopteran cells process the dsRNA to siRNAs, the dsRNA in lepidopteran cells remains in the endosomes and is not processed into siRNAs. </w:t>
      </w:r>
    </w:p>
    <w:p w:rsidR="00013A14" w:rsidRPr="001405FF" w:rsidRDefault="00013A14" w:rsidP="00013A14">
      <w:pPr>
        <w:spacing w:line="360" w:lineRule="auto"/>
        <w:ind w:firstLine="284"/>
      </w:pPr>
      <w:r>
        <w:t xml:space="preserve">Certain species of Lepidoptera do demonstrate successful RNAi, though many of these successful studies utilise delivery methods other than ingestion of naked dsRNA. These include injection of dsRNA into embryos </w:t>
      </w:r>
      <w:r w:rsidR="005C0E76" w:rsidRPr="001405FF">
        <w:fldChar w:fldCharType="begin" w:fldLock="1"/>
      </w:r>
      <w:r w:rsidRPr="001405FF">
        <w:instrText>ADDIN CSL_CITATION {"citationItems":[{"id":"ITEM-1","itemData":{"ISSN":"0962-1075","PMID":"12000640","abstract":"Injection of double-stranded RNA (dsRNA) corresponding to the silkworm white gene (Bmwh3) into preblastoderm eggs of the wild-type silkworm induced phenotypes similar to those observed with mutants of the white egg 3 locus (10-19.6). The induced phenotypes were characterized by the presence of white eggs and translucent larval skin. Northern analysis showed that the expression of the endogenous Bmwh3 gene in the injected embryos was distinctly depressed. Furthermore, the injection of the GFP dsRNA inhibited the expression of the GFP gene from a plasmid co-injected with the dsRNA but did not depress the expression of the Bmwh3 gene. These findings demonstrate that sequence-specific RNA interference occurred in the silkworm. We conclude from the results that the RNA interference can be applied as a tool for the analysis of the gene function in the lepidopteran insects.","author":[{"dropping-particle":"","family":"Quan","given":"G X","non-dropping-particle":"","parse-names":false,"suffix":""},{"dropping-particle":"","family":"Kanda","given":"T","non-dropping-particle":"","parse-names":false,"suffix":""},{"dropping-particle":"","family":"Tamura","given":"T","non-dropping-particle":"","parse-names":false,"suffix":""}],"container-title":"Insect molecular biology","id":"ITEM-1","issue":"3","issued":{"date-parts":[["2002","6"]]},"page":"217-22","title":"Induction of the white egg 3 mutant phenotype by injection of the double-stranded RNA of the silkworm white gene.","type":"article-journal","volume":"11"},"uris":["http://www.mendeley.com/documents/?uuid=83dc2e3c-10e6-3a3c-94a1-3b57be60bf4d"]}],"mendeley":{"formattedCitation":"(Quan, Kanda and Tamura, 2002)","plainTextFormattedCitation":"(Quan, Kanda and Tamura, 2002)","previouslyFormattedCitation":"(Quan, Kanda and Tamura, 2002)"},"properties":{"noteIndex":0},"schema":"https://github.com/citation-style-language/schema/raw/master/csl-citation.json"}</w:instrText>
      </w:r>
      <w:r w:rsidR="005C0E76" w:rsidRPr="001405FF">
        <w:fldChar w:fldCharType="separate"/>
      </w:r>
      <w:r w:rsidRPr="001405FF">
        <w:rPr>
          <w:noProof/>
        </w:rPr>
        <w:t>(Quan, Kanda and Tamura, 2002)</w:t>
      </w:r>
      <w:r w:rsidR="005C0E76" w:rsidRPr="001405FF">
        <w:fldChar w:fldCharType="end"/>
      </w:r>
      <w:r w:rsidRPr="001405FF">
        <w:t xml:space="preserve">, and expression of hairpin RNAs in plants ingested by the insects </w:t>
      </w:r>
      <w:r w:rsidR="005C0E76" w:rsidRPr="001405FF">
        <w:fldChar w:fldCharType="begin" w:fldLock="1"/>
      </w:r>
      <w:r w:rsidRPr="001405FF">
        <w:instrText>ADDIN CSL_CITATION {"citationItems":[{"id":"ITEM-1","itemData":{"DOI":"10.1038/nbt1352","ISBN":"1087-0156","ISSN":"10870156","PMID":"17982444","abstract":"We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Biotechnology","id":"ITEM-1","issue":"11","issued":{"date-parts":[["2007"]]},"page":"1307-1313","title":"Silencing a cotton bollworm P450 monooxygenase gene by plant-mediated RNAi impairs larval tolerance of gossypol","type":"article-journal","volume":"25"},"uris":["http://www.mendeley.com/documents/?uuid=30f4c137-f223-4428-b6ca-02cdb2aba4ea"]}],"mendeley":{"formattedCitation":"(Mao &lt;i&gt;et al.&lt;/i&gt;, 2007)","plainTextFormattedCitation":"(Mao et al., 2007)","previouslyFormattedCitation":"(Mao &lt;i&gt;et al.&lt;/i&gt;, 2007)"},"properties":{"noteIndex":0},"schema":"https://github.com/citation-style-language/schema/raw/master/csl-citation.json"}</w:instrText>
      </w:r>
      <w:r w:rsidR="005C0E76" w:rsidRPr="001405FF">
        <w:fldChar w:fldCharType="separate"/>
      </w:r>
      <w:r w:rsidRPr="001405FF">
        <w:rPr>
          <w:noProof/>
        </w:rPr>
        <w:t xml:space="preserve">(Mao </w:t>
      </w:r>
      <w:r w:rsidRPr="001405FF">
        <w:rPr>
          <w:i/>
          <w:noProof/>
        </w:rPr>
        <w:t>et al.</w:t>
      </w:r>
      <w:r w:rsidRPr="001405FF">
        <w:rPr>
          <w:noProof/>
        </w:rPr>
        <w:t>, 2007)</w:t>
      </w:r>
      <w:r w:rsidR="005C0E76" w:rsidRPr="001405FF">
        <w:fldChar w:fldCharType="end"/>
      </w:r>
      <w:r w:rsidRPr="001405FF">
        <w:t>. Successful RNAi responses triggered by dsRNA have been demonstrated in many other insect orders, as reviewed in section</w:t>
      </w:r>
      <w:r w:rsidR="001405FF" w:rsidRPr="001405FF">
        <w:t xml:space="preserve"> 1.3.1</w:t>
      </w:r>
      <w:r w:rsidRPr="001405FF">
        <w:t>.</w:t>
      </w:r>
    </w:p>
    <w:p w:rsidR="00013A14" w:rsidRDefault="00013A14" w:rsidP="00013A14">
      <w:pPr>
        <w:spacing w:line="360" w:lineRule="auto"/>
        <w:ind w:firstLine="284"/>
      </w:pPr>
      <w:r>
        <w:t xml:space="preserve"> </w:t>
      </w:r>
    </w:p>
    <w:p w:rsidR="00013A14" w:rsidRDefault="00013A14" w:rsidP="00013A14">
      <w:pPr>
        <w:spacing w:line="360" w:lineRule="auto"/>
        <w:ind w:firstLine="284"/>
      </w:pPr>
      <w:r>
        <w:t>In order to compare the RNAi efficacy of chemically modified dsRNA to unmodified dsRNA, the</w:t>
      </w:r>
      <w:r w:rsidRPr="00DF04BF">
        <w:rPr>
          <w:color w:val="FF0000"/>
        </w:rPr>
        <w:t xml:space="preserve"> </w:t>
      </w:r>
      <w:r w:rsidRPr="00765ECB">
        <w:t>Hemipteran insect</w:t>
      </w:r>
      <w:r>
        <w:rPr>
          <w:color w:val="FF0000"/>
        </w:rPr>
        <w:t xml:space="preserve"> </w:t>
      </w:r>
      <w:r w:rsidRPr="00C03466">
        <w:t xml:space="preserve">southern green stink bug (SGSB) </w:t>
      </w:r>
      <w:r w:rsidRPr="00C03466">
        <w:rPr>
          <w:i/>
        </w:rPr>
        <w:t>Nezara viridula</w:t>
      </w:r>
      <w:r w:rsidRPr="00C03466">
        <w:t>, and the</w:t>
      </w:r>
      <w:r>
        <w:t xml:space="preserve"> Coleopteran insect western corn rootworm (WCR) </w:t>
      </w:r>
      <w:r w:rsidRPr="002359B8">
        <w:rPr>
          <w:i/>
        </w:rPr>
        <w:t>Diabrotica virgifera virgifera</w:t>
      </w:r>
      <w:r w:rsidRPr="002359B8">
        <w:t xml:space="preserve"> </w:t>
      </w:r>
      <w:r>
        <w:t xml:space="preserve">were selected as model organisms. </w:t>
      </w:r>
    </w:p>
    <w:p w:rsidR="00013A14" w:rsidRDefault="00013A14" w:rsidP="00013A14">
      <w:pPr>
        <w:spacing w:line="360" w:lineRule="auto"/>
        <w:ind w:firstLine="284"/>
      </w:pPr>
      <w:r>
        <w:t xml:space="preserve">SGSB is thought to have originated in Africa but is now present worldwide, including the UK and USA, and its range appears to be spreading as climate change occurs </w:t>
      </w:r>
      <w:r w:rsidR="005C0E76">
        <w:fldChar w:fldCharType="begin" w:fldLock="1"/>
      </w:r>
      <w:r>
        <w:instrText>ADDIN CSL_CITATION {"citationItems":[{"id":"ITEM-1","itemData":{"DOI":"10.1111/j.1570-7458.2008.00818.x","ISSN":"00138703","author":[{"dropping-particle":"","family":"Tougou","given":"Daisuke","non-dropping-particle":"","parse-names":false,"suffix":""},{"dropping-particle":"","family":"Musolin","given":"Dmitry L.","non-dropping-particle":"","parse-names":false,"suffix":""},{"dropping-particle":"","family":"Fujisaki","given":"Kenji","non-dropping-particle":"","parse-names":false,"suffix":""}],"container-title":"Entomologia Experimentalis et Applicata","id":"ITEM-1","issue":"3","issued":{"date-parts":[["2009","3","1"]]},"page":"249-258","publisher":"John Wiley &amp; Sons, Ltd (10.1111)","title":"Some like it hot! Rapid climate change promotes changes in distribution ranges of &lt;i&gt;Nezara viridula&lt;/i&gt; and &lt;i&gt;Nezara antennata&lt;/i&gt; in Japan","type":"article-journal","volume":"130"},"uris":["http://www.mendeley.com/documents/?uuid=145ba844-8519-3e1c-8292-35a677200d4f"]}],"mendeley":{"formattedCitation":"(Tougou, Musolin and Fujisaki, 2009)","plainTextFormattedCitation":"(Tougou, Musolin and Fujisaki, 2009)","previouslyFormattedCitation":"(Tougou, Musolin and Fujisaki, 2009)"},"properties":{"noteIndex":0},"schema":"https://github.com/citation-style-language/schema/raw/master/csl-citation.json"}</w:instrText>
      </w:r>
      <w:r w:rsidR="005C0E76">
        <w:fldChar w:fldCharType="separate"/>
      </w:r>
      <w:r w:rsidRPr="0059044C">
        <w:rPr>
          <w:noProof/>
        </w:rPr>
        <w:t>(Tougou, Musolin and Fujisaki, 2009)</w:t>
      </w:r>
      <w:r w:rsidR="005C0E76">
        <w:fldChar w:fldCharType="end"/>
      </w:r>
      <w:r>
        <w:t xml:space="preserve">. A related species, the brown marmorated stink bug (BMSB) </w:t>
      </w:r>
      <w:r w:rsidRPr="00274409">
        <w:rPr>
          <w:i/>
        </w:rPr>
        <w:t>Halyomorpha halys</w:t>
      </w:r>
      <w:r>
        <w:t xml:space="preserve"> which is endemic to China, Japan, Korea and Taiwan, though was inadvertently introduced to the USA around </w:t>
      </w:r>
      <w:r>
        <w:lastRenderedPageBreak/>
        <w:t xml:space="preserve">20 years ago, has become a significant crop pest </w:t>
      </w:r>
      <w:r w:rsidR="005C0E76">
        <w:fldChar w:fldCharType="begin" w:fldLock="1"/>
      </w:r>
      <w:r>
        <w:instrText>ADDIN CSL_CITATION {"citationItems":[{"id":"ITEM-1","itemData":{"DOI":"10.1371/journal.pone.0171861","ISSN":"1932-6203","abstract":"Double-stranded RNA (dsRNA)-mediated gene silencing, also known as RNA interference (RNAi), has been a breakthrough technology for functional genomic studies and represents a potential tool for the management of insect pests. Since the inception of RNAi numerous studies documented successful introduction of exogenously synthesized dsRNA or siRNA into an organism triggering highly efficient gene silencing through the degradation of endogenous RNA homologous to the presented siRNA. Managing hemipteran insect pests, especially Halyomorpha halys (Stål) (Heteroptera: Pentatomidae), the brown marmorated stink bug (BMSB), is critical to food productivity. BMSB was recently introduced into North America where it is both an invasive agricultural pest of high value specialty, row, and staple crops, as well as an indoor nuisance pest. RNAi technology may serve as a viable tool to manage this voracious pest, but delivery of dsRNA to piercing-sucking insects has posed a tremendous challenge. Effective and practical use of RNAi as molecular biopesticides for biocontrol of insects like BMSB in the environment requires that dsRNAs be delivered in vivo through ingestion. Therefore, the key challenge for molecular biologists in developing insect-specific molecular biopesticides is to find effective and reliable methods for practical delivery of stable dsRNAs such as through oral ingestion. Here demonstrated is a reliable delivery system of effective insect-specific dsRNAs through oral feeding through a new delivery system to induce a significant decrease in expression of targeted genes such as JHAMT and Vg. This state-of-the-art delivery method overcomes environmental delivery challenges so that RNAi is induced through insect-specific dsRNAs orally delivered to hemipteran and other insect pests.","author":[{"dropping-particle":"","family":"Ghosh","given":"Saikat Kumar B.","non-dropping-particle":"","parse-names":false,"suffix":""},{"dropping-particle":"","family":"Hunter","given":"Wayne B.","non-dropping-particle":"","parse-names":false,"suffix":""},{"dropping-particle":"","family":"Park","given":"Alexis L.","non-dropping-particle":"","parse-names":false,"suffix":""},{"dropping-particle":"","family":"Gundersen-Rindal","given":"Dawn E.","non-dropping-particle":"","parse-names":false,"suffix":""}],"container-title":"PLOS ONE","editor":[{"dropping-particle":"","family":"Doucet","given":"Daniel","non-dropping-particle":"","parse-names":false,"suffix":""}],"id":"ITEM-1","issue":"2","issued":{"date-parts":[["2017","2","9"]]},"page":"e0171861","publisher":"Public Library of Science","title":"Double strand RNA delivery system for plant-sap-feeding insects","type":"article-journal","volume":"12"},"uris":["http://www.mendeley.com/documents/?uuid=75447950-56e8-3b9a-b338-7a34fac09d19"]},{"id":"ITEM-2","itemData":{"DOI":"10.1038/s41598-018-22035-z","ISSN":"2045-2322","abstract":"The brown marmorated stink bug (BMSB) is native to Asia and recently invaded the USA. RNA interference (RNAi) is a gene silencing mechanism in which the introduction of double-stranded RNA (dsRNA) inhibits gene function by degrading target mRNA. In dsRNA stability assays, the dsRNases present in the hemolymph and salivary gland secretions of BMSB showed lower activity than those in the hemolymph of Heliothis virescens. We evaluated six housekeeping genes (18S rRNA, EF1-α, Actin, Ubiquitin, 60S RP and β-Tubulin) across dsRNA treatments (injection and feeding) in nymphs and adults of BMSB and identified 18S rRNA and 60S RP as the best genes to use as a reference in reverse-transcriptase quantitative PCR (RT-qPCR). Homologs of 13 genes that were shown to function as effective RNAi targets in other insects were identified and evaluated by injecting dsRNA targeting these homologs into BMSB adults. Five out of 13 dsRNAs tested caused more than 70% mortality by seven days after injection of dsRNA. Feeding dsRNA targeting five of these genes (IAP, ATPase, SNF7, GPCR, and PPI) to nymphs caused more than 70% mortality by three of the five dsRNAs tested. These data suggest that feeding dsRNA causes target gene knockdown and mortality in BMSB.","author":[{"dropping-particle":"","family":"Mogilicherla","given":"Kanakachari","non-dropping-particle":"","parse-names":false,"suffix":""},{"dropping-particle":"","family":"Howell","given":"Jeffrey L.","non-dropping-particle":"","parse-names":false,"suffix":""},{"dropping-particle":"","family":"Palli","given":"Subba Reddy","non-dropping-particle":"","parse-names":false,"suffix":""}],"container-title":"Scientific Reports","id":"ITEM-2","issue":"1","issued":{"date-parts":[["2018","12","27"]]},"page":"3720","publisher":"Nature Publishing Group","title":"Improving RNAi in the Brown Marmorated Stink Bug: Identification of target genes and reference genes for RT-qPCR","type":"article-journal","volume":"8"},"uris":["http://www.mendeley.com/documents/?uuid=af3a352a-9c22-3a20-ac7e-efdb8aad926f"]}],"mendeley":{"formattedCitation":"(Ghosh &lt;i&gt;et al.&lt;/i&gt;, 2017; Mogilicherla, Howell and Palli, 2018)","plainTextFormattedCitation":"(Ghosh et al., 2017; Mogilicherla, Howell and Palli, 2018)","previouslyFormattedCitation":"(Ghosh &lt;i&gt;et al.&lt;/i&gt;, 2017; Mogilicherla, Howell and Palli, 2018)"},"properties":{"noteIndex":0},"schema":"https://github.com/citation-style-language/schema/raw/master/csl-citation.json"}</w:instrText>
      </w:r>
      <w:r w:rsidR="005C0E76">
        <w:fldChar w:fldCharType="separate"/>
      </w:r>
      <w:r w:rsidRPr="0059044C">
        <w:rPr>
          <w:noProof/>
        </w:rPr>
        <w:t xml:space="preserve">(Ghosh </w:t>
      </w:r>
      <w:r w:rsidRPr="0059044C">
        <w:rPr>
          <w:i/>
          <w:noProof/>
        </w:rPr>
        <w:t>et al.</w:t>
      </w:r>
      <w:r w:rsidRPr="0059044C">
        <w:rPr>
          <w:noProof/>
        </w:rPr>
        <w:t>, 2017; Mogilicherla, Howell and Palli, 2018)</w:t>
      </w:r>
      <w:r w:rsidR="005C0E76">
        <w:fldChar w:fldCharType="end"/>
      </w:r>
      <w:r>
        <w:t xml:space="preserve">, as well as a nuisance pest when swarms have entered homes. It is now also in danger of infesting Europe and South America. </w:t>
      </w:r>
    </w:p>
    <w:p w:rsidR="00013A14" w:rsidRDefault="00013A14" w:rsidP="00013A14">
      <w:pPr>
        <w:spacing w:line="360" w:lineRule="auto"/>
        <w:ind w:firstLine="284"/>
      </w:pPr>
      <w:r>
        <w:t xml:space="preserve">Stink bugs are a highly versatile pest capable of sustaining themselves on a wide variety of different fruits and vegetables, making them a significant threat to agriculture. Stink bugs use a proboscis to penetrate the surface of fruit and vegetables, inject saliva in order to pre-digest the fruit or vegetable flesh, and then reuptake the pre-digested pulp </w:t>
      </w:r>
      <w:r w:rsidR="005C0E76">
        <w:fldChar w:fldCharType="begin" w:fldLock="1"/>
      </w:r>
      <w:r>
        <w:instrText>ADDIN CSL_CITATION {"citationItems":[{"id":"ITEM-1","itemData":{"DOI":"10.1371/journal.pone.0171861","ISSN":"1932-6203","abstract":"Double-stranded RNA (dsRNA)-mediated gene silencing, also known as RNA interference (RNAi), has been a breakthrough technology for functional genomic studies and represents a potential tool for the management of insect pests. Since the inception of RNAi numerous studies documented successful introduction of exogenously synthesized dsRNA or siRNA into an organism triggering highly efficient gene silencing through the degradation of endogenous RNA homologous to the presented siRNA. Managing hemipteran insect pests, especially Halyomorpha halys (Stål) (Heteroptera: Pentatomidae), the brown marmorated stink bug (BMSB), is critical to food productivity. BMSB was recently introduced into North America where it is both an invasive agricultural pest of high value specialty, row, and staple crops, as well as an indoor nuisance pest. RNAi technology may serve as a viable tool to manage this voracious pest, but delivery of dsRNA to piercing-sucking insects has posed a tremendous challenge. Effective and practical use of RNAi as molecular biopesticides for biocontrol of insects like BMSB in the environment requires that dsRNAs be delivered in vivo through ingestion. Therefore, the key challenge for molecular biologists in developing insect-specific molecular biopesticides is to find effective and reliable methods for practical delivery of stable dsRNAs such as through oral ingestion. Here demonstrated is a reliable delivery system of effective insect-specific dsRNAs through oral feeding through a new delivery system to induce a significant decrease in expression of targeted genes such as JHAMT and Vg. This state-of-the-art delivery method overcomes environmental delivery challenges so that RNAi is induced through insect-specific dsRNAs orally delivered to hemipteran and other insect pests.","author":[{"dropping-particle":"","family":"Ghosh","given":"Saikat Kumar B.","non-dropping-particle":"","parse-names":false,"suffix":""},{"dropping-particle":"","family":"Hunter","given":"Wayne B.","non-dropping-particle":"","parse-names":false,"suffix":""},{"dropping-particle":"","family":"Park","given":"Alexis L.","non-dropping-particle":"","parse-names":false,"suffix":""},{"dropping-particle":"","family":"Gundersen-Rindal","given":"Dawn E.","non-dropping-particle":"","parse-names":false,"suffix":""}],"container-title":"PLOS ONE","editor":[{"dropping-particle":"","family":"Doucet","given":"Daniel","non-dropping-particle":"","parse-names":false,"suffix":""}],"id":"ITEM-1","issue":"2","issued":{"date-parts":[["2017","2","9"]]},"page":"e0171861","publisher":"Public Library of Science","title":"Double strand RNA delivery system for plant-sap-feeding insects","type":"article-journal","volume":"12"},"uris":["http://www.mendeley.com/documents/?uuid=75447950-56e8-3b9a-b338-7a34fac09d19"]}],"mendeley":{"formattedCitation":"(Ghosh &lt;i&gt;et al.&lt;/i&gt;, 2017)","plainTextFormattedCitation":"(Ghosh et al., 2017)","previouslyFormattedCitation":"(Ghosh &lt;i&gt;et al.&lt;/i&gt;, 2017)"},"properties":{"noteIndex":0},"schema":"https://github.com/citation-style-language/schema/raw/master/csl-citation.json"}</w:instrText>
      </w:r>
      <w:r w:rsidR="005C0E76">
        <w:fldChar w:fldCharType="separate"/>
      </w:r>
      <w:r w:rsidRPr="0059044C">
        <w:rPr>
          <w:noProof/>
        </w:rPr>
        <w:t xml:space="preserve">(Ghosh </w:t>
      </w:r>
      <w:r w:rsidRPr="0059044C">
        <w:rPr>
          <w:i/>
          <w:noProof/>
        </w:rPr>
        <w:t>et al.</w:t>
      </w:r>
      <w:r w:rsidRPr="0059044C">
        <w:rPr>
          <w:noProof/>
        </w:rPr>
        <w:t>, 2017)</w:t>
      </w:r>
      <w:r w:rsidR="005C0E76">
        <w:fldChar w:fldCharType="end"/>
      </w:r>
      <w:r>
        <w:t xml:space="preserve">. The damage caused by this process leads to further damage to the fruit or vegetable from the environment and pathogens </w:t>
      </w:r>
      <w:r w:rsidR="005C0E76">
        <w:fldChar w:fldCharType="begin" w:fldLock="1"/>
      </w:r>
      <w:r>
        <w:instrText>ADDIN CSL_CITATION {"citationItems":[{"id":"ITEM-1","itemData":{"DOI":"10.1111/j.1365-2672.2006.03262.x","ISSN":"1364-5072","author":[{"dropping-particle":"","family":"Medrano","given":"E.G.","non-dropping-particle":"","parse-names":false,"suffix":""},{"dropping-particle":"","family":"Esquivel","given":"J.F.","non-dropping-particle":"","parse-names":false,"suffix":""},{"dropping-particle":"","family":"Bell","given":"A.A.","non-dropping-particle":"","parse-names":false,"suffix":""}],"container-title":"Journal of Applied Microbiology","id":"ITEM-1","issue":"2","issued":{"date-parts":[["2007","8","1"]]},"page":"436-444","publisher":"John Wiley &amp; Sons, Ltd (10.1111)","title":"Transmission of cotton seed and boll rotting bacteria by the southern green stink bug (Nezara viridula L.)","type":"article-journal","volume":"103"},"uris":["http://www.mendeley.com/documents/?uuid=e98fd15c-1753-358c-a340-1179a0ee39a8"]}],"mendeley":{"formattedCitation":"(Medrano, Esquivel and Bell, 2007)","plainTextFormattedCitation":"(Medrano, Esquivel and Bell, 2007)","previouslyFormattedCitation":"(Medrano, Esquivel and Bell, 2007)"},"properties":{"noteIndex":0},"schema":"https://github.com/citation-style-language/schema/raw/master/csl-citation.json"}</w:instrText>
      </w:r>
      <w:r w:rsidR="005C0E76">
        <w:fldChar w:fldCharType="separate"/>
      </w:r>
      <w:r w:rsidRPr="00266A26">
        <w:rPr>
          <w:noProof/>
        </w:rPr>
        <w:t>(Medrano, Esquivel and Bell, 2007)</w:t>
      </w:r>
      <w:r w:rsidR="005C0E76">
        <w:fldChar w:fldCharType="end"/>
      </w:r>
      <w:r>
        <w:t>. This type of feeding behaviour is noteworthy, because thus far in pest control research, dsRNA has largely been applied to the surfaces of leaves and fruits, where surface feeders will uptake it as part of their diet. Piercing sucking feeders like stink bugs are therefore at risk of being unaffected by surface applications of dsRNA, and some thought has to be given to the delivery method used.</w:t>
      </w:r>
    </w:p>
    <w:p w:rsidR="00013A14" w:rsidRDefault="00013A14" w:rsidP="00013A14">
      <w:pPr>
        <w:spacing w:line="360" w:lineRule="auto"/>
        <w:ind w:firstLine="284"/>
      </w:pPr>
      <w:r>
        <w:t xml:space="preserve">Western corn rootworm, as the name implies, is a major pest of corn in the USA, with the larvae causing most of the damage compared to the adults, by feeding on the roots of the plants </w:t>
      </w:r>
      <w:r w:rsidR="005C0E76">
        <w:fldChar w:fldCharType="begin" w:fldLock="1"/>
      </w:r>
      <w:r>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interference","type":"article-journal","volume":"25"},"uris":["http://www.mendeley.com/documents/?uuid=f36b1865-baf2-4cfb-bf8c-3a0a3c4b563c"]}],"mendeley":{"formattedCitation":"(Baum &lt;i&gt;et al.&lt;/i&gt;, 2007)","plainTextFormattedCitation":"(Baum et al., 2007)","previouslyFormattedCitation":"(Baum &lt;i&gt;et al.&lt;/i&gt;, 2007)"},"properties":{"noteIndex":0},"schema":"https://github.com/citation-style-language/schema/raw/master/csl-citation.json"}</w:instrText>
      </w:r>
      <w:r w:rsidR="005C0E76">
        <w:fldChar w:fldCharType="separate"/>
      </w:r>
      <w:r w:rsidRPr="00487082">
        <w:rPr>
          <w:noProof/>
        </w:rPr>
        <w:t xml:space="preserve">(Baum </w:t>
      </w:r>
      <w:r w:rsidRPr="00487082">
        <w:rPr>
          <w:i/>
          <w:noProof/>
        </w:rPr>
        <w:t>et al.</w:t>
      </w:r>
      <w:r w:rsidRPr="00487082">
        <w:rPr>
          <w:noProof/>
        </w:rPr>
        <w:t>, 2007)</w:t>
      </w:r>
      <w:r w:rsidR="005C0E76">
        <w:fldChar w:fldCharType="end"/>
      </w:r>
      <w:r>
        <w:t xml:space="preserve">. Individual plants may lose almost their entire root system to WCR larval feeding, resulting in poor water and nutrient supply to the rest of the plant, and opening the way for root rot pathogens. WCR was first observed in eastern Europe in Serbia in 1992 </w:t>
      </w:r>
      <w:r w:rsidR="005C0E76">
        <w:fldChar w:fldCharType="begin" w:fldLock="1"/>
      </w:r>
      <w:r>
        <w:instrText>ADDIN CSL_CITATION {"citationItems":[{"id":"ITEM-1","itemData":{"author":[{"dropping-particle":"","family":"Baca","given":"F","non-dropping-particle":"","parse-names":false,"suffix":""}],"container-title":"Zaštita Bilja","id":"ITEM-1","issue":"2","issued":{"date-parts":[["1994"]]},"page":"125-131","title":"New member of the harmful entomofauna of Yugoslavia, Diabrotica virgifera virgifera LeConte (Coleoptera, Chrysomelidae)","type":"article-journal","volume":"45"},"uris":["http://www.mendeley.com/documents/?uuid=60f25f32-54d2-34db-a3a8-8d26e7812485"]}],"mendeley":{"formattedCitation":"(Baca, 1994)","plainTextFormattedCitation":"(Baca, 1994)","previouslyFormattedCitation":"(Baca, 1994)"},"properties":{"noteIndex":0},"schema":"https://github.com/citation-style-language/schema/raw/master/csl-citation.json"}</w:instrText>
      </w:r>
      <w:r w:rsidR="005C0E76">
        <w:fldChar w:fldCharType="separate"/>
      </w:r>
      <w:r w:rsidRPr="00487082">
        <w:rPr>
          <w:noProof/>
        </w:rPr>
        <w:t>(Baca, 1994)</w:t>
      </w:r>
      <w:r w:rsidR="005C0E76">
        <w:fldChar w:fldCharType="end"/>
      </w:r>
      <w:r>
        <w:t xml:space="preserve">, and has since spread westward, as far as the UK. </w:t>
      </w:r>
    </w:p>
    <w:p w:rsidR="00013A14" w:rsidRDefault="00013A14" w:rsidP="00013A14">
      <w:pPr>
        <w:spacing w:line="360" w:lineRule="auto"/>
        <w:ind w:firstLine="284"/>
      </w:pPr>
      <w:r>
        <w:t xml:space="preserve">Stink bugs and WCR are both highly damaging crop pests, demonstrating resistance to current pest control methods </w:t>
      </w:r>
      <w:r w:rsidR="005C0E76">
        <w:fldChar w:fldCharType="begin" w:fldLock="1"/>
      </w:r>
      <w:r>
        <w:instrText>ADDIN CSL_CITATION {"citationItems":[{"id":"ITEM-1","itemData":{"DOI":"10.1603/IPM13012","ISSN":"21557470","author":[{"dropping-particle":"","family":"Cullen","given":"Eileen M.","non-dropping-particle":"","parse-names":false,"suffix":""},{"dropping-particle":"","family":"Gray","given":"Michael E.","non-dropping-particle":"","parse-names":false,"suffix":""},{"dropping-particle":"","family":"Gassmann","given":"Aaron J.","non-dropping-particle":"","parse-names":false,"suffix":""},{"dropping-particle":"","family":"Hibbard","given":"Bruce E.","non-dropping-particle":"","parse-names":false,"suffix":""}],"container-title":"Journal of Integrated Pest Management","id":"ITEM-1","issue":"3","issued":{"date-parts":[["2013","9","1"]]},"page":"1-6","publisher":"Narnia","title":"Resistance to Bt Corn by Western Corn Rootworm (Coleoptera: Chrysomelidae) in the U.S. Corn Belt","type":"article-journal","volume":"4"},"uris":["http://www.mendeley.com/documents/?uuid=b9571c6f-7bfb-373b-bcf9-cbfb1bfc564d"]},{"id":"ITEM-2","itemData":{"DOI":"10.1038/s41598-018-35386-4","ISSN":"2045-2322","abstract":"Stinkbugs (Hemiptera: Pentatomidae) are of major economic importance as pest of crops. Among the species composing the stinkbug complex, Nezara viridula is one of the most abundant in Brazil, Argentina and the Southern USA. However, this species has been poorly characterized at the genetic and physiological level. Here we sequenced and analyzed the complete transcriptome of N. viridula male and female adults. We identified neuropeptide precursor genes and G-protein coupled receptors for neuropeptides in this transcriptome. Mature neuropeptides were identified in N. viridula brain extracts by liquid chromatography-tandem mass spectrometry. We also analyzed the neuropeptide precursor complement in the genome sequence of Halyomorpha halys, another pentatomid of economic relevance. We compared the results in both pentatomids with the well-characterized neuropeptide repertoire from the kissing bug Rhodnius prolixus (Hemiptera: Reduviidae). We identified both group-specific features (which could be related to the different feeding habits) and similarities that could be characteristic of Heteroptera. This work contributes to a deeper knowledge of the genetic information of these pests, with a focus on neuroendocrine system characterization.","author":[{"dropping-particle":"","family":"Lavore","given":"Andrés","non-dropping-particle":"","parse-names":false,"suffix":""},{"dropping-particle":"","family":"Perez-Gianmarco","given":"Lucila","non-dropping-particle":"","parse-names":false,"suffix":""},{"dropping-particle":"","family":"Esponda-Behrens","given":"Natalia","non-dropping-particle":"","parse-names":false,"suffix":""},{"dropping-particle":"","family":"Palacio","given":"Victorio","non-dropping-particle":"","parse-names":false,"suffix":""},{"dropping-particle":"","family":"Catalano","given":"Maria Ines","non-dropping-particle":"","parse-names":false,"suffix":""},{"dropping-particle":"","family":"Rivera-Pomar","given":"Rolando","non-dropping-particle":"","parse-names":false,"suffix":""},{"dropping-particle":"","family":"Ons","given":"Sheila","non-dropping-particle":"","parse-names":false,"suffix":""}],"container-title":"Scientific Reports","id":"ITEM-2","issue":"1","issued":{"date-parts":[["2018","12","22"]]},"page":"17244","publisher":"Nature Publishing Group","title":"Nezara viridula (Hemiptera: Pentatomidae) transcriptomic analysis and neuropeptidomics","type":"article-journal","volume":"8"},"uris":["http://www.mendeley.com/documents/?uuid=0bf715fd-6407-30fe-81fe-d780d4b13515"]}],"mendeley":{"formattedCitation":"(Cullen &lt;i&gt;et al.&lt;/i&gt;, 2013; Lavore &lt;i&gt;et al.&lt;/i&gt;, 2018)","plainTextFormattedCitation":"(Cullen et al., 2013; Lavore et al., 2018)","previouslyFormattedCitation":"(Cullen &lt;i&gt;et al.&lt;/i&gt;, 2013; Lavore &lt;i&gt;et al.&lt;/i&gt;, 2018)"},"properties":{"noteIndex":0},"schema":"https://github.com/citation-style-language/schema/raw/master/csl-citation.json"}</w:instrText>
      </w:r>
      <w:r w:rsidR="005C0E76">
        <w:fldChar w:fldCharType="separate"/>
      </w:r>
      <w:r w:rsidRPr="00487082">
        <w:rPr>
          <w:noProof/>
        </w:rPr>
        <w:t xml:space="preserve">(Cullen </w:t>
      </w:r>
      <w:r w:rsidRPr="00487082">
        <w:rPr>
          <w:i/>
          <w:noProof/>
        </w:rPr>
        <w:t>et al.</w:t>
      </w:r>
      <w:r w:rsidRPr="00487082">
        <w:rPr>
          <w:noProof/>
        </w:rPr>
        <w:t xml:space="preserve">, 2013; Lavore </w:t>
      </w:r>
      <w:r w:rsidRPr="00487082">
        <w:rPr>
          <w:i/>
          <w:noProof/>
        </w:rPr>
        <w:t>et al.</w:t>
      </w:r>
      <w:r w:rsidRPr="00487082">
        <w:rPr>
          <w:noProof/>
        </w:rPr>
        <w:t>, 2018)</w:t>
      </w:r>
      <w:r w:rsidR="005C0E76">
        <w:fldChar w:fldCharType="end"/>
      </w:r>
      <w:r>
        <w:t xml:space="preserve"> and susceptibility to RNA based biocontrols </w:t>
      </w:r>
      <w:r w:rsidR="005C0E76">
        <w:fldChar w:fldCharType="begin" w:fldLock="1"/>
      </w:r>
      <w:r>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interference","type":"article-journal","volume":"25"},"uris":["http://www.mendeley.com/documents/?uuid=f36b1865-baf2-4cfb-bf8c-3a0a3c4b563c"]},{"id":"ITEM-2","itemData":{"DOI":"10.1371/journal.pone.0203160","ISSN":"1932-6203","PMID":"30183751","abstract":"RNA interference (RNAi)-based technology shows great potential for use in agriculture, particularly for management of costly insect pests. In the decade since the insecticidal effects of environmentally-introduced RNA were first reported, this treatment has been applied to several types of insect pests. Through the course of those efforts, it has become apparent that different insects exhibit a range of sensitivity to environmentally-introduced RNAs. The variation in responses across insect is not well-understood, with differences in the underlying RNAi mechanisms being one explanation. This study evaluates eight proteins among three agricultural pests whose responses to environmental RNAi are known to differ: western corn rootworm (Diabrotica virgifera virgifera), fall armyworm (Spodoptera frugiperda), and southern green stink bug (Nezara viridula). These proteins have been identified in various organisms as centrally involved in facilitating the microRNA- and small interfering-RNA-mediated interference responses. Various bioinformatics tools, as well as gene expression profiling, were used to identify and evaluate putative homologues for characteristics that may contribute to the differing responses of these insects, such as the absence of critical functional domains within expressed sequences, the absence of entire gene sequences, or unusually low or undetectable expression of critical genes. Though many similarities were observed, the number of isoforms and expression levels of double-stranded RNA-binding and argonaute proteins varied across insect. Differences among key RNAi machinery genes of these three pests may impact the function of their RNAi pathways, and therefore, their respective responses to exogenous RNAs.","author":[{"dropping-particle":"","family":"Davis-Vogel","given":"Courtney","non-dropping-particle":"","parse-names":false,"suffix":""},{"dropping-particle":"","family":"Allen","given":"Brandon","non-dropping-particle":"Van","parse-names":false,"suffix":""},{"dropping-particle":"","family":"Hemert","given":"John L.","non-dropping-particle":"Van","parse-names":false,"suffix":""},{"dropping-particle":"","family":"Sethi","given":"Amit","non-dropping-particle":"","parse-names":false,"suffix":""},{"dropping-particle":"","family":"Nelson","given":"Mark E.","non-dropping-particle":"","parse-names":false,"suffix":""},{"dropping-particle":"","family":"Sashital","given":"Dipali G.","non-dropping-particle":"","parse-names":false,"suffix":""}],"container-title":"PLOS ONE","editor":[{"dropping-particle":"","family":"Jurat-Fuentes","given":"Juan Luis","non-dropping-particle":"","parse-names":false,"suffix":""}],"id":"ITEM-2","issue":"9","issued":{"date-parts":[["2018","9","5"]]},"page":"e0203160","title":"Identification and comparison of key RNA interference machinery from western corn rootworm, fall armyworm, and southern green stink bug","type":"article-journal","volume":"13"},"uris":["http://www.mendeley.com/documents/?uuid=0380d0a0-2876-3035-99a3-5e0e13f24f94"]}],"mendeley":{"formattedCitation":"(Baum &lt;i&gt;et al.&lt;/i&gt;, 2007; Davis-Vogel &lt;i&gt;et al.&lt;/i&gt;, 2018)","plainTextFormattedCitation":"(Baum et al., 2007; Davis-Vogel et al., 2018)","previouslyFormattedCitation":"(Baum &lt;i&gt;et al.&lt;/i&gt;, 2007; Davis-Vogel &lt;i&gt;et al.&lt;/i&gt;, 2018)"},"properties":{"noteIndex":0},"schema":"https://github.com/citation-style-language/schema/raw/master/csl-citation.json"}</w:instrText>
      </w:r>
      <w:r w:rsidR="005C0E76">
        <w:fldChar w:fldCharType="separate"/>
      </w:r>
      <w:r w:rsidRPr="00266A26">
        <w:rPr>
          <w:noProof/>
        </w:rPr>
        <w:t xml:space="preserve">(Baum </w:t>
      </w:r>
      <w:r w:rsidRPr="00266A26">
        <w:rPr>
          <w:i/>
          <w:noProof/>
        </w:rPr>
        <w:t>et al.</w:t>
      </w:r>
      <w:r w:rsidRPr="00266A26">
        <w:rPr>
          <w:noProof/>
        </w:rPr>
        <w:t xml:space="preserve">, 2007; Davis-Vogel </w:t>
      </w:r>
      <w:r w:rsidRPr="00266A26">
        <w:rPr>
          <w:i/>
          <w:noProof/>
        </w:rPr>
        <w:t>et al.</w:t>
      </w:r>
      <w:r w:rsidRPr="00266A26">
        <w:rPr>
          <w:noProof/>
        </w:rPr>
        <w:t>, 2018)</w:t>
      </w:r>
      <w:r w:rsidR="005C0E76">
        <w:fldChar w:fldCharType="end"/>
      </w:r>
      <w:r>
        <w:t xml:space="preserve">. They are therefore ideal models for testing the effects of chemical modifications of dsRNA on RNAi in insects, and are both potential targets for a future chemically modified RNAi biopesticide. For both species, nuclease degradation is possibly the greatest barrier to successful insecticidal RNAi, though at different points for each species. With regard to WCR, the major nuclease degradation point is in the soil feeding environment of the larvae </w:t>
      </w:r>
      <w:r w:rsidR="005C0E76">
        <w:fldChar w:fldCharType="begin" w:fldLock="1"/>
      </w:r>
      <w:r>
        <w:instrText>ADDIN CSL_CITATION {"citationItems":[{"id":"ITEM-1","itemData":{"DOI":"10.1371/journal.pone.0093155","ISSN":"1932-6203","abstract":"A laboratory soil degradation study was conducted to determine the biodegradation potential of a DvSnf7 dsRNA transcript derived from a Monsanto genetically modified (GM) maize product that confers resistance to corn rootworm (CRW; Diabrotica spp.). This study provides new information to improve the environmental assessment of dsRNAs that become pesticidal through an RNAi process. Three agricultural soils differing in their physicochemical characteristics were obtained from the U.S., Illinois (IL; silt loam), Missouri (MO; loamy sand) and North Dakota (ND; clay loam), and exposed to the target dsRNA by incorporating insect-protected maize biomass and purified (in vitro-transcribed) DvSnf7 RNA into soil. The GM and control (non-GM maize) materials were added to each soil and incubated at ca. 22°C for 48 hours (h). Samples were collected at 12 time intervals during the incubation period, extracted, and analyzed using QuantiGene molecular analysis and insect bioassay methods. The DT50 (half-life) values for DvSnf7 RNA in IL, MO, and ND soils were 19, 28, and 15 h based on QuantiGene, and 18, 29, and 14 h based on insect bioassay, respectively. Furthermore, the DT90 (time to 90% degradation) values for DvSnf7 RNA in all three soils were &lt;35 h. These results indicate that DvSnf7 RNA was degraded and biological activity was undetectable within approximately 2 days after application to soil, regardless of texture, pH, clay content and other soil differences. Furthermore, soil-incorporated DvSnf7 RNA was non-detectable in soil after 48 h, as measured by QuantiGene, at levels ranging more than two orders of magnitude (0.3, 1.5, 7.5 and 37.5 µg RNA/g soil). Results from this study indicate that the DvSnf7 dsRNA is unlikely to persist or accumulate in the environment. Furthermore, the rapid degradation of DvSnf7 dsRNA provides a basis to define relevant exposure scenarios for future RNA-based agricultural products.","author":[{"dropping-particle":"","family":"Dubelman","given":"Samuel","non-dropping-particle":"","parse-names":false,"suffix":""},{"dropping-particle":"","family":"Fischer","given":"Joshua","non-dropping-particle":"","parse-names":false,"suffix":""},{"dropping-particle":"","family":"Zapata","given":"Fatima","non-dropping-particle":"","parse-names":false,"suffix":""},{"dropping-particle":"","family":"Huizinga","given":"Kristin","non-dropping-particle":"","parse-names":false,"suffix":""},{"dropping-particle":"","family":"Jiang","given":"Changjian","non-dropping-particle":"","parse-names":false,"suffix":""},{"dropping-particle":"","family":"Uffman","given":"Joshua","non-dropping-particle":"","parse-names":false,"suffix":""},{"dropping-particle":"","family":"Levine","given":"Steven","non-dropping-particle":"","parse-names":false,"suffix":""},{"dropping-particle":"","family":"Carson","given":"David","non-dropping-particle":"","parse-names":false,"suffix":""}],"container-title":"PLoS ONE","editor":[{"dropping-particle":"","family":"Smagghe","given":"Guy","non-dropping-particle":"","parse-names":false,"suffix":""}],"id":"ITEM-1","issue":"3","issued":{"date-parts":[["2014","3","27"]]},"page":"e93155","publisher":"Public Library of Science","title":"Environmental Fate of Double-Stranded RNA in Agricultural Soils","type":"article-journal","volume":"9"},"uris":["http://www.mendeley.com/documents/?uuid=b3479b3f-460c-3c05-9dbb-56814777b613"]}],"mendeley":{"formattedCitation":"(Dubelman &lt;i&gt;et al.&lt;/i&gt;, 2014)","plainTextFormattedCitation":"(Dubelman et al., 2014)","previouslyFormattedCitation":"(Dubelman &lt;i&gt;et al.&lt;/i&gt;, 2014)"},"properties":{"noteIndex":0},"schema":"https://github.com/citation-style-language/schema/raw/master/csl-citation.json"}</w:instrText>
      </w:r>
      <w:r w:rsidR="005C0E76">
        <w:fldChar w:fldCharType="separate"/>
      </w:r>
      <w:r w:rsidRPr="00266A26">
        <w:rPr>
          <w:noProof/>
        </w:rPr>
        <w:t xml:space="preserve">(Dubelman </w:t>
      </w:r>
      <w:r w:rsidRPr="00266A26">
        <w:rPr>
          <w:i/>
          <w:noProof/>
        </w:rPr>
        <w:t>et al.</w:t>
      </w:r>
      <w:r w:rsidRPr="00266A26">
        <w:rPr>
          <w:noProof/>
        </w:rPr>
        <w:t>, 2014)</w:t>
      </w:r>
      <w:r w:rsidR="005C0E76">
        <w:fldChar w:fldCharType="end"/>
      </w:r>
      <w:r>
        <w:t xml:space="preserve">, whereas for stink bugs the major barrier is degradation by their own salival nucleases </w:t>
      </w:r>
      <w:r w:rsidR="005C0E76">
        <w:fldChar w:fldCharType="begin" w:fldLock="1"/>
      </w:r>
      <w:r>
        <w:instrText>ADDIN CSL_CITATION {"citationItems":[{"id":"ITEM-1","itemData":{"DOI":"10.1038/srep27587","ISSN":"2045-2322","abstract":"Distinct properties of proteases and nucleases in the gut, salivary gland and saliva of southern green stink bug, &lt;i&gt;Nezara viridula&lt;/i&gt;","author":[{"dropping-particle":"","family":"Lomate","given":"Purushottam R.","non-dropping-particle":"","parse-names":false,"suffix":""},{"dropping-particle":"","family":"Bonning","given":"Bryony C.","non-dropping-particle":"","parse-names":false,"suffix":""}],"container-title":"Scientific Reports","id":"ITEM-1","issue":"1","issued":{"date-parts":[["2016","9","10"]]},"page":"27587","publisher":"Nature Publishing Group","title":"Distinct properties of proteases and nucleases in the gut, salivary gland and saliva of southern green stink bug, Nezara viridula","type":"article-journal","volume":"6"},"uris":["http://www.mendeley.com/documents/?uuid=97ac4a7c-4741-3828-bd65-f318e3232cb0"]}],"mendeley":{"formattedCitation":"(Lomate and Bonning, 2016)","plainTextFormattedCitation":"(Lomate and Bonning, 2016)","previouslyFormattedCitation":"(Lomate and Bonning, 2016)"},"properties":{"noteIndex":0},"schema":"https://github.com/citation-style-language/schema/raw/master/csl-citation.json"}</w:instrText>
      </w:r>
      <w:r w:rsidR="005C0E76">
        <w:fldChar w:fldCharType="separate"/>
      </w:r>
      <w:r w:rsidRPr="00266A26">
        <w:rPr>
          <w:noProof/>
        </w:rPr>
        <w:t>(Lomate and Bonning, 2016)</w:t>
      </w:r>
      <w:r w:rsidR="005C0E76">
        <w:fldChar w:fldCharType="end"/>
      </w:r>
      <w:r>
        <w:t xml:space="preserve">. The very different feeding behaviours of the two species also opens the possibility for testing the activity of the modified dsRNAs across a range of conditions. It should also be reiterated that the </w:t>
      </w:r>
      <w:r w:rsidRPr="005B4AB7">
        <w:rPr>
          <w:i/>
        </w:rPr>
        <w:t>Drosophila</w:t>
      </w:r>
      <w:r>
        <w:t xml:space="preserve"> cells used for cell screening belong to the order Diptera, whereas stink bugs and WCR belong to the orders Hemiptera and Coleoptera respectively. There was a reasonable chance therefore that the RNAi machinery of each order might have very different tolerances for various RNA modifications. </w:t>
      </w:r>
    </w:p>
    <w:p w:rsidR="00013A14" w:rsidRDefault="00013A14" w:rsidP="00013A14">
      <w:pPr>
        <w:spacing w:line="360" w:lineRule="auto"/>
        <w:ind w:firstLine="284"/>
      </w:pPr>
      <w:r>
        <w:lastRenderedPageBreak/>
        <w:t>Two major types of assay were used to determine the effectiveness of unmodified and modified dsRNA in inducing mortality in stink bugs and WCR through RNAi: an injection assay to determine the resistance of dsRNA to hemolymphal nucleases and its ability to enter cells and effect an RNAi response, and feeding assays in order to determine the ability of dsRNA to negotiate the entire delivery pipeline from food source, through mouth and gut lumen, into the hemolymph, and finally into individual cells. The injection assay was performed on stink bug, and feeding assays were carried out on both stink bug and WCR. Two variants on feeding assays were used for WCR: a relatively controlled assay using dsRNA applied to an artificial diet, requiring low dsRNA doses, and good for screening dsRNA RNAi activity quickly; and a more realistic soil feeding assay which would be a closer mimic to the application of dsRNA insecticides to pests in the field, and thus requires a much higher dose of dsRNA to produce significant mortality levels.</w:t>
      </w:r>
    </w:p>
    <w:p w:rsidR="00013A14" w:rsidRDefault="00013A14" w:rsidP="00013A14">
      <w:pPr>
        <w:spacing w:line="360" w:lineRule="auto"/>
        <w:ind w:firstLine="284"/>
      </w:pPr>
      <w:r>
        <w:t>Stink bugs are exopterygotes with larvae that look like the adults and externally developing wings. Their lifecycle consists of eggs hatching to produce first instar nymphs, followed by molting through a total of five nymphal instar stages</w:t>
      </w:r>
      <w:r w:rsidR="003C4663">
        <w:t xml:space="preserve"> (N1-N5)</w:t>
      </w:r>
      <w:r>
        <w:t xml:space="preserve"> to produce adults which are sexually mature after 2 weeks. Saliva was collected from adults</w:t>
      </w:r>
      <w:r>
        <w:rPr>
          <w:color w:val="000000" w:themeColor="text1"/>
        </w:rPr>
        <w:t xml:space="preserve">, and injection and feeding assays were carried out on </w:t>
      </w:r>
      <w:r>
        <w:t>second instar nymphs</w:t>
      </w:r>
      <w:r w:rsidRPr="00FE1CC5">
        <w:rPr>
          <w:color w:val="000000" w:themeColor="text1"/>
        </w:rPr>
        <w:t>.</w:t>
      </w:r>
      <w:r w:rsidR="003C4663">
        <w:rPr>
          <w:color w:val="000000" w:themeColor="text1"/>
        </w:rPr>
        <w:t xml:space="preserve"> </w:t>
      </w:r>
      <w:r>
        <w:t>WCR are endopterygotes that have distinct larval, pupal and</w:t>
      </w:r>
      <w:r w:rsidR="003C4663">
        <w:t xml:space="preserve"> adult stages. Their lifecycle </w:t>
      </w:r>
      <w:r>
        <w:t>consist</w:t>
      </w:r>
      <w:r w:rsidR="003C4663">
        <w:t>s</w:t>
      </w:r>
      <w:r>
        <w:t xml:space="preserve"> of a protracted larval stage divided into three instars</w:t>
      </w:r>
      <w:r w:rsidR="003C4663">
        <w:t xml:space="preserve"> (L1-L3)</w:t>
      </w:r>
      <w:r>
        <w:t>, though in practice there is little visual difference between instars other than a steady increase in size, followed by pupation from which the adult beetle hatches. Feeding assays were carried out using larvae in the L1/L2 stages.</w:t>
      </w:r>
    </w:p>
    <w:p w:rsidR="00013A14" w:rsidRDefault="00013A14" w:rsidP="00013A14">
      <w:pPr>
        <w:spacing w:line="360" w:lineRule="auto"/>
        <w:ind w:firstLine="284"/>
      </w:pPr>
    </w:p>
    <w:p w:rsidR="00013A14" w:rsidRDefault="00013A14" w:rsidP="00013A14">
      <w:pPr>
        <w:spacing w:line="360" w:lineRule="auto"/>
        <w:ind w:firstLine="284"/>
      </w:pPr>
      <w:r>
        <w:t xml:space="preserve">Demonstrating that chemically modified dsRNA does in fact produce comparable or improved knockdown compared to unmodified dsRNA in an insect cell culture model is an important first step. However, the number of dsRNA uptake steps, and the number of nuclease degradation points (on the leaf surface, soil, or wider field environment, and in the target insect’s saliva, gut lumen, and hemolymph) between application of dsRNA and incorporation into the RISC is far fewer for a cell culture model than for </w:t>
      </w:r>
      <w:r w:rsidRPr="001405FF">
        <w:t>live insects. There is already evidence from the nuclease resistance assays reported in chapter 4 that phosphorothioate modifications in particular show increased resistance to</w:t>
      </w:r>
      <w:r w:rsidR="003C4663">
        <w:t xml:space="preserve"> some</w:t>
      </w:r>
      <w:r w:rsidRPr="001405FF">
        <w:t xml:space="preserve"> insect nucleases. Previous results reported in chapter 5, have also demonstrated certain chemically modified dsRNAs have equal or improved RNAi activity compared to unmodified dsRNAs</w:t>
      </w:r>
      <w:r>
        <w:t xml:space="preserve"> </w:t>
      </w:r>
      <w:r w:rsidRPr="00645610">
        <w:rPr>
          <w:i/>
        </w:rPr>
        <w:t>in vitro</w:t>
      </w:r>
      <w:r>
        <w:t xml:space="preserve"> in a </w:t>
      </w:r>
      <w:r w:rsidRPr="00645610">
        <w:rPr>
          <w:i/>
        </w:rPr>
        <w:t>Drosophila</w:t>
      </w:r>
      <w:r>
        <w:t xml:space="preserve"> cell culture model. The hypothesis is that differences in dsRNA uptake or stability due to chemical modifications in the dsRNA may have a greater effect on RNAi efficacy in live insects than in cell cultures, and the experiments conducted in this chapter aimed to determine if this was the case</w:t>
      </w:r>
      <w:r w:rsidR="003C4663">
        <w:t xml:space="preserve"> for the model insects selected</w:t>
      </w:r>
      <w:r>
        <w:t>.</w:t>
      </w:r>
    </w:p>
    <w:p w:rsidR="00013A14" w:rsidRDefault="00013A14" w:rsidP="00013A14">
      <w:pPr>
        <w:pStyle w:val="Heading2"/>
        <w:spacing w:before="120" w:after="120" w:line="360" w:lineRule="auto"/>
        <w:ind w:left="567" w:hanging="567"/>
      </w:pPr>
      <w:bookmarkStart w:id="225" w:name="_Toc15562892"/>
      <w:bookmarkStart w:id="226" w:name="_Toc35334004"/>
      <w:r>
        <w:lastRenderedPageBreak/>
        <w:t>Results and discussion</w:t>
      </w:r>
      <w:bookmarkEnd w:id="225"/>
      <w:bookmarkEnd w:id="226"/>
    </w:p>
    <w:p w:rsidR="00013A14" w:rsidRDefault="00013A14" w:rsidP="00013A14">
      <w:pPr>
        <w:pStyle w:val="Heading3"/>
        <w:spacing w:before="120" w:after="120" w:line="360" w:lineRule="auto"/>
      </w:pPr>
      <w:bookmarkStart w:id="227" w:name="_Toc15562893"/>
      <w:bookmarkStart w:id="228" w:name="_Toc35334005"/>
      <w:r>
        <w:t>Production and analysis of dsRNA probes</w:t>
      </w:r>
      <w:bookmarkEnd w:id="227"/>
      <w:bookmarkEnd w:id="228"/>
    </w:p>
    <w:p w:rsidR="00013A14" w:rsidRDefault="00013A14" w:rsidP="00013A14">
      <w:pPr>
        <w:spacing w:line="360" w:lineRule="auto"/>
        <w:ind w:firstLine="284"/>
      </w:pPr>
      <w:r w:rsidRPr="00CD4C8D">
        <w:t>In order</w:t>
      </w:r>
      <w:r>
        <w:t xml:space="preserve"> to investigate RNAi knockdown in insects, three dsRNA target sequences were selected: Target A, Target B, and Target C (a shorter fragment of Target A). All three dsRNAs target the orthologues of </w:t>
      </w:r>
      <w:r w:rsidRPr="00F94090">
        <w:t xml:space="preserve">a crucial, sequence conserved target </w:t>
      </w:r>
      <w:r>
        <w:t>mRNA</w:t>
      </w:r>
      <w:r w:rsidRPr="00F94090">
        <w:t xml:space="preserve"> with broad ac</w:t>
      </w:r>
      <w:r>
        <w:t xml:space="preserve">tivity </w:t>
      </w:r>
      <w:r w:rsidRPr="001405FF">
        <w:t xml:space="preserve">against multiple species. The combinations of chemically modified dsRNAs synthesised are summarised in table 6.1, along with which experiments they proceeded to be used in. DNA templates for the target dsRNAs were produced by PCR, using plasmids supplied by Syngenta as the starting material. RNA was transcribed from the DNA templates by IVT using T7 RNA polymerase, then purified and annealed to form dsRNA. The dsRNAs were quantified by Nanodrop spectrophotometry, and analysed by gel electrophoresis and IP RP </w:t>
      </w:r>
      <w:r w:rsidR="001405FF" w:rsidRPr="001405FF">
        <w:t>HPLC, as described in chapter 3</w:t>
      </w:r>
      <w:r w:rsidRPr="001405FF">
        <w:t>. Gel electrophoresis analysis of the DNA templates and unmodified dsRNAs for Targets A, B and C, is shown in figure 6.1 a. GFP dsRNA was</w:t>
      </w:r>
      <w:r>
        <w:t xml:space="preserve"> used as a control, along with </w:t>
      </w:r>
      <w:r w:rsidR="003C4663">
        <w:t xml:space="preserve">chemically </w:t>
      </w:r>
      <w:r>
        <w:t xml:space="preserve">modified GFP control dsRNA in some experiments. </w:t>
      </w:r>
    </w:p>
    <w:p w:rsidR="00013A14" w:rsidRDefault="000D4071" w:rsidP="00013A14">
      <w:pPr>
        <w:spacing w:line="360" w:lineRule="auto"/>
        <w:ind w:firstLine="284"/>
      </w:pPr>
      <w:r>
        <w:t>Note that throughout this chapter N denotes number of replicate experiments, and n denotes number of insects used in a single replicate for a particular dsRNA and concentration.</w:t>
      </w:r>
    </w:p>
    <w:p w:rsidR="00013A14" w:rsidRPr="00013A14" w:rsidRDefault="00013A14" w:rsidP="00013A14">
      <w:pPr>
        <w:pStyle w:val="Caption"/>
        <w:keepNext/>
        <w:rPr>
          <w:color w:val="auto"/>
        </w:rPr>
      </w:pPr>
      <w:bookmarkStart w:id="229" w:name="_Toc20405271"/>
      <w:r w:rsidRPr="00013A14">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1</w:t>
      </w:r>
      <w:r w:rsidR="005C0E76">
        <w:rPr>
          <w:color w:val="auto"/>
        </w:rPr>
        <w:fldChar w:fldCharType="end"/>
      </w:r>
      <w:r w:rsidRPr="00013A14">
        <w:rPr>
          <w:color w:val="auto"/>
        </w:rPr>
        <w:t xml:space="preserve"> A list of all unmodified and chemically modified target dsRNAs used in live insect assays. Chemical modifications given as “guide-passenger” (antisense-sense).</w:t>
      </w:r>
      <w:bookmarkEnd w:id="229"/>
    </w:p>
    <w:tbl>
      <w:tblPr>
        <w:tblStyle w:val="TableGrid"/>
        <w:tblW w:w="0" w:type="auto"/>
        <w:jc w:val="center"/>
        <w:tblLook w:val="04A0"/>
      </w:tblPr>
      <w:tblGrid>
        <w:gridCol w:w="1087"/>
        <w:gridCol w:w="2410"/>
        <w:gridCol w:w="837"/>
        <w:gridCol w:w="1390"/>
        <w:gridCol w:w="2837"/>
      </w:tblGrid>
      <w:tr w:rsidR="00013A14" w:rsidRPr="00CC2847" w:rsidTr="00256D23">
        <w:trPr>
          <w:jc w:val="center"/>
        </w:trPr>
        <w:tc>
          <w:tcPr>
            <w:tcW w:w="1087" w:type="dxa"/>
          </w:tcPr>
          <w:p w:rsidR="00013A14" w:rsidRPr="00CC2847" w:rsidRDefault="00013A14" w:rsidP="00256D23">
            <w:pPr>
              <w:jc w:val="center"/>
              <w:rPr>
                <w:b/>
              </w:rPr>
            </w:pPr>
            <w:r w:rsidRPr="00CC2847">
              <w:rPr>
                <w:b/>
              </w:rPr>
              <w:t>dsRNA Name</w:t>
            </w:r>
          </w:p>
        </w:tc>
        <w:tc>
          <w:tcPr>
            <w:tcW w:w="2410" w:type="dxa"/>
          </w:tcPr>
          <w:p w:rsidR="00013A14" w:rsidRPr="00CC2847" w:rsidRDefault="00013A14" w:rsidP="00256D23">
            <w:pPr>
              <w:jc w:val="center"/>
              <w:rPr>
                <w:b/>
              </w:rPr>
            </w:pPr>
            <w:r w:rsidRPr="00CC2847">
              <w:rPr>
                <w:b/>
              </w:rPr>
              <w:t>Principle Target Species</w:t>
            </w:r>
          </w:p>
        </w:tc>
        <w:tc>
          <w:tcPr>
            <w:tcW w:w="837" w:type="dxa"/>
          </w:tcPr>
          <w:p w:rsidR="00013A14" w:rsidRPr="00CC2847" w:rsidRDefault="00013A14" w:rsidP="00256D23">
            <w:pPr>
              <w:jc w:val="center"/>
              <w:rPr>
                <w:b/>
              </w:rPr>
            </w:pPr>
            <w:r w:rsidRPr="00CC2847">
              <w:rPr>
                <w:b/>
              </w:rPr>
              <w:t>Length (bp)</w:t>
            </w:r>
          </w:p>
        </w:tc>
        <w:tc>
          <w:tcPr>
            <w:tcW w:w="1390" w:type="dxa"/>
          </w:tcPr>
          <w:p w:rsidR="00013A14" w:rsidRDefault="00013A14" w:rsidP="00256D23">
            <w:pPr>
              <w:jc w:val="center"/>
              <w:rPr>
                <w:b/>
              </w:rPr>
            </w:pPr>
            <w:r>
              <w:rPr>
                <w:b/>
              </w:rPr>
              <w:t>Modification</w:t>
            </w:r>
          </w:p>
          <w:p w:rsidR="00013A14" w:rsidRPr="00CC2847" w:rsidRDefault="00013A14" w:rsidP="00256D23">
            <w:pPr>
              <w:jc w:val="center"/>
              <w:rPr>
                <w:b/>
              </w:rPr>
            </w:pPr>
            <w:r>
              <w:rPr>
                <w:b/>
              </w:rPr>
              <w:t>(guide-passenger)</w:t>
            </w:r>
          </w:p>
        </w:tc>
        <w:tc>
          <w:tcPr>
            <w:tcW w:w="2837" w:type="dxa"/>
          </w:tcPr>
          <w:p w:rsidR="00013A14" w:rsidRPr="00CC2847" w:rsidRDefault="00013A14" w:rsidP="00256D23">
            <w:pPr>
              <w:jc w:val="center"/>
              <w:rPr>
                <w:b/>
              </w:rPr>
            </w:pPr>
            <w:r>
              <w:rPr>
                <w:b/>
              </w:rPr>
              <w:t>Assays</w:t>
            </w:r>
          </w:p>
        </w:tc>
      </w:tr>
      <w:tr w:rsidR="00013A14" w:rsidRPr="00CC2847" w:rsidTr="00256D23">
        <w:trPr>
          <w:jc w:val="center"/>
        </w:trPr>
        <w:tc>
          <w:tcPr>
            <w:tcW w:w="1087" w:type="dxa"/>
            <w:vMerge w:val="restart"/>
          </w:tcPr>
          <w:p w:rsidR="00013A14" w:rsidRPr="00CC2847" w:rsidRDefault="00013A14" w:rsidP="00256D23">
            <w:pPr>
              <w:jc w:val="center"/>
            </w:pPr>
            <w:r>
              <w:t>Target A</w:t>
            </w:r>
          </w:p>
        </w:tc>
        <w:tc>
          <w:tcPr>
            <w:tcW w:w="2410" w:type="dxa"/>
            <w:vMerge w:val="restart"/>
          </w:tcPr>
          <w:p w:rsidR="00013A14" w:rsidRDefault="00013A14" w:rsidP="00256D23">
            <w:pPr>
              <w:jc w:val="left"/>
            </w:pPr>
            <w:r>
              <w:t>Stink bug</w:t>
            </w:r>
          </w:p>
          <w:p w:rsidR="00013A14" w:rsidRPr="00CC2847" w:rsidRDefault="00013A14" w:rsidP="00256D23">
            <w:pPr>
              <w:jc w:val="left"/>
            </w:pPr>
            <w:r>
              <w:t>(</w:t>
            </w:r>
            <w:r w:rsidRPr="00013A14">
              <w:rPr>
                <w:i/>
              </w:rPr>
              <w:t>Nezara viridula</w:t>
            </w:r>
            <w:r>
              <w:t>)</w:t>
            </w:r>
          </w:p>
        </w:tc>
        <w:tc>
          <w:tcPr>
            <w:tcW w:w="837" w:type="dxa"/>
            <w:vMerge w:val="restart"/>
          </w:tcPr>
          <w:p w:rsidR="00013A14" w:rsidRPr="00CC2847" w:rsidRDefault="00013A14" w:rsidP="00256D23">
            <w:pPr>
              <w:jc w:val="center"/>
            </w:pPr>
            <w:r>
              <w:t>512</w:t>
            </w:r>
          </w:p>
        </w:tc>
        <w:tc>
          <w:tcPr>
            <w:tcW w:w="1390" w:type="dxa"/>
          </w:tcPr>
          <w:p w:rsidR="00013A14" w:rsidRDefault="00013A14" w:rsidP="00256D23">
            <w:pPr>
              <w:jc w:val="center"/>
            </w:pPr>
            <w:r>
              <w:t>Unmod</w:t>
            </w:r>
          </w:p>
        </w:tc>
        <w:tc>
          <w:tcPr>
            <w:tcW w:w="2837" w:type="dxa"/>
          </w:tcPr>
          <w:p w:rsidR="00013A14" w:rsidRDefault="00013A14" w:rsidP="00256D23">
            <w:pPr>
              <w:jc w:val="left"/>
            </w:pPr>
            <w:r>
              <w:t>Injection,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Un-2PS</w:t>
            </w:r>
          </w:p>
        </w:tc>
        <w:tc>
          <w:tcPr>
            <w:tcW w:w="2837" w:type="dxa"/>
          </w:tcPr>
          <w:p w:rsidR="00013A14" w:rsidRDefault="00013A14" w:rsidP="00256D23">
            <w:pPr>
              <w:jc w:val="left"/>
            </w:pPr>
            <w:r>
              <w:t>Injection,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2PS-Un</w:t>
            </w:r>
          </w:p>
        </w:tc>
        <w:tc>
          <w:tcPr>
            <w:tcW w:w="2837" w:type="dxa"/>
          </w:tcPr>
          <w:p w:rsidR="00013A14" w:rsidRDefault="00013A14" w:rsidP="00256D23">
            <w:pPr>
              <w:jc w:val="left"/>
            </w:pPr>
            <w:r>
              <w:t>Injection,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Un-2 2’F</w:t>
            </w:r>
          </w:p>
        </w:tc>
        <w:tc>
          <w:tcPr>
            <w:tcW w:w="2837" w:type="dxa"/>
          </w:tcPr>
          <w:p w:rsidR="00013A14" w:rsidRDefault="00013A14" w:rsidP="00256D23">
            <w:pPr>
              <w:jc w:val="left"/>
            </w:pPr>
            <w:r>
              <w:t>Injection</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2 2’F-Un</w:t>
            </w:r>
          </w:p>
        </w:tc>
        <w:tc>
          <w:tcPr>
            <w:tcW w:w="2837" w:type="dxa"/>
          </w:tcPr>
          <w:p w:rsidR="00013A14" w:rsidRDefault="00013A14" w:rsidP="00256D23">
            <w:pPr>
              <w:jc w:val="left"/>
            </w:pPr>
            <w:r>
              <w:t>Injection</w:t>
            </w:r>
          </w:p>
        </w:tc>
      </w:tr>
      <w:tr w:rsidR="00013A14" w:rsidRPr="00CC2847" w:rsidTr="00256D23">
        <w:trPr>
          <w:jc w:val="center"/>
        </w:trPr>
        <w:tc>
          <w:tcPr>
            <w:tcW w:w="1087" w:type="dxa"/>
            <w:vMerge w:val="restart"/>
          </w:tcPr>
          <w:p w:rsidR="00013A14" w:rsidRPr="00CC2847" w:rsidRDefault="00013A14" w:rsidP="00256D23">
            <w:pPr>
              <w:jc w:val="center"/>
            </w:pPr>
            <w:r>
              <w:t>Target B</w:t>
            </w:r>
          </w:p>
        </w:tc>
        <w:tc>
          <w:tcPr>
            <w:tcW w:w="2410" w:type="dxa"/>
            <w:vMerge w:val="restart"/>
          </w:tcPr>
          <w:p w:rsidR="00013A14" w:rsidRDefault="00013A14" w:rsidP="00256D23">
            <w:pPr>
              <w:jc w:val="left"/>
            </w:pPr>
            <w:r>
              <w:t>Western corn rootworm</w:t>
            </w:r>
          </w:p>
          <w:p w:rsidR="00013A14" w:rsidRPr="00CC2847" w:rsidRDefault="00013A14" w:rsidP="00256D23">
            <w:pPr>
              <w:jc w:val="left"/>
            </w:pPr>
            <w:r>
              <w:t>(</w:t>
            </w:r>
            <w:r w:rsidRPr="00013A14">
              <w:rPr>
                <w:i/>
              </w:rPr>
              <w:t>Diabrotica virgifera virgifera</w:t>
            </w:r>
            <w:r>
              <w:t>)</w:t>
            </w:r>
          </w:p>
        </w:tc>
        <w:tc>
          <w:tcPr>
            <w:tcW w:w="837" w:type="dxa"/>
            <w:vMerge w:val="restart"/>
          </w:tcPr>
          <w:p w:rsidR="00013A14" w:rsidRPr="00CC2847" w:rsidRDefault="00013A14" w:rsidP="00256D23">
            <w:pPr>
              <w:jc w:val="center"/>
            </w:pPr>
            <w:r>
              <w:t>228</w:t>
            </w:r>
          </w:p>
        </w:tc>
        <w:tc>
          <w:tcPr>
            <w:tcW w:w="1390" w:type="dxa"/>
          </w:tcPr>
          <w:p w:rsidR="00013A14" w:rsidRDefault="00013A14" w:rsidP="00256D23">
            <w:pPr>
              <w:jc w:val="center"/>
            </w:pPr>
            <w:r>
              <w:t>Unmod</w:t>
            </w:r>
          </w:p>
        </w:tc>
        <w:tc>
          <w:tcPr>
            <w:tcW w:w="2837" w:type="dxa"/>
          </w:tcPr>
          <w:p w:rsidR="00013A14" w:rsidRDefault="00013A14" w:rsidP="00256D23">
            <w:pPr>
              <w:jc w:val="left"/>
            </w:pPr>
            <w:r>
              <w:t>Diet feeding, Soil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1HMr-1HMr</w:t>
            </w:r>
          </w:p>
        </w:tc>
        <w:tc>
          <w:tcPr>
            <w:tcW w:w="2837" w:type="dxa"/>
          </w:tcPr>
          <w:p w:rsidR="00013A14" w:rsidRDefault="00013A14" w:rsidP="00256D23">
            <w:pPr>
              <w:jc w:val="left"/>
            </w:pPr>
            <w:r>
              <w:t>Diet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Un-1PS</w:t>
            </w:r>
          </w:p>
        </w:tc>
        <w:tc>
          <w:tcPr>
            <w:tcW w:w="2837" w:type="dxa"/>
          </w:tcPr>
          <w:p w:rsidR="00013A14" w:rsidRDefault="00013A14" w:rsidP="00256D23">
            <w:pPr>
              <w:jc w:val="left"/>
            </w:pPr>
            <w:r>
              <w:t>Diet feeding, Soil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1PS-Un</w:t>
            </w:r>
          </w:p>
        </w:tc>
        <w:tc>
          <w:tcPr>
            <w:tcW w:w="2837" w:type="dxa"/>
          </w:tcPr>
          <w:p w:rsidR="00013A14" w:rsidRDefault="00013A14" w:rsidP="00256D23">
            <w:pPr>
              <w:jc w:val="left"/>
            </w:pPr>
            <w:r>
              <w:t>Diet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1PS-1PS</w:t>
            </w:r>
          </w:p>
        </w:tc>
        <w:tc>
          <w:tcPr>
            <w:tcW w:w="2837" w:type="dxa"/>
          </w:tcPr>
          <w:p w:rsidR="00013A14" w:rsidRDefault="00013A14" w:rsidP="00256D23">
            <w:pPr>
              <w:jc w:val="left"/>
            </w:pPr>
            <w:r>
              <w:t>Diet feeding, Soil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Un-2PS</w:t>
            </w:r>
          </w:p>
        </w:tc>
        <w:tc>
          <w:tcPr>
            <w:tcW w:w="2837" w:type="dxa"/>
          </w:tcPr>
          <w:p w:rsidR="00013A14" w:rsidRDefault="00013A14" w:rsidP="00256D23">
            <w:pPr>
              <w:jc w:val="left"/>
            </w:pPr>
            <w:r>
              <w:t>Diet feeding, Soil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2PS-Un</w:t>
            </w:r>
          </w:p>
        </w:tc>
        <w:tc>
          <w:tcPr>
            <w:tcW w:w="2837" w:type="dxa"/>
          </w:tcPr>
          <w:p w:rsidR="00013A14" w:rsidRDefault="00013A14" w:rsidP="00256D23">
            <w:pPr>
              <w:jc w:val="left"/>
            </w:pPr>
            <w:r>
              <w:t>Diet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2PS-2PS</w:t>
            </w:r>
          </w:p>
        </w:tc>
        <w:tc>
          <w:tcPr>
            <w:tcW w:w="2837" w:type="dxa"/>
          </w:tcPr>
          <w:p w:rsidR="00013A14" w:rsidRDefault="00013A14" w:rsidP="00256D23">
            <w:pPr>
              <w:jc w:val="left"/>
            </w:pPr>
            <w:r>
              <w:t>Diet feeding, Soil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Un-2 2’F</w:t>
            </w:r>
          </w:p>
        </w:tc>
        <w:tc>
          <w:tcPr>
            <w:tcW w:w="2837" w:type="dxa"/>
          </w:tcPr>
          <w:p w:rsidR="00013A14" w:rsidRDefault="00013A14" w:rsidP="00256D23">
            <w:pPr>
              <w:jc w:val="left"/>
            </w:pPr>
            <w:r>
              <w:t>Diet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2 2’F-Un</w:t>
            </w:r>
          </w:p>
        </w:tc>
        <w:tc>
          <w:tcPr>
            <w:tcW w:w="2837" w:type="dxa"/>
          </w:tcPr>
          <w:p w:rsidR="00013A14" w:rsidRDefault="00013A14" w:rsidP="00256D23">
            <w:pPr>
              <w:jc w:val="left"/>
            </w:pPr>
            <w:r>
              <w:t>Diet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2 2’F-2 2’F</w:t>
            </w:r>
          </w:p>
        </w:tc>
        <w:tc>
          <w:tcPr>
            <w:tcW w:w="2837" w:type="dxa"/>
          </w:tcPr>
          <w:p w:rsidR="00013A14" w:rsidRDefault="00013A14" w:rsidP="00256D23">
            <w:pPr>
              <w:jc w:val="left"/>
            </w:pPr>
            <w:r>
              <w:t>Diet feeding</w:t>
            </w:r>
          </w:p>
        </w:tc>
      </w:tr>
      <w:tr w:rsidR="00013A14" w:rsidRPr="00CC2847" w:rsidTr="00256D23">
        <w:trPr>
          <w:jc w:val="center"/>
        </w:trPr>
        <w:tc>
          <w:tcPr>
            <w:tcW w:w="1087" w:type="dxa"/>
            <w:vMerge w:val="restart"/>
          </w:tcPr>
          <w:p w:rsidR="00013A14" w:rsidRPr="00CC2847" w:rsidRDefault="00013A14" w:rsidP="00256D23">
            <w:pPr>
              <w:jc w:val="center"/>
            </w:pPr>
            <w:r>
              <w:t>Target C</w:t>
            </w:r>
          </w:p>
        </w:tc>
        <w:tc>
          <w:tcPr>
            <w:tcW w:w="2410" w:type="dxa"/>
            <w:vMerge w:val="restart"/>
          </w:tcPr>
          <w:p w:rsidR="00013A14" w:rsidRDefault="00013A14" w:rsidP="00256D23">
            <w:pPr>
              <w:jc w:val="left"/>
            </w:pPr>
            <w:r>
              <w:t>Stink bug</w:t>
            </w:r>
          </w:p>
          <w:p w:rsidR="00013A14" w:rsidRPr="00CC2847" w:rsidRDefault="00013A14" w:rsidP="00256D23">
            <w:pPr>
              <w:jc w:val="left"/>
            </w:pPr>
            <w:r>
              <w:t>(</w:t>
            </w:r>
            <w:r w:rsidRPr="00013A14">
              <w:rPr>
                <w:i/>
              </w:rPr>
              <w:t>Nezara viridula</w:t>
            </w:r>
            <w:r>
              <w:t>)</w:t>
            </w:r>
          </w:p>
        </w:tc>
        <w:tc>
          <w:tcPr>
            <w:tcW w:w="837" w:type="dxa"/>
            <w:vMerge w:val="restart"/>
          </w:tcPr>
          <w:p w:rsidR="00013A14" w:rsidRPr="00CC2847" w:rsidRDefault="00013A14" w:rsidP="00256D23">
            <w:pPr>
              <w:jc w:val="center"/>
            </w:pPr>
            <w:r>
              <w:t>206</w:t>
            </w:r>
          </w:p>
        </w:tc>
        <w:tc>
          <w:tcPr>
            <w:tcW w:w="1390" w:type="dxa"/>
          </w:tcPr>
          <w:p w:rsidR="00013A14" w:rsidRDefault="00013A14" w:rsidP="00256D23">
            <w:pPr>
              <w:jc w:val="center"/>
            </w:pPr>
            <w:r>
              <w:t>Unmod</w:t>
            </w:r>
          </w:p>
        </w:tc>
        <w:tc>
          <w:tcPr>
            <w:tcW w:w="2837" w:type="dxa"/>
          </w:tcPr>
          <w:p w:rsidR="00013A14" w:rsidRDefault="00013A14" w:rsidP="00256D23">
            <w:pPr>
              <w:jc w:val="left"/>
            </w:pPr>
            <w:r>
              <w:t>Injection,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Un-1PS</w:t>
            </w:r>
          </w:p>
        </w:tc>
        <w:tc>
          <w:tcPr>
            <w:tcW w:w="2837" w:type="dxa"/>
          </w:tcPr>
          <w:p w:rsidR="00013A14" w:rsidRDefault="00013A14" w:rsidP="00256D23">
            <w:pPr>
              <w:jc w:val="left"/>
            </w:pPr>
            <w:r>
              <w:t>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1PS-1PS</w:t>
            </w:r>
          </w:p>
        </w:tc>
        <w:tc>
          <w:tcPr>
            <w:tcW w:w="2837" w:type="dxa"/>
          </w:tcPr>
          <w:p w:rsidR="00013A14" w:rsidRDefault="00013A14" w:rsidP="00256D23">
            <w:pPr>
              <w:jc w:val="left"/>
            </w:pPr>
            <w:r>
              <w:t>Injection, 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Un-2PS</w:t>
            </w:r>
          </w:p>
        </w:tc>
        <w:tc>
          <w:tcPr>
            <w:tcW w:w="2837" w:type="dxa"/>
          </w:tcPr>
          <w:p w:rsidR="00013A14" w:rsidRDefault="00013A14" w:rsidP="00256D23">
            <w:pPr>
              <w:jc w:val="left"/>
            </w:pPr>
            <w:r>
              <w:t>Feeding</w:t>
            </w:r>
          </w:p>
        </w:tc>
      </w:tr>
      <w:tr w:rsidR="00013A14" w:rsidRPr="00CC2847" w:rsidTr="00256D23">
        <w:trPr>
          <w:jc w:val="center"/>
        </w:trPr>
        <w:tc>
          <w:tcPr>
            <w:tcW w:w="1087" w:type="dxa"/>
            <w:vMerge/>
          </w:tcPr>
          <w:p w:rsidR="00013A14" w:rsidRDefault="00013A14" w:rsidP="00256D23">
            <w:pPr>
              <w:jc w:val="center"/>
            </w:pPr>
          </w:p>
        </w:tc>
        <w:tc>
          <w:tcPr>
            <w:tcW w:w="2410" w:type="dxa"/>
            <w:vMerge/>
          </w:tcPr>
          <w:p w:rsidR="00013A14" w:rsidRDefault="00013A14" w:rsidP="00256D23">
            <w:pPr>
              <w:jc w:val="left"/>
            </w:pPr>
          </w:p>
        </w:tc>
        <w:tc>
          <w:tcPr>
            <w:tcW w:w="837" w:type="dxa"/>
            <w:vMerge/>
          </w:tcPr>
          <w:p w:rsidR="00013A14" w:rsidRDefault="00013A14" w:rsidP="00256D23">
            <w:pPr>
              <w:jc w:val="center"/>
            </w:pPr>
          </w:p>
        </w:tc>
        <w:tc>
          <w:tcPr>
            <w:tcW w:w="1390" w:type="dxa"/>
          </w:tcPr>
          <w:p w:rsidR="00013A14" w:rsidRDefault="00013A14" w:rsidP="00256D23">
            <w:pPr>
              <w:jc w:val="center"/>
            </w:pPr>
            <w:r>
              <w:t>2PS-2PS</w:t>
            </w:r>
          </w:p>
        </w:tc>
        <w:tc>
          <w:tcPr>
            <w:tcW w:w="2837" w:type="dxa"/>
          </w:tcPr>
          <w:p w:rsidR="00013A14" w:rsidRDefault="00013A14" w:rsidP="00256D23">
            <w:pPr>
              <w:jc w:val="left"/>
            </w:pPr>
            <w:r>
              <w:t>Feeding</w:t>
            </w:r>
          </w:p>
        </w:tc>
      </w:tr>
    </w:tbl>
    <w:p w:rsidR="00013A14" w:rsidRPr="00CC2847" w:rsidRDefault="00013A14" w:rsidP="00013A14">
      <w:pPr>
        <w:ind w:firstLine="284"/>
      </w:pPr>
    </w:p>
    <w:p w:rsidR="00013A14" w:rsidRDefault="00013A14" w:rsidP="00013A14">
      <w:pPr>
        <w:pStyle w:val="Heading3"/>
        <w:spacing w:before="120" w:after="120" w:line="360" w:lineRule="auto"/>
      </w:pPr>
      <w:bookmarkStart w:id="230" w:name="_Toc15562894"/>
      <w:bookmarkStart w:id="231" w:name="_Toc35334006"/>
      <w:r>
        <w:lastRenderedPageBreak/>
        <w:t>Analysis of RNAi efficacy of chemically modified dsRNA delivered by injection in stink bug</w:t>
      </w:r>
      <w:bookmarkEnd w:id="230"/>
      <w:bookmarkEnd w:id="231"/>
    </w:p>
    <w:p w:rsidR="00013A14" w:rsidRPr="001405FF" w:rsidRDefault="00013A14" w:rsidP="00013A14">
      <w:pPr>
        <w:spacing w:line="360" w:lineRule="auto"/>
        <w:ind w:firstLine="284"/>
      </w:pPr>
      <w:r w:rsidRPr="002360C4">
        <w:t xml:space="preserve">In order to establish that chemically modified dsRNA was active for RNAi in insects, the first experiment carried out was an injection assay, using </w:t>
      </w:r>
      <w:r w:rsidR="0090527F">
        <w:t>southern green stink bug (</w:t>
      </w:r>
      <w:r w:rsidRPr="002360C4">
        <w:t>SGSB</w:t>
      </w:r>
      <w:r w:rsidR="0090527F">
        <w:t>)</w:t>
      </w:r>
      <w:r w:rsidR="000D4071">
        <w:t>. T</w:t>
      </w:r>
      <w:r>
        <w:t>he aim of the experiment was to</w:t>
      </w:r>
      <w:r w:rsidRPr="002360C4">
        <w:t xml:space="preserve"> determine whether chemically modified dsRNAs could induce RNAi of a </w:t>
      </w:r>
      <w:r w:rsidR="00B57F38">
        <w:t>t</w:t>
      </w:r>
      <w:r w:rsidRPr="002360C4">
        <w:t>arget gene</w:t>
      </w:r>
      <w:r w:rsidR="00B57F38">
        <w:t xml:space="preserve"> vital to survival</w:t>
      </w:r>
      <w:r w:rsidRPr="002360C4">
        <w:t xml:space="preserve">, resulting in insect mortality. The relatively direct delivery method of injection removes dsRNA </w:t>
      </w:r>
      <w:r w:rsidRPr="001405FF">
        <w:t>stability in saliva and gut juice, and dsRNA uptake efficiency of gut epithelial cells as factors, allowing RNAi efficiency of dsRNA to be examined in relative isolation from other factors.</w:t>
      </w:r>
    </w:p>
    <w:p w:rsidR="00013A14" w:rsidRPr="001405FF" w:rsidRDefault="00013A14" w:rsidP="00013A14">
      <w:pPr>
        <w:spacing w:line="360" w:lineRule="auto"/>
        <w:ind w:firstLine="284"/>
      </w:pPr>
    </w:p>
    <w:p w:rsidR="00013A14" w:rsidRDefault="00013A14" w:rsidP="00013A14">
      <w:pPr>
        <w:spacing w:line="360" w:lineRule="auto"/>
        <w:ind w:firstLine="284"/>
      </w:pPr>
      <w:r w:rsidRPr="001405FF">
        <w:t>An initial screen was carried out in SGSB to analyse the RNAi efficacy of a range of chemically modified Target A dsRNAs (table 6.2). SGSB</w:t>
      </w:r>
      <w:r w:rsidRPr="0080424B">
        <w:t xml:space="preserve"> </w:t>
      </w:r>
      <w:r>
        <w:t xml:space="preserve">N2 nymphal stage insects </w:t>
      </w:r>
      <w:r w:rsidRPr="0080424B">
        <w:t>were</w:t>
      </w:r>
      <w:r>
        <w:t xml:space="preserve"> injected by hand with 0.7 µg/µl dsRNA solutions containing non-toxic coloured dye, using borosilicate glass capillaries extruded into needles. The design of the injector results in an imprecise but high dose of dsRNA solution being delivered to insects, and therefore results are only semi-quantitative.</w:t>
      </w:r>
    </w:p>
    <w:p w:rsidR="00013A14" w:rsidRDefault="00013A14" w:rsidP="00013A14">
      <w:pPr>
        <w:spacing w:line="360" w:lineRule="auto"/>
        <w:ind w:firstLine="284"/>
      </w:pPr>
    </w:p>
    <w:p w:rsidR="0090527F" w:rsidRPr="0090527F" w:rsidRDefault="0090527F" w:rsidP="0090527F">
      <w:pPr>
        <w:pStyle w:val="Caption"/>
        <w:keepNext/>
        <w:rPr>
          <w:color w:val="auto"/>
        </w:rPr>
      </w:pPr>
      <w:bookmarkStart w:id="232" w:name="_Toc20405272"/>
      <w:bookmarkStart w:id="233" w:name="OLE_LINK1"/>
      <w:r w:rsidRPr="0090527F">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2</w:t>
      </w:r>
      <w:r w:rsidR="005C0E76">
        <w:rPr>
          <w:color w:val="auto"/>
        </w:rPr>
        <w:fldChar w:fldCharType="end"/>
      </w:r>
      <w:r w:rsidRPr="0090527F">
        <w:rPr>
          <w:color w:val="auto"/>
        </w:rPr>
        <w:t xml:space="preserve"> The list of unmodified and chemically modified dsRNAs used in the stink bug injection assay shown in figure 6.1b.</w:t>
      </w:r>
      <w:bookmarkEnd w:id="232"/>
    </w:p>
    <w:tbl>
      <w:tblPr>
        <w:tblStyle w:val="TableGrid"/>
        <w:tblW w:w="0" w:type="auto"/>
        <w:jc w:val="center"/>
        <w:tblLook w:val="04A0"/>
      </w:tblPr>
      <w:tblGrid>
        <w:gridCol w:w="2116"/>
        <w:gridCol w:w="2101"/>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101" w:type="dxa"/>
          </w:tcPr>
          <w:p w:rsidR="00013A14" w:rsidRDefault="00013A14" w:rsidP="00256D23">
            <w:pPr>
              <w:jc w:val="center"/>
              <w:rPr>
                <w:b/>
              </w:rPr>
            </w:pPr>
            <w:r>
              <w:rPr>
                <w:b/>
              </w:rPr>
              <w:t xml:space="preserve">Modification </w:t>
            </w:r>
          </w:p>
          <w:p w:rsidR="00013A14" w:rsidRPr="00CC2847" w:rsidRDefault="00013A14" w:rsidP="00256D23">
            <w:pPr>
              <w:jc w:val="center"/>
              <w:rPr>
                <w:b/>
              </w:rPr>
            </w:pPr>
            <w:r>
              <w:rPr>
                <w:b/>
              </w:rPr>
              <w:t>(guide-passenger)</w:t>
            </w:r>
          </w:p>
        </w:tc>
      </w:tr>
      <w:tr w:rsidR="00013A14" w:rsidRPr="00CC2847" w:rsidTr="00256D23">
        <w:trPr>
          <w:jc w:val="center"/>
        </w:trPr>
        <w:tc>
          <w:tcPr>
            <w:tcW w:w="2116" w:type="dxa"/>
            <w:vMerge w:val="restart"/>
          </w:tcPr>
          <w:p w:rsidR="00013A14" w:rsidRPr="00CC2847" w:rsidRDefault="00013A14" w:rsidP="00256D23">
            <w:pPr>
              <w:jc w:val="center"/>
            </w:pPr>
            <w:r>
              <w:t>Target A</w:t>
            </w:r>
          </w:p>
        </w:tc>
        <w:tc>
          <w:tcPr>
            <w:tcW w:w="2101"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101" w:type="dxa"/>
          </w:tcPr>
          <w:p w:rsidR="00013A14" w:rsidRDefault="00013A14" w:rsidP="00256D23">
            <w:pPr>
              <w:jc w:val="center"/>
            </w:pPr>
            <w:r>
              <w:t>Un-2PS</w:t>
            </w:r>
          </w:p>
        </w:tc>
      </w:tr>
      <w:tr w:rsidR="00013A14" w:rsidRPr="00CC2847" w:rsidTr="00256D23">
        <w:trPr>
          <w:jc w:val="center"/>
        </w:trPr>
        <w:tc>
          <w:tcPr>
            <w:tcW w:w="2116" w:type="dxa"/>
            <w:vMerge/>
          </w:tcPr>
          <w:p w:rsidR="00013A14" w:rsidRDefault="00013A14" w:rsidP="00256D23">
            <w:pPr>
              <w:jc w:val="center"/>
            </w:pPr>
          </w:p>
        </w:tc>
        <w:tc>
          <w:tcPr>
            <w:tcW w:w="2101" w:type="dxa"/>
          </w:tcPr>
          <w:p w:rsidR="00013A14" w:rsidRDefault="00013A14" w:rsidP="00256D23">
            <w:pPr>
              <w:jc w:val="center"/>
            </w:pPr>
            <w:r>
              <w:t>2PS-Un</w:t>
            </w:r>
          </w:p>
        </w:tc>
      </w:tr>
      <w:tr w:rsidR="00013A14" w:rsidRPr="00CC2847" w:rsidTr="00256D23">
        <w:trPr>
          <w:jc w:val="center"/>
        </w:trPr>
        <w:tc>
          <w:tcPr>
            <w:tcW w:w="2116" w:type="dxa"/>
            <w:vMerge/>
          </w:tcPr>
          <w:p w:rsidR="00013A14" w:rsidRDefault="00013A14" w:rsidP="00256D23">
            <w:pPr>
              <w:jc w:val="center"/>
            </w:pPr>
          </w:p>
        </w:tc>
        <w:tc>
          <w:tcPr>
            <w:tcW w:w="2101" w:type="dxa"/>
          </w:tcPr>
          <w:p w:rsidR="00013A14" w:rsidRDefault="00013A14" w:rsidP="00256D23">
            <w:pPr>
              <w:jc w:val="center"/>
            </w:pPr>
            <w:r>
              <w:t>Un-2 2’F</w:t>
            </w:r>
          </w:p>
        </w:tc>
      </w:tr>
      <w:tr w:rsidR="00013A14" w:rsidRPr="00CC2847" w:rsidTr="00256D23">
        <w:trPr>
          <w:jc w:val="center"/>
        </w:trPr>
        <w:tc>
          <w:tcPr>
            <w:tcW w:w="2116" w:type="dxa"/>
            <w:vMerge/>
          </w:tcPr>
          <w:p w:rsidR="00013A14" w:rsidRDefault="00013A14" w:rsidP="00256D23">
            <w:pPr>
              <w:jc w:val="center"/>
            </w:pPr>
          </w:p>
        </w:tc>
        <w:tc>
          <w:tcPr>
            <w:tcW w:w="2101" w:type="dxa"/>
          </w:tcPr>
          <w:p w:rsidR="00013A14" w:rsidRDefault="00013A14" w:rsidP="00256D23">
            <w:pPr>
              <w:jc w:val="center"/>
            </w:pPr>
            <w:r>
              <w:t>2 2’F-Un</w:t>
            </w:r>
          </w:p>
        </w:tc>
      </w:tr>
      <w:tr w:rsidR="00013A14" w:rsidRPr="00CC2847" w:rsidTr="00256D23">
        <w:trPr>
          <w:jc w:val="center"/>
        </w:trPr>
        <w:tc>
          <w:tcPr>
            <w:tcW w:w="2116" w:type="dxa"/>
          </w:tcPr>
          <w:p w:rsidR="00013A14" w:rsidRDefault="00013A14" w:rsidP="00256D23">
            <w:pPr>
              <w:jc w:val="center"/>
            </w:pPr>
            <w:r>
              <w:t>GFP</w:t>
            </w:r>
          </w:p>
        </w:tc>
        <w:tc>
          <w:tcPr>
            <w:tcW w:w="2101" w:type="dxa"/>
          </w:tcPr>
          <w:p w:rsidR="00013A14" w:rsidRDefault="00013A14" w:rsidP="00256D23">
            <w:pPr>
              <w:jc w:val="center"/>
            </w:pPr>
            <w:r>
              <w:t>Unmod</w:t>
            </w:r>
          </w:p>
        </w:tc>
      </w:tr>
      <w:tr w:rsidR="00013A14" w:rsidRPr="00CC2847" w:rsidTr="00256D23">
        <w:trPr>
          <w:jc w:val="center"/>
        </w:trPr>
        <w:tc>
          <w:tcPr>
            <w:tcW w:w="2116" w:type="dxa"/>
          </w:tcPr>
          <w:p w:rsidR="00013A14" w:rsidRDefault="00013A14" w:rsidP="00256D23">
            <w:pPr>
              <w:jc w:val="center"/>
            </w:pPr>
            <w:r>
              <w:t>No dsRNA (Dye only)</w:t>
            </w:r>
          </w:p>
        </w:tc>
        <w:tc>
          <w:tcPr>
            <w:tcW w:w="2101" w:type="dxa"/>
          </w:tcPr>
          <w:p w:rsidR="00013A14" w:rsidRDefault="00013A14" w:rsidP="00256D23">
            <w:pPr>
              <w:jc w:val="center"/>
            </w:pPr>
            <w:r>
              <w:t>N/A</w:t>
            </w:r>
          </w:p>
        </w:tc>
      </w:tr>
      <w:bookmarkEnd w:id="233"/>
    </w:tbl>
    <w:p w:rsidR="00013A14" w:rsidRDefault="00013A14" w:rsidP="00013A14">
      <w:pPr>
        <w:ind w:firstLine="284"/>
      </w:pPr>
    </w:p>
    <w:p w:rsidR="00013A14" w:rsidRPr="001405FF" w:rsidRDefault="00013A14" w:rsidP="00013A14">
      <w:pPr>
        <w:spacing w:line="360" w:lineRule="auto"/>
        <w:ind w:firstLine="284"/>
      </w:pPr>
      <w:r>
        <w:t xml:space="preserve">Insects injected with dsRNA and control condition insects were transferred to sealed dishes containing a single runner bean, with one dish per condition. The injection day was designated day 0; on day 1 all deceased insects were removed and the initial scoring done. It was assumed all mortality in the first day was the result of damage </w:t>
      </w:r>
      <w:r w:rsidRPr="001405FF">
        <w:t>incurred during injection and not from RNAi. Mortality was scored over five days, an</w:t>
      </w:r>
      <w:r w:rsidR="00B57F38">
        <w:t xml:space="preserve">d the results are presented in </w:t>
      </w:r>
      <w:r w:rsidRPr="001405FF">
        <w:t>figure 6.1b.</w:t>
      </w:r>
    </w:p>
    <w:p w:rsidR="00256D23" w:rsidRDefault="00013A14" w:rsidP="00013A14">
      <w:pPr>
        <w:spacing w:line="360" w:lineRule="auto"/>
        <w:ind w:firstLine="284"/>
      </w:pPr>
      <w:r w:rsidRPr="001405FF">
        <w:t>The results show that the modified dsRNAs containing PS and 2’F modifications in either the passenger strand (Un-2PS, Un-2 2’F) or the guide strand (2PS-Un, 2 2’F-Un) resulted in efficient RNAi in the insects when delivered directly by injection. Final survival percentages for all modified dsRNAs were similar to those for unmodified dsRNA. Although the data is only semi-quantitative, it suggests that RNAi-related mortality was detected later for the modified dsRNAs, compared to the unmodified dsRNA (see figure 6.1 b). The difference was especially pronounced around</w:t>
      </w:r>
      <w:r>
        <w:t xml:space="preserve"> day three, with survival in the 60-80% range for the modified dsRNAs, compared to approximately 35% for the</w:t>
      </w:r>
    </w:p>
    <w:p w:rsidR="00256D23" w:rsidRDefault="00345703" w:rsidP="00604ABE">
      <w:pPr>
        <w:keepNext/>
        <w:jc w:val="center"/>
      </w:pPr>
      <w:r>
        <w:rPr>
          <w:noProof/>
          <w:lang w:eastAsia="en-GB"/>
        </w:rPr>
        <w:lastRenderedPageBreak/>
        <w:drawing>
          <wp:inline distT="0" distB="0" distL="0" distR="0">
            <wp:extent cx="4859604" cy="7373690"/>
            <wp:effectExtent l="0" t="0" r="0" b="0"/>
            <wp:docPr id="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srcRect/>
                    <a:stretch>
                      <a:fillRect/>
                    </a:stretch>
                  </pic:blipFill>
                  <pic:spPr bwMode="auto">
                    <a:xfrm>
                      <a:off x="0" y="0"/>
                      <a:ext cx="4859604" cy="7373690"/>
                    </a:xfrm>
                    <a:prstGeom prst="rect">
                      <a:avLst/>
                    </a:prstGeom>
                    <a:noFill/>
                  </pic:spPr>
                </pic:pic>
              </a:graphicData>
            </a:graphic>
          </wp:inline>
        </w:drawing>
      </w:r>
    </w:p>
    <w:p w:rsidR="00B50552" w:rsidRDefault="00256D23" w:rsidP="00B50552">
      <w:pPr>
        <w:pStyle w:val="Caption"/>
        <w:spacing w:after="0"/>
        <w:rPr>
          <w:color w:val="auto"/>
        </w:rPr>
      </w:pPr>
      <w:bookmarkStart w:id="234" w:name="_Toc20411659"/>
      <w:r w:rsidRPr="00256D23">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1</w:t>
      </w:r>
      <w:r w:rsidR="005C0E76">
        <w:rPr>
          <w:color w:val="auto"/>
        </w:rPr>
        <w:fldChar w:fldCharType="end"/>
      </w:r>
      <w:r w:rsidRPr="00256D23">
        <w:rPr>
          <w:color w:val="auto"/>
        </w:rPr>
        <w:t xml:space="preserve"> Optimisation and proof of principal for </w:t>
      </w:r>
      <w:r w:rsidRPr="00256D23">
        <w:rPr>
          <w:i/>
          <w:iCs/>
          <w:color w:val="auto"/>
        </w:rPr>
        <w:t xml:space="preserve">in vivo </w:t>
      </w:r>
      <w:r w:rsidRPr="00256D23">
        <w:rPr>
          <w:color w:val="auto"/>
        </w:rPr>
        <w:t>RNAi assays in insects using chemically modified dsRNA.</w:t>
      </w:r>
      <w:bookmarkEnd w:id="234"/>
    </w:p>
    <w:p w:rsidR="00256D23" w:rsidRPr="00256D23" w:rsidRDefault="00256D23" w:rsidP="00B50552">
      <w:pPr>
        <w:pStyle w:val="Caption"/>
        <w:spacing w:after="0"/>
        <w:rPr>
          <w:b w:val="0"/>
          <w:color w:val="auto"/>
        </w:rPr>
      </w:pPr>
      <w:r w:rsidRPr="00256D23">
        <w:rPr>
          <w:b w:val="0"/>
          <w:color w:val="auto"/>
        </w:rPr>
        <w:t xml:space="preserve">(a) Gel electrophoretogram of target and control dsRNAs utilised in live insect assays. (b) Stink bug injection assay. Second instar (N2) insects injected on the underside of the abdomen with dsRNA solution at a concentration of  0.7 µg/ µl. Mortality measured over 5 days and normalised to day 1. Day 1 post-injection survival  n – Unmod: = 29; Un-2PS: = 46; 2PS-Un: = 29; Un-2 2’F: = 25; 2’F-Un: = 25; GFP dsRNA: = 50; Dye: = 20. (c) WCR optimisation plate feeding assay. WCR fed on an artificial diet containing dsRNA in well plates and mortality measured over 7 days. GFP n = 46, 41, 40, 45; Unmod n = 45, 47, 31, 41; No dsRNA insects n = 146. (d &amp; e) WCR </w:t>
      </w:r>
      <w:r>
        <w:rPr>
          <w:b w:val="0"/>
          <w:color w:val="auto"/>
        </w:rPr>
        <w:t>chemically m</w:t>
      </w:r>
      <w:r w:rsidRPr="00256D23">
        <w:rPr>
          <w:b w:val="0"/>
          <w:color w:val="auto"/>
        </w:rPr>
        <w:t>odified GFP</w:t>
      </w:r>
      <w:r>
        <w:rPr>
          <w:b w:val="0"/>
          <w:color w:val="auto"/>
        </w:rPr>
        <w:t xml:space="preserve"> dsRNA</w:t>
      </w:r>
      <w:r w:rsidRPr="00256D23">
        <w:rPr>
          <w:b w:val="0"/>
          <w:color w:val="auto"/>
        </w:rPr>
        <w:t xml:space="preserve"> plate feeding assay.</w:t>
      </w:r>
      <w:r w:rsidR="004757B1">
        <w:rPr>
          <w:b w:val="0"/>
          <w:color w:val="auto"/>
        </w:rPr>
        <w:t xml:space="preserve"> Results plotted as mean and SD of two replicate assays (N=2).</w:t>
      </w:r>
      <w:r w:rsidR="00604ABE">
        <w:rPr>
          <w:b w:val="0"/>
          <w:color w:val="auto"/>
        </w:rPr>
        <w:t xml:space="preserve"> </w:t>
      </w:r>
      <w:r w:rsidR="00604ABE" w:rsidRPr="00F945E3">
        <w:rPr>
          <w:b w:val="0"/>
          <w:color w:val="auto"/>
        </w:rPr>
        <w:t>Stars denote significance as calculated by unpaired T-tests. ns = P &gt; 0.05, *** = P ≤ 0.00</w:t>
      </w:r>
      <w:r w:rsidR="00604ABE">
        <w:rPr>
          <w:b w:val="0"/>
          <w:color w:val="auto"/>
        </w:rPr>
        <w:t>1</w:t>
      </w:r>
      <w:r w:rsidR="00604ABE" w:rsidRPr="00F945E3">
        <w:rPr>
          <w:b w:val="0"/>
          <w:color w:val="auto"/>
        </w:rPr>
        <w:t xml:space="preserve">. </w:t>
      </w:r>
      <w:r w:rsidRPr="00256D23">
        <w:rPr>
          <w:b w:val="0"/>
          <w:color w:val="auto"/>
        </w:rPr>
        <w:t xml:space="preserve"> Target B Unmod n = </w:t>
      </w:r>
      <w:r w:rsidR="004757B1">
        <w:rPr>
          <w:b w:val="0"/>
          <w:color w:val="auto"/>
        </w:rPr>
        <w:t>49, 53;</w:t>
      </w:r>
      <w:r w:rsidRPr="00256D23">
        <w:rPr>
          <w:b w:val="0"/>
          <w:color w:val="auto"/>
        </w:rPr>
        <w:t xml:space="preserve"> GFP Unmod n = </w:t>
      </w:r>
      <w:r w:rsidR="004757B1">
        <w:rPr>
          <w:b w:val="0"/>
          <w:color w:val="auto"/>
        </w:rPr>
        <w:t xml:space="preserve">50, </w:t>
      </w:r>
      <w:r w:rsidRPr="00256D23">
        <w:rPr>
          <w:b w:val="0"/>
          <w:color w:val="auto"/>
        </w:rPr>
        <w:t>52</w:t>
      </w:r>
      <w:r w:rsidR="004757B1">
        <w:rPr>
          <w:b w:val="0"/>
          <w:color w:val="auto"/>
        </w:rPr>
        <w:t>;</w:t>
      </w:r>
      <w:r w:rsidRPr="00256D23">
        <w:rPr>
          <w:b w:val="0"/>
          <w:color w:val="auto"/>
        </w:rPr>
        <w:t xml:space="preserve"> GFP 2PS n = </w:t>
      </w:r>
      <w:r w:rsidR="004757B1">
        <w:rPr>
          <w:b w:val="0"/>
          <w:color w:val="auto"/>
        </w:rPr>
        <w:t xml:space="preserve">50, </w:t>
      </w:r>
      <w:r w:rsidRPr="00256D23">
        <w:rPr>
          <w:b w:val="0"/>
          <w:color w:val="auto"/>
        </w:rPr>
        <w:t>54</w:t>
      </w:r>
      <w:r w:rsidR="004757B1">
        <w:rPr>
          <w:b w:val="0"/>
          <w:color w:val="auto"/>
        </w:rPr>
        <w:t>;</w:t>
      </w:r>
      <w:r w:rsidRPr="00256D23">
        <w:rPr>
          <w:b w:val="0"/>
          <w:color w:val="auto"/>
        </w:rPr>
        <w:t xml:space="preserve"> GFP 2 2’F n = </w:t>
      </w:r>
      <w:r w:rsidR="00A045FF">
        <w:rPr>
          <w:b w:val="0"/>
          <w:color w:val="auto"/>
        </w:rPr>
        <w:t xml:space="preserve">48, </w:t>
      </w:r>
      <w:r w:rsidRPr="00256D23">
        <w:rPr>
          <w:b w:val="0"/>
          <w:color w:val="auto"/>
        </w:rPr>
        <w:t>56</w:t>
      </w:r>
      <w:r w:rsidR="00A045FF">
        <w:rPr>
          <w:b w:val="0"/>
          <w:color w:val="auto"/>
        </w:rPr>
        <w:t>;</w:t>
      </w:r>
      <w:r w:rsidRPr="00256D23">
        <w:rPr>
          <w:b w:val="0"/>
          <w:color w:val="auto"/>
        </w:rPr>
        <w:t xml:space="preserve"> GFP 1HMr n</w:t>
      </w:r>
      <w:r w:rsidR="00A045FF">
        <w:rPr>
          <w:b w:val="0"/>
          <w:color w:val="auto"/>
        </w:rPr>
        <w:t xml:space="preserve"> </w:t>
      </w:r>
      <w:r w:rsidRPr="00256D23">
        <w:rPr>
          <w:b w:val="0"/>
          <w:color w:val="auto"/>
        </w:rPr>
        <w:t xml:space="preserve">= </w:t>
      </w:r>
      <w:r w:rsidR="00A045FF">
        <w:rPr>
          <w:b w:val="0"/>
          <w:color w:val="auto"/>
        </w:rPr>
        <w:t xml:space="preserve">49, </w:t>
      </w:r>
      <w:r w:rsidRPr="00256D23">
        <w:rPr>
          <w:b w:val="0"/>
          <w:color w:val="auto"/>
        </w:rPr>
        <w:t>46</w:t>
      </w:r>
      <w:r w:rsidR="00A045FF">
        <w:rPr>
          <w:b w:val="0"/>
          <w:color w:val="auto"/>
        </w:rPr>
        <w:t>;</w:t>
      </w:r>
      <w:r w:rsidRPr="00256D23">
        <w:rPr>
          <w:b w:val="0"/>
          <w:color w:val="auto"/>
        </w:rPr>
        <w:t xml:space="preserve"> No dsRNA n = </w:t>
      </w:r>
      <w:r w:rsidR="00A045FF">
        <w:rPr>
          <w:b w:val="0"/>
          <w:color w:val="auto"/>
        </w:rPr>
        <w:t xml:space="preserve">97, </w:t>
      </w:r>
      <w:r w:rsidRPr="00256D23">
        <w:rPr>
          <w:b w:val="0"/>
          <w:color w:val="auto"/>
        </w:rPr>
        <w:t>98. (d) Survival timecourse</w:t>
      </w:r>
      <w:r w:rsidR="00A045FF">
        <w:rPr>
          <w:b w:val="0"/>
          <w:color w:val="auto"/>
        </w:rPr>
        <w:t>.</w:t>
      </w:r>
      <w:r w:rsidRPr="00256D23">
        <w:rPr>
          <w:b w:val="0"/>
          <w:color w:val="auto"/>
        </w:rPr>
        <w:t xml:space="preserve"> (e) Day 7 survival.</w:t>
      </w:r>
    </w:p>
    <w:p w:rsidR="00013A14" w:rsidRDefault="00013A14" w:rsidP="00256D23">
      <w:pPr>
        <w:spacing w:line="360" w:lineRule="auto"/>
      </w:pPr>
      <w:r>
        <w:lastRenderedPageBreak/>
        <w:t>unmodified dsRNA. By day four, insect mortality was similar for the unmodified and chemically modified dsRNAs.</w:t>
      </w:r>
    </w:p>
    <w:p w:rsidR="00013A14" w:rsidRDefault="00013A14" w:rsidP="00013A14">
      <w:pPr>
        <w:spacing w:line="360" w:lineRule="auto"/>
        <w:ind w:firstLine="284"/>
      </w:pPr>
      <w:r>
        <w:t>In summary the results of the live insect assay demonstrate that the chemically modified dsRNAs were effective at producing RNAi knockdown in stink bug when delivered by injection. As a result of this finding, further experiments were performed to study the RNAi efficacy of a wider range of chemically modified dsRNAs when delivered orally to live insects.</w:t>
      </w:r>
    </w:p>
    <w:p w:rsidR="00013A14" w:rsidRPr="00D73B67" w:rsidRDefault="00013A14" w:rsidP="00013A14">
      <w:pPr>
        <w:spacing w:line="360" w:lineRule="auto"/>
        <w:ind w:firstLine="284"/>
        <w:rPr>
          <w:color w:val="FF0000"/>
        </w:rPr>
      </w:pPr>
    </w:p>
    <w:p w:rsidR="00013A14" w:rsidRDefault="00013A14" w:rsidP="00013A14">
      <w:pPr>
        <w:pStyle w:val="Heading3"/>
        <w:spacing w:before="120" w:after="120" w:line="360" w:lineRule="auto"/>
      </w:pPr>
      <w:bookmarkStart w:id="235" w:name="_Toc15562895"/>
      <w:bookmarkStart w:id="236" w:name="_Toc35334007"/>
      <w:r>
        <w:t>Analysis of RNAi efficacy of orally delivered chemically modified dsRNA in stink bug and WCR</w:t>
      </w:r>
      <w:bookmarkEnd w:id="235"/>
      <w:bookmarkEnd w:id="236"/>
    </w:p>
    <w:p w:rsidR="00013A14" w:rsidRDefault="00013A14" w:rsidP="00013A14">
      <w:pPr>
        <w:pStyle w:val="Heading4"/>
        <w:spacing w:before="120" w:after="120" w:line="360" w:lineRule="auto"/>
        <w:ind w:left="851" w:hanging="864"/>
      </w:pPr>
      <w:bookmarkStart w:id="237" w:name="_Toc15562896"/>
      <w:bookmarkStart w:id="238" w:name="_Toc35334008"/>
      <w:r>
        <w:t>WCR feeding mortality assay overview</w:t>
      </w:r>
      <w:bookmarkEnd w:id="237"/>
      <w:bookmarkEnd w:id="238"/>
    </w:p>
    <w:p w:rsidR="00013A14" w:rsidRDefault="00013A14" w:rsidP="00013A14">
      <w:pPr>
        <w:spacing w:line="360" w:lineRule="auto"/>
        <w:ind w:firstLine="284"/>
      </w:pPr>
      <w:r>
        <w:t>Of the two model insects utilised here, WCR require a lower lethal dose of dsRNA compared to stink bugs, and can be handled in larger numbers due to the small size of their larvae. They are therefore ideal for conducting relatively quick screens of RNAi efficacy of the chemically modified dsRNAs, especially where limited amounts of dsRNA are available.</w:t>
      </w:r>
    </w:p>
    <w:p w:rsidR="00013A14" w:rsidRDefault="00013A14" w:rsidP="00013A14">
      <w:pPr>
        <w:spacing w:line="360" w:lineRule="auto"/>
        <w:ind w:firstLine="284"/>
      </w:pPr>
      <w:r>
        <w:t xml:space="preserve">WCR larvae were fed on an artificial diet with dsRNA applied to the diet as an aqueous solution, in 48 well plates for the duration of the assay. At the end of day zero any initial mortality was scored. Mortality was scored each subsequent </w:t>
      </w:r>
      <w:r w:rsidRPr="00A409D3">
        <w:t>day for seven days</w:t>
      </w:r>
      <w:r>
        <w:t xml:space="preserve"> and normalised to the survival of the first day. For each experiment a number of 48 well plates contained no dsRNA, a number were treated with GFP dsRNA as a negative control, and a number were treated with targeting dsRNA. Half a plate was treated with each combination of dsRNA type and dsRNA concentration, resulting in approximately 48 larvae in 24 wells per condition. </w:t>
      </w:r>
    </w:p>
    <w:p w:rsidR="00013A14" w:rsidRPr="00E638B4" w:rsidRDefault="00013A14" w:rsidP="00013A14">
      <w:pPr>
        <w:spacing w:line="360" w:lineRule="auto"/>
        <w:ind w:firstLine="284"/>
        <w:rPr>
          <w:color w:val="FF0000"/>
        </w:rPr>
      </w:pPr>
    </w:p>
    <w:p w:rsidR="00013A14" w:rsidRDefault="00013A14" w:rsidP="00013A14">
      <w:pPr>
        <w:pStyle w:val="Heading4"/>
        <w:spacing w:before="120" w:after="120" w:line="360" w:lineRule="auto"/>
        <w:ind w:left="851" w:hanging="864"/>
      </w:pPr>
      <w:bookmarkStart w:id="239" w:name="_Toc15562897"/>
      <w:bookmarkStart w:id="240" w:name="_Toc35334009"/>
      <w:r>
        <w:t>WCR dsRNA diet plate feeding assay optimisation</w:t>
      </w:r>
      <w:bookmarkEnd w:id="239"/>
      <w:bookmarkEnd w:id="240"/>
    </w:p>
    <w:p w:rsidR="00013A14" w:rsidRPr="001405FF" w:rsidRDefault="00013A14" w:rsidP="00013A14">
      <w:pPr>
        <w:spacing w:line="360" w:lineRule="auto"/>
        <w:ind w:firstLine="284"/>
      </w:pPr>
      <w:r>
        <w:t xml:space="preserve">Optimisation of the assay was performed using unmodified Target B dsRNA in WCR. 48 well plates contained either unmodified Target B dsRNA, non-targeting GFP dsRNA, or no dsRNA. 24 replicate wells were used for each dsRNA condition, using a range of dsRNA concentrations (0.1, 0.01, 0.001 and 0.0001 µg per well for both Target B and GFP dsRNA), and 48 replicate wells for the no dsRNA condition. WCR larvae were seeded onto the plates and mortality scored daily as described </w:t>
      </w:r>
      <w:r w:rsidRPr="00256D23">
        <w:t xml:space="preserve">above for seven days. </w:t>
      </w:r>
      <w:r w:rsidRPr="001405FF">
        <w:t>Survival figures were normalised to day one survival numbers in order to negate most of the non-RNAi mortality associated with mishandling of corn rootworms during plate seeding. The results are shown in figure 6.1</w:t>
      </w:r>
      <w:r w:rsidR="001405FF" w:rsidRPr="001405FF">
        <w:t xml:space="preserve"> </w:t>
      </w:r>
      <w:r w:rsidRPr="001405FF">
        <w:t xml:space="preserve">c. </w:t>
      </w:r>
    </w:p>
    <w:p w:rsidR="00013A14" w:rsidRPr="001405FF" w:rsidRDefault="00013A14" w:rsidP="00013A14">
      <w:pPr>
        <w:spacing w:line="360" w:lineRule="auto"/>
        <w:ind w:firstLine="284"/>
      </w:pPr>
      <w:r w:rsidRPr="001405FF">
        <w:t>The results show that for Target B dsRNA RNAi-related mortality</w:t>
      </w:r>
      <w:r>
        <w:t xml:space="preserve"> was evident by day three and increased significantly across days four to six, with some further minor mortality on day seven. Using </w:t>
      </w:r>
      <w:r w:rsidRPr="001405FF">
        <w:lastRenderedPageBreak/>
        <w:t>dsRNA in the range of 0.1 to 0.001 µg per well resulted in very similar mortality profiles across the course of the assay, and resulted in final mortality of around 90% or around 10% survival (see figure 6.1</w:t>
      </w:r>
      <w:r w:rsidR="001405FF" w:rsidRPr="001405FF">
        <w:t xml:space="preserve"> </w:t>
      </w:r>
      <w:r w:rsidRPr="001405FF">
        <w:t>c). Addition of 0.0001 µg of dsRNA per well resulted in a significant reduction in mortality, resulting in a final day 7 survival rate of 42%. This suggests that the optimum amount of dsRNA to use in the assay is above 0.0001 µg, as below this concentration insecticidal activity starts to be reduced.</w:t>
      </w:r>
    </w:p>
    <w:p w:rsidR="00013A14" w:rsidRPr="001405FF" w:rsidRDefault="00013A14" w:rsidP="00013A14">
      <w:pPr>
        <w:spacing w:line="360" w:lineRule="auto"/>
        <w:ind w:firstLine="284"/>
      </w:pPr>
    </w:p>
    <w:p w:rsidR="00013A14" w:rsidRPr="001405FF" w:rsidRDefault="00013A14" w:rsidP="00013A14">
      <w:pPr>
        <w:pStyle w:val="ListParagraph"/>
        <w:spacing w:line="360" w:lineRule="auto"/>
        <w:ind w:left="0" w:firstLine="284"/>
      </w:pPr>
      <w:r w:rsidRPr="001405FF">
        <w:t>A factor to consider is the possible toxicity of the chemically modified dsRNA, independent of its RNAi efficacy. The toxicity of PS, 2’F and HMr RNA modifications in WCR were analysed by synthesising non-targeting GFP dsRNA containing these chemical modifications (table 6.3). The results from the diet plate feeding, assay using 0.1 µg of dsRNA per well and performed in duplicate, are shown in figure 6.1 d</w:t>
      </w:r>
      <w:r w:rsidR="001405FF" w:rsidRPr="001405FF">
        <w:t xml:space="preserve"> </w:t>
      </w:r>
      <w:r w:rsidRPr="001405FF">
        <w:t>&amp;</w:t>
      </w:r>
      <w:r w:rsidR="001405FF" w:rsidRPr="001405FF">
        <w:t xml:space="preserve"> </w:t>
      </w:r>
      <w:r w:rsidRPr="001405FF">
        <w:t xml:space="preserve">e. </w:t>
      </w:r>
    </w:p>
    <w:p w:rsidR="00013A14" w:rsidRDefault="00013A14" w:rsidP="00013A14">
      <w:pPr>
        <w:pStyle w:val="ListParagraph"/>
        <w:spacing w:line="360" w:lineRule="auto"/>
        <w:ind w:left="0" w:firstLine="284"/>
      </w:pPr>
    </w:p>
    <w:p w:rsidR="00256D23" w:rsidRPr="00256D23" w:rsidRDefault="00256D23" w:rsidP="00256D23">
      <w:pPr>
        <w:pStyle w:val="Caption"/>
        <w:keepNext/>
        <w:rPr>
          <w:color w:val="auto"/>
        </w:rPr>
      </w:pPr>
      <w:bookmarkStart w:id="241" w:name="_Toc20405273"/>
      <w:r w:rsidRPr="00256D23">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3</w:t>
      </w:r>
      <w:r w:rsidR="005C0E76">
        <w:rPr>
          <w:color w:val="auto"/>
        </w:rPr>
        <w:fldChar w:fldCharType="end"/>
      </w:r>
      <w:r w:rsidRPr="00256D23">
        <w:rPr>
          <w:color w:val="auto"/>
        </w:rPr>
        <w:t xml:space="preserve"> The list of unmodified and chemically modified dsRNAs used in the WCR diet feeding assay shown in figure 6.1 d &amp; e.</w:t>
      </w:r>
      <w:bookmarkEnd w:id="241"/>
    </w:p>
    <w:tbl>
      <w:tblPr>
        <w:tblStyle w:val="TableGrid"/>
        <w:tblW w:w="0" w:type="auto"/>
        <w:jc w:val="center"/>
        <w:tblLook w:val="04A0"/>
      </w:tblPr>
      <w:tblGrid>
        <w:gridCol w:w="2116"/>
        <w:gridCol w:w="2375"/>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375" w:type="dxa"/>
          </w:tcPr>
          <w:p w:rsidR="00013A14" w:rsidRDefault="00013A14" w:rsidP="00256D23">
            <w:pPr>
              <w:jc w:val="center"/>
              <w:rPr>
                <w:b/>
              </w:rPr>
            </w:pPr>
            <w:r>
              <w:rPr>
                <w:b/>
              </w:rPr>
              <w:t xml:space="preserve">Modification </w:t>
            </w:r>
          </w:p>
          <w:p w:rsidR="00013A14" w:rsidRPr="00CC2847" w:rsidRDefault="00013A14" w:rsidP="00256D23">
            <w:pPr>
              <w:jc w:val="center"/>
              <w:rPr>
                <w:b/>
              </w:rPr>
            </w:pPr>
            <w:r>
              <w:rPr>
                <w:b/>
              </w:rPr>
              <w:t>(guide-passenger)</w:t>
            </w:r>
          </w:p>
        </w:tc>
      </w:tr>
      <w:tr w:rsidR="00013A14" w:rsidRPr="00CC2847" w:rsidTr="00256D23">
        <w:trPr>
          <w:jc w:val="center"/>
        </w:trPr>
        <w:tc>
          <w:tcPr>
            <w:tcW w:w="2116" w:type="dxa"/>
          </w:tcPr>
          <w:p w:rsidR="00013A14" w:rsidRDefault="00013A14" w:rsidP="00256D23">
            <w:pPr>
              <w:jc w:val="center"/>
            </w:pPr>
            <w:r>
              <w:t>Target B</w:t>
            </w:r>
          </w:p>
        </w:tc>
        <w:tc>
          <w:tcPr>
            <w:tcW w:w="2375" w:type="dxa"/>
          </w:tcPr>
          <w:p w:rsidR="00013A14" w:rsidRDefault="00013A14" w:rsidP="00256D23">
            <w:pPr>
              <w:jc w:val="center"/>
            </w:pPr>
            <w:r>
              <w:t>Unmod</w:t>
            </w:r>
          </w:p>
        </w:tc>
      </w:tr>
      <w:tr w:rsidR="00013A14" w:rsidRPr="00CC2847" w:rsidTr="00256D23">
        <w:trPr>
          <w:jc w:val="center"/>
        </w:trPr>
        <w:tc>
          <w:tcPr>
            <w:tcW w:w="2116" w:type="dxa"/>
            <w:vMerge w:val="restart"/>
          </w:tcPr>
          <w:p w:rsidR="00013A14" w:rsidRPr="00CC2847" w:rsidRDefault="00013A14" w:rsidP="00256D23">
            <w:pPr>
              <w:jc w:val="center"/>
            </w:pPr>
            <w:r>
              <w:t>GFP</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2PS-2PS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 2’F-2 2’F</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1HMr-1HMr</w:t>
            </w:r>
          </w:p>
        </w:tc>
      </w:tr>
      <w:tr w:rsidR="00013A14" w:rsidRPr="00CC2847" w:rsidTr="00256D23">
        <w:trPr>
          <w:jc w:val="center"/>
        </w:trPr>
        <w:tc>
          <w:tcPr>
            <w:tcW w:w="2116" w:type="dxa"/>
          </w:tcPr>
          <w:p w:rsidR="00013A14" w:rsidRDefault="00013A14" w:rsidP="00256D23">
            <w:pPr>
              <w:jc w:val="center"/>
            </w:pPr>
            <w:r>
              <w:t>No dsRNA</w:t>
            </w:r>
          </w:p>
        </w:tc>
        <w:tc>
          <w:tcPr>
            <w:tcW w:w="2375" w:type="dxa"/>
          </w:tcPr>
          <w:p w:rsidR="00013A14" w:rsidRDefault="00013A14" w:rsidP="00256D23">
            <w:pPr>
              <w:jc w:val="center"/>
            </w:pPr>
            <w:r>
              <w:t>N/A</w:t>
            </w:r>
          </w:p>
        </w:tc>
      </w:tr>
    </w:tbl>
    <w:p w:rsidR="00013A14" w:rsidRDefault="00013A14" w:rsidP="00013A14">
      <w:pPr>
        <w:pStyle w:val="ListParagraph"/>
        <w:ind w:left="0" w:firstLine="284"/>
      </w:pPr>
    </w:p>
    <w:p w:rsidR="00013A14" w:rsidRPr="001405FF" w:rsidRDefault="00013A14" w:rsidP="00013A14">
      <w:pPr>
        <w:pStyle w:val="ListParagraph"/>
        <w:spacing w:line="360" w:lineRule="auto"/>
        <w:ind w:left="0" w:firstLine="284"/>
      </w:pPr>
      <w:r>
        <w:t xml:space="preserve">The results show there was no statistically significant difference in insect mortality comparing the chemically modified GFP to unmodified GFP dsRNA or control larvae without dsRNA. In contrast, analysis of Target B dsRNA demonstrated high levels of insecticidal activity. The results indicate that the chemical modifications present in the dsRNAs used in this experiment are not toxic to the insects and result in no significant increase in mortality above the mortality for unmodified non-targeting dsRNA. These </w:t>
      </w:r>
      <w:r w:rsidRPr="001405FF">
        <w:t xml:space="preserve">results are consistent with the previous RNAi experiments in </w:t>
      </w:r>
      <w:r w:rsidRPr="001405FF">
        <w:rPr>
          <w:i/>
        </w:rPr>
        <w:t>Drosophila</w:t>
      </w:r>
      <w:r w:rsidRPr="001405FF">
        <w:t xml:space="preserve"> Kc167 cell culture (see </w:t>
      </w:r>
      <w:r w:rsidR="001405FF" w:rsidRPr="001405FF">
        <w:t>section 5.3.6</w:t>
      </w:r>
      <w:r w:rsidRPr="001405FF">
        <w:t>).</w:t>
      </w:r>
    </w:p>
    <w:p w:rsidR="00013A14" w:rsidRDefault="00013A14" w:rsidP="00013A14">
      <w:pPr>
        <w:spacing w:line="360" w:lineRule="auto"/>
        <w:ind w:firstLine="284"/>
      </w:pPr>
    </w:p>
    <w:p w:rsidR="00013A14" w:rsidRDefault="00013A14" w:rsidP="00013A14">
      <w:pPr>
        <w:pStyle w:val="Heading4"/>
        <w:spacing w:before="120" w:after="120" w:line="360" w:lineRule="auto"/>
        <w:ind w:left="851" w:hanging="864"/>
      </w:pPr>
      <w:bookmarkStart w:id="242" w:name="_Toc15562898"/>
      <w:bookmarkStart w:id="243" w:name="_Toc35334010"/>
      <w:r>
        <w:t>RNAi efficacy of chemically modified dsRNA using a WCR diet plate feeding assay</w:t>
      </w:r>
      <w:bookmarkEnd w:id="242"/>
      <w:bookmarkEnd w:id="243"/>
      <w:r>
        <w:t xml:space="preserve"> </w:t>
      </w:r>
    </w:p>
    <w:p w:rsidR="00013A14" w:rsidRDefault="00013A14" w:rsidP="00013A14">
      <w:pPr>
        <w:spacing w:line="360" w:lineRule="auto"/>
        <w:ind w:firstLine="284"/>
      </w:pPr>
      <w:r w:rsidRPr="0025736D">
        <w:t xml:space="preserve">Following optimisation of the WCR dsRNA diet plate feeding assay using unmodified dsRNA, a range of chemically modified </w:t>
      </w:r>
      <w:r>
        <w:t xml:space="preserve">Target B </w:t>
      </w:r>
      <w:r w:rsidRPr="001405FF">
        <w:t>dsRNAs (</w:t>
      </w:r>
      <w:r w:rsidR="001405FF">
        <w:t>see t</w:t>
      </w:r>
      <w:r w:rsidRPr="001405FF">
        <w:t>able 6.4)</w:t>
      </w:r>
      <w:r w:rsidRPr="0025736D">
        <w:t xml:space="preserve"> were used in the mortality assays and compared to unmodified dsRNA</w:t>
      </w:r>
      <w:r>
        <w:t xml:space="preserve">. </w:t>
      </w:r>
    </w:p>
    <w:p w:rsidR="00013A14" w:rsidRDefault="00013A14" w:rsidP="00013A14">
      <w:pPr>
        <w:spacing w:line="360" w:lineRule="auto"/>
        <w:ind w:firstLine="284"/>
      </w:pPr>
    </w:p>
    <w:p w:rsidR="005A0466" w:rsidRPr="005A0466" w:rsidRDefault="005A0466" w:rsidP="005A0466">
      <w:pPr>
        <w:pStyle w:val="Caption"/>
        <w:keepNext/>
        <w:rPr>
          <w:color w:val="auto"/>
        </w:rPr>
      </w:pPr>
      <w:bookmarkStart w:id="244" w:name="_Toc20405274"/>
      <w:r w:rsidRPr="005A0466">
        <w:rPr>
          <w:color w:val="auto"/>
        </w:rPr>
        <w:lastRenderedPageBreak/>
        <w:t xml:space="preserve">Table </w:t>
      </w:r>
      <w:r w:rsidR="005C0E76">
        <w:rPr>
          <w:color w:val="auto"/>
        </w:rPr>
        <w:fldChar w:fldCharType="begin"/>
      </w:r>
      <w:r>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Pr>
          <w:color w:val="auto"/>
        </w:rPr>
        <w:t>.</w:t>
      </w:r>
      <w:r w:rsidR="005C0E76">
        <w:rPr>
          <w:color w:val="auto"/>
        </w:rPr>
        <w:fldChar w:fldCharType="begin"/>
      </w:r>
      <w:r>
        <w:rPr>
          <w:color w:val="auto"/>
        </w:rPr>
        <w:instrText xml:space="preserve"> SEQ Table \* ARABIC \s 1 </w:instrText>
      </w:r>
      <w:r w:rsidR="005C0E76">
        <w:rPr>
          <w:color w:val="auto"/>
        </w:rPr>
        <w:fldChar w:fldCharType="separate"/>
      </w:r>
      <w:r w:rsidR="008F594A">
        <w:rPr>
          <w:noProof/>
          <w:color w:val="auto"/>
        </w:rPr>
        <w:t>4</w:t>
      </w:r>
      <w:r w:rsidR="005C0E76">
        <w:rPr>
          <w:color w:val="auto"/>
        </w:rPr>
        <w:fldChar w:fldCharType="end"/>
      </w:r>
      <w:r w:rsidRPr="005A0466">
        <w:rPr>
          <w:color w:val="auto"/>
        </w:rPr>
        <w:t xml:space="preserve"> The list of unmodified and chemically modified dsRNAs used in the WCR diet feeding assay shown in figures 6.2 &amp; 6.3.</w:t>
      </w:r>
      <w:bookmarkEnd w:id="244"/>
    </w:p>
    <w:tbl>
      <w:tblPr>
        <w:tblStyle w:val="TableGrid"/>
        <w:tblW w:w="0" w:type="auto"/>
        <w:jc w:val="center"/>
        <w:tblLook w:val="04A0"/>
      </w:tblPr>
      <w:tblGrid>
        <w:gridCol w:w="2116"/>
        <w:gridCol w:w="2375"/>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375" w:type="dxa"/>
          </w:tcPr>
          <w:p w:rsidR="00013A14" w:rsidRDefault="00013A14" w:rsidP="00256D23">
            <w:pPr>
              <w:jc w:val="center"/>
              <w:rPr>
                <w:b/>
              </w:rPr>
            </w:pPr>
            <w:r>
              <w:rPr>
                <w:b/>
              </w:rPr>
              <w:t xml:space="preserve">Modification </w:t>
            </w:r>
          </w:p>
          <w:p w:rsidR="00013A14" w:rsidRPr="00CC2847" w:rsidRDefault="00013A14" w:rsidP="00256D23">
            <w:pPr>
              <w:jc w:val="center"/>
              <w:rPr>
                <w:b/>
              </w:rPr>
            </w:pPr>
            <w:r>
              <w:rPr>
                <w:b/>
              </w:rPr>
              <w:t>(guide-passenger)</w:t>
            </w:r>
          </w:p>
        </w:tc>
      </w:tr>
      <w:tr w:rsidR="00013A14" w:rsidRPr="00CC2847" w:rsidTr="00256D23">
        <w:trPr>
          <w:jc w:val="center"/>
        </w:trPr>
        <w:tc>
          <w:tcPr>
            <w:tcW w:w="2116" w:type="dxa"/>
            <w:vMerge w:val="restart"/>
          </w:tcPr>
          <w:p w:rsidR="00013A14" w:rsidRPr="00CC2847" w:rsidRDefault="00013A14" w:rsidP="00256D23">
            <w:pPr>
              <w:jc w:val="center"/>
            </w:pPr>
            <w:r>
              <w:t>Target B</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1HMr-1HMr</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Un-2PS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2PS-Un</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2PS-2PS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Un-2 2’F</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 2’F-Un</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 2’F-2 2’F</w:t>
            </w:r>
          </w:p>
        </w:tc>
      </w:tr>
      <w:tr w:rsidR="00013A14" w:rsidRPr="00CC2847" w:rsidTr="00256D23">
        <w:trPr>
          <w:jc w:val="center"/>
        </w:trPr>
        <w:tc>
          <w:tcPr>
            <w:tcW w:w="2116" w:type="dxa"/>
          </w:tcPr>
          <w:p w:rsidR="00013A14" w:rsidRDefault="00013A14" w:rsidP="00256D23">
            <w:pPr>
              <w:jc w:val="center"/>
            </w:pPr>
            <w:r>
              <w:t>GFP</w:t>
            </w:r>
          </w:p>
        </w:tc>
        <w:tc>
          <w:tcPr>
            <w:tcW w:w="2375" w:type="dxa"/>
          </w:tcPr>
          <w:p w:rsidR="00013A14" w:rsidRDefault="00013A14" w:rsidP="00256D23">
            <w:pPr>
              <w:jc w:val="center"/>
            </w:pPr>
            <w:r>
              <w:t>Unmod</w:t>
            </w:r>
          </w:p>
        </w:tc>
      </w:tr>
      <w:tr w:rsidR="00013A14" w:rsidRPr="00CC2847" w:rsidTr="00256D23">
        <w:trPr>
          <w:jc w:val="center"/>
        </w:trPr>
        <w:tc>
          <w:tcPr>
            <w:tcW w:w="2116" w:type="dxa"/>
          </w:tcPr>
          <w:p w:rsidR="00013A14" w:rsidRDefault="00013A14" w:rsidP="00256D23">
            <w:pPr>
              <w:jc w:val="center"/>
            </w:pPr>
            <w:r>
              <w:t>No dsRNA</w:t>
            </w:r>
          </w:p>
        </w:tc>
        <w:tc>
          <w:tcPr>
            <w:tcW w:w="2375" w:type="dxa"/>
          </w:tcPr>
          <w:p w:rsidR="00013A14" w:rsidRDefault="00013A14" w:rsidP="00256D23">
            <w:pPr>
              <w:jc w:val="center"/>
            </w:pPr>
            <w:r>
              <w:t>N/A</w:t>
            </w:r>
          </w:p>
        </w:tc>
      </w:tr>
    </w:tbl>
    <w:p w:rsidR="00013A14" w:rsidRDefault="00013A14" w:rsidP="00013A14">
      <w:pPr>
        <w:ind w:firstLine="284"/>
      </w:pPr>
    </w:p>
    <w:p w:rsidR="00013A14" w:rsidRDefault="00013A14" w:rsidP="00013A14">
      <w:pPr>
        <w:ind w:firstLine="284"/>
      </w:pPr>
    </w:p>
    <w:p w:rsidR="00013A14" w:rsidRPr="001405FF" w:rsidRDefault="00013A14" w:rsidP="00013A14">
      <w:pPr>
        <w:spacing w:line="360" w:lineRule="auto"/>
        <w:ind w:firstLine="284"/>
      </w:pPr>
      <w:r>
        <w:t xml:space="preserve">dsRNA concentrations of 1 and 0.01 µg per well were used, with half of a 48 well plate dedicated per </w:t>
      </w:r>
      <w:r w:rsidRPr="001405FF">
        <w:t xml:space="preserve">concentration for each dsRNA as in the optimisation assay. These concentrations are both above the minimum dsRNA concentration for the assay that results in maximum mortality, as determined in the optimisation assay (figure 6.1 c). These concentrations were selected in order to ascertain which chemically modified dsRNAs had similar or different activity to unmodified dsRNAs. Non-targeting GFP dsRNA at a concentration of 1 µg per well was used as a control, along with wells with no dsRNA. WCR larvae were seeded onto the plates and mortality scored daily for seven days as described previously. Survival figures were normalised to day one survival numbers as before in order to negate most of the non-RNAi mortality associated with mishandling of rootworms during plate seeding, and the results are shown in figures 6.2. </w:t>
      </w:r>
    </w:p>
    <w:p w:rsidR="00013A14" w:rsidRPr="001405FF" w:rsidRDefault="00013A14" w:rsidP="00013A14">
      <w:pPr>
        <w:spacing w:line="360" w:lineRule="auto"/>
        <w:ind w:firstLine="284"/>
      </w:pPr>
      <w:r w:rsidRPr="001405FF">
        <w:t>Insect mortality across the seven day scoring period was consistent with the optimisation assay, with the majority of RNAi-associated mortality occurring between days 3 and 6. A summary of final day 7 survival percentages for insects fed on the different chemically modified dsRNAs are shown in figures 6.3.</w:t>
      </w:r>
    </w:p>
    <w:p w:rsidR="00013A14" w:rsidRPr="001405FF" w:rsidRDefault="00013A14" w:rsidP="00013A14">
      <w:pPr>
        <w:spacing w:line="360" w:lineRule="auto"/>
        <w:ind w:firstLine="284"/>
      </w:pPr>
      <w:r w:rsidRPr="001405FF">
        <w:t>The results for 5-hydroxymethyl (HMr) modified dsRNA are shown in figure 6.2</w:t>
      </w:r>
      <w:r w:rsidR="001405FF">
        <w:t xml:space="preserve"> </w:t>
      </w:r>
      <w:r w:rsidRPr="001405FF">
        <w:t xml:space="preserve">a as full survival curves. A summary of the final percentage survival is shown in figure 6.3.  The results demonstrate that the presence of 5-hydroxymethyl (HMr) modifications in the dsRNA did not affect RNAi efficacy as measured by insect mortality, as the final percentage survival of HMr dsRNA treated insects was similar to those of unmodified dsRNA at the two concentrations tested (figure 6.3). </w:t>
      </w:r>
    </w:p>
    <w:p w:rsidR="00013A14" w:rsidRPr="001405FF" w:rsidRDefault="00013A14" w:rsidP="00013A14">
      <w:pPr>
        <w:spacing w:line="360" w:lineRule="auto"/>
        <w:ind w:firstLine="284"/>
      </w:pPr>
    </w:p>
    <w:p w:rsidR="00013A14" w:rsidRPr="001405FF" w:rsidRDefault="00013A14" w:rsidP="00013A14">
      <w:pPr>
        <w:spacing w:line="360" w:lineRule="auto"/>
        <w:ind w:firstLine="284"/>
      </w:pPr>
      <w:r w:rsidRPr="001405FF">
        <w:t>The results for the feeding assay using dsRNA with PS and 2’F modifications are shown in figures 6.2 b-d and 6.2 e-g respectively as survival curves, and are again summarised as final percentage survival in figure 6.3. These results demonstrate clear differences</w:t>
      </w:r>
      <w:r>
        <w:t xml:space="preserve"> in survival profile and final </w:t>
      </w:r>
      <w:r>
        <w:lastRenderedPageBreak/>
        <w:t xml:space="preserve">percentage survival </w:t>
      </w:r>
      <w:r w:rsidRPr="001405FF">
        <w:t>compared to the unmodified dsRNA. Moreover, differences in RNAi efficacy as measured by insect mortality were evident depending on whether the modifications were present in the guide (sense) or passenger (antisense) strand.</w:t>
      </w:r>
    </w:p>
    <w:p w:rsidR="00013A14" w:rsidRPr="001405FF" w:rsidRDefault="00013A14" w:rsidP="00013A14">
      <w:pPr>
        <w:spacing w:line="360" w:lineRule="auto"/>
        <w:ind w:firstLine="284"/>
      </w:pPr>
    </w:p>
    <w:p w:rsidR="00013A14" w:rsidRPr="001405FF" w:rsidRDefault="00013A14" w:rsidP="00013A14">
      <w:pPr>
        <w:spacing w:line="360" w:lineRule="auto"/>
        <w:ind w:firstLine="284"/>
      </w:pPr>
      <w:r w:rsidRPr="001405FF">
        <w:t xml:space="preserve">Feeding of the dsRNA with PS modifications present only in the passenger strand (Target B Un-2PS) resulted in a similar survival profile (figures 6.2 b) and final percentage survival (figure 6.3) to unmodified dsRNA at both of the concentrations tested. These results show that dsRNA with PS modifications in the passenger strand is effective at inducing RNAi knockdown. The results for insects fed dsRNA with PS modifications present only in the guide strand (Target B 2PS-Un) are shown in figure 6.2 c. 2PS-Un dsRNA showed no clear difference from the unmodified dsRNA at the higher concentration of 1 µg per well as measured by final percentage survival (see figures 6.3). However, the results did show a marked reduction in RNAi efficacy at the lower concentration of 0.01 µg per well compared to either the unmodified or sense strand modified dsRNA. This observation is in agreement with observations in mammalian systems, where chemical modifications are often better tolerated in the passenger strand than in the guide strand </w:t>
      </w:r>
      <w:r w:rsidR="005C0E76" w:rsidRPr="001405FF">
        <w:fldChar w:fldCharType="begin" w:fldLock="1"/>
      </w:r>
      <w:r w:rsidR="00C57A7E" w:rsidRPr="001405FF">
        <w:instrText>ADDIN CSL_CITATION {"citationItems":[{"id":"ITEM-1","itemData":{"DOI":"10.1039/b920362c","ISSN":"0306-0012","PMID":"20717561","abstract":"Since the first unequivocal description of RNA interference (RNAi) in 1998, it has remained one of the hottest topics under investigation, culminating in the award of a Nobel Prize to its discoverers in 2006. Excitement over this technique derives from the ease with which it can be used to switch-off a specific gene in almost any organism, thereby allowing the role of that gene to be identified. More importantly, it offers the potential to treat certain diseases by switching-off the causative genes. Key to the RNAi pathway are the small-interfering RNAs (siRNAs), which at 21-23 nucleotides in length are very amenable to analogue development by chemists. However in comparison to the use of oligonucleotides as antisense agents, an area where many chemists first developed an interest in nucleic acids, the RNAi pathway is exceedingly complex. The literature is also complicated by the fact that the phenomenon has been studied in a wide range of organisms. In this tutorial review we have presented the subject from a more chemical perspective, incorporating a glossary to give a clear explanation of the specialist terms. However, the coverage of the biology remains sufficiently detailed to give the reader the necessary insight that we believe will be essential for the successful design of chemically modified siRNA.","author":[{"dropping-particle":"","family":"Gaynor","given":"James W.","non-dropping-particle":"","parse-names":false,"suffix":""},{"dropping-particle":"","family":"Campbell","given":"Barry J.","non-dropping-particle":"","parse-names":false,"suffix":""},{"dropping-particle":"","family":"Cosstick","given":"Richard","non-dropping-particle":"","parse-names":false,"suffix":""}],"container-title":"Chemical Society Reviews","id":"ITEM-1","issue":"11","issued":{"date-parts":[["2010","11"]]},"page":"4169","title":"RNA interference: a chemist's perspective","type":"article-journal","volume":"39"},"uris":["http://www.mendeley.com/documents/?uuid=c5f091f3-dc89-3bd6-a347-04440a09f1d6"]}],"mendeley":{"formattedCitation":"(Gaynor, Campbell and Cosstick, 2010)","plainTextFormattedCitation":"(Gaynor, Campbell and Cosstick, 2010)","previouslyFormattedCitation":"(Gaynor, Campbell and Cosstick, 2010)"},"properties":{"noteIndex":0},"schema":"https://github.com/citation-style-language/schema/raw/master/csl-citation.json"}</w:instrText>
      </w:r>
      <w:r w:rsidR="005C0E76" w:rsidRPr="001405FF">
        <w:fldChar w:fldCharType="separate"/>
      </w:r>
      <w:r w:rsidRPr="001405FF">
        <w:rPr>
          <w:noProof/>
        </w:rPr>
        <w:t>(Gaynor, Campbell and Cosstick, 2010)</w:t>
      </w:r>
      <w:r w:rsidR="005C0E76" w:rsidRPr="001405FF">
        <w:fldChar w:fldCharType="end"/>
      </w:r>
      <w:r w:rsidR="001405FF">
        <w:t>.</w:t>
      </w:r>
      <w:r w:rsidRPr="001405FF">
        <w:t xml:space="preserve"> </w:t>
      </w:r>
    </w:p>
    <w:p w:rsidR="00013A14" w:rsidRPr="001405FF" w:rsidRDefault="00013A14" w:rsidP="00013A14">
      <w:pPr>
        <w:spacing w:line="360" w:lineRule="auto"/>
        <w:ind w:firstLine="284"/>
      </w:pPr>
      <w:r w:rsidRPr="001405FF">
        <w:t xml:space="preserve">The results for insects fed dsRNA with PS modifications in both strands (Target B 2PS-2PS) are shown in figures 6.2 d. and demonstrate that the presence of PS modifications in both strands further reduces the RNAi efficacy of the dsRNA, resulting in insect survival of approximately 35% and 75% for 1 and 0.01 µg of dsRNA per well respectively. </w:t>
      </w:r>
    </w:p>
    <w:p w:rsidR="00013A14" w:rsidRPr="001405FF" w:rsidRDefault="00013A14" w:rsidP="00013A14">
      <w:pPr>
        <w:spacing w:line="360" w:lineRule="auto"/>
        <w:ind w:firstLine="284"/>
      </w:pPr>
      <w:r w:rsidRPr="001405FF">
        <w:t>Therefore these results highlight differences in the RNAi efficacy of the dsRNA depending on the different combination of PS modifications in dsRNA used in the insect feeding assay in WCR.</w:t>
      </w:r>
    </w:p>
    <w:p w:rsidR="00013A14" w:rsidRPr="001405FF" w:rsidRDefault="00013A14" w:rsidP="00013A14">
      <w:pPr>
        <w:spacing w:line="360" w:lineRule="auto"/>
        <w:ind w:firstLine="284"/>
      </w:pPr>
    </w:p>
    <w:p w:rsidR="00013A14" w:rsidRPr="001405FF" w:rsidRDefault="00013A14" w:rsidP="00013A14">
      <w:pPr>
        <w:spacing w:line="360" w:lineRule="auto"/>
        <w:ind w:firstLine="284"/>
      </w:pPr>
      <w:r w:rsidRPr="001405FF">
        <w:t>The analysis of the dsRNA containing 2’F modifications is shown in figure 6.2 e-g, with results presented as survival curves. The final percentage survival data is summarised in figure 6.3.  The results for dsRNA with 2’F modifications in both strands (Target B 2 2’F-2 2’F) show a similar trend to those observed for dsRNA with PS modifications in both strands. Target B 2 2’F-2 2’F dsRNA resulted in a significant loss of RNAi efficacy compared to either unmodified dsRNA or dsRNA with 2’F modifications in only one strand alone, at both concentrations (see figures 6.3).</w:t>
      </w:r>
    </w:p>
    <w:p w:rsidR="00D00AAE" w:rsidRPr="001405FF" w:rsidRDefault="00013A14" w:rsidP="00013A14">
      <w:pPr>
        <w:spacing w:line="360" w:lineRule="auto"/>
        <w:ind w:firstLine="284"/>
      </w:pPr>
      <w:r w:rsidRPr="001405FF">
        <w:t xml:space="preserve">The results show that insect mortality resulting from the higher dsRNA concentration of 1 µg per well was similar for dsRNA with modifications in just one strand (Target B Un-2 2’F, Target B 2 2’F-Un) and both of these modified dsRNAs showed similar RNAi efficacy to unmodified dsRNA at this concentration as measured by final percentage survival (see figures 6.3). </w:t>
      </w:r>
    </w:p>
    <w:p w:rsidR="00D00AAE" w:rsidRDefault="00D00AAE" w:rsidP="00D00AAE">
      <w:pPr>
        <w:keepNext/>
        <w:spacing w:after="200"/>
        <w:jc w:val="left"/>
      </w:pPr>
      <w:r w:rsidRPr="00D00AAE">
        <w:rPr>
          <w:noProof/>
          <w:lang w:eastAsia="en-GB"/>
        </w:rPr>
        <w:lastRenderedPageBreak/>
        <w:drawing>
          <wp:inline distT="0" distB="0" distL="0" distR="0">
            <wp:extent cx="5731510" cy="6299762"/>
            <wp:effectExtent l="0" t="0" r="2540" b="0"/>
            <wp:docPr id="54" name="Object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58200" cy="9296400"/>
                      <a:chOff x="685800" y="609600"/>
                      <a:chExt cx="8458200" cy="9296400"/>
                    </a:xfrm>
                  </a:grpSpPr>
                  <a:pic>
                    <a:nvPicPr>
                      <a:cNvPr id="15367" name="Picture 7"/>
                      <a:cNvPicPr>
                        <a:picLocks noChangeAspect="1" noChangeArrowheads="1"/>
                      </a:cNvPicPr>
                    </a:nvPicPr>
                    <a:blipFill>
                      <a:blip r:embed="rId62" cstate="print"/>
                      <a:srcRect/>
                      <a:stretch>
                        <a:fillRect/>
                      </a:stretch>
                    </a:blipFill>
                    <a:spPr bwMode="auto">
                      <a:xfrm>
                        <a:off x="838200" y="3636645"/>
                        <a:ext cx="2971800" cy="2907792"/>
                      </a:xfrm>
                      <a:prstGeom prst="rect">
                        <a:avLst/>
                      </a:prstGeom>
                      <a:noFill/>
                      <a:ln w="9525">
                        <a:noFill/>
                        <a:miter lim="800000"/>
                        <a:headEnd/>
                        <a:tailEnd/>
                      </a:ln>
                    </a:spPr>
                  </a:pic>
                  <a:pic>
                    <a:nvPicPr>
                      <a:cNvPr id="7" name="Picture 8"/>
                      <a:cNvPicPr>
                        <a:picLocks noChangeAspect="1" noChangeArrowheads="1"/>
                      </a:cNvPicPr>
                    </a:nvPicPr>
                    <a:blipFill>
                      <a:blip r:embed="rId63" cstate="print"/>
                      <a:srcRect/>
                      <a:stretch>
                        <a:fillRect/>
                      </a:stretch>
                    </a:blipFill>
                    <a:spPr bwMode="auto">
                      <a:xfrm>
                        <a:off x="3543300" y="3638169"/>
                        <a:ext cx="2971800" cy="2904744"/>
                      </a:xfrm>
                      <a:prstGeom prst="rect">
                        <a:avLst/>
                      </a:prstGeom>
                      <a:noFill/>
                      <a:ln w="9525">
                        <a:noFill/>
                        <a:miter lim="800000"/>
                        <a:headEnd/>
                        <a:tailEnd/>
                      </a:ln>
                    </a:spPr>
                  </a:pic>
                  <a:pic>
                    <a:nvPicPr>
                      <a:cNvPr id="15369" name="Picture 9"/>
                      <a:cNvPicPr>
                        <a:picLocks noChangeAspect="1" noChangeArrowheads="1"/>
                      </a:cNvPicPr>
                    </a:nvPicPr>
                    <a:blipFill>
                      <a:blip r:embed="rId64" cstate="print"/>
                      <a:srcRect/>
                      <a:stretch>
                        <a:fillRect/>
                      </a:stretch>
                    </a:blipFill>
                    <a:spPr bwMode="auto">
                      <a:xfrm>
                        <a:off x="6172200" y="3636645"/>
                        <a:ext cx="2971800" cy="2907792"/>
                      </a:xfrm>
                      <a:prstGeom prst="rect">
                        <a:avLst/>
                      </a:prstGeom>
                      <a:noFill/>
                      <a:ln w="9525">
                        <a:noFill/>
                        <a:miter lim="800000"/>
                        <a:headEnd/>
                        <a:tailEnd/>
                      </a:ln>
                    </a:spPr>
                  </a:pic>
                  <a:sp>
                    <a:nvSpPr>
                      <a:cNvPr id="8" name="TextBox 7"/>
                      <a:cNvSpPr txBox="1"/>
                    </a:nvSpPr>
                    <a:spPr>
                      <a:xfrm>
                        <a:off x="838200" y="3446145"/>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0" name="TextBox 9"/>
                      <a:cNvSpPr txBox="1"/>
                    </a:nvSpPr>
                    <a:spPr>
                      <a:xfrm>
                        <a:off x="3581400" y="3446145"/>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1" name="TextBox 10"/>
                      <a:cNvSpPr txBox="1"/>
                    </a:nvSpPr>
                    <a:spPr>
                      <a:xfrm>
                        <a:off x="6172200" y="3446145"/>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pic>
                    <a:nvPicPr>
                      <a:cNvPr id="13" name="Picture 2"/>
                      <a:cNvPicPr>
                        <a:picLocks noChangeAspect="1" noChangeArrowheads="1"/>
                      </a:cNvPicPr>
                    </a:nvPicPr>
                    <a:blipFill>
                      <a:blip r:embed="rId65" cstate="print"/>
                      <a:srcRect/>
                      <a:stretch>
                        <a:fillRect/>
                      </a:stretch>
                    </a:blipFill>
                    <a:spPr bwMode="auto">
                      <a:xfrm>
                        <a:off x="838200" y="7001256"/>
                        <a:ext cx="2971800" cy="2904744"/>
                      </a:xfrm>
                      <a:prstGeom prst="rect">
                        <a:avLst/>
                      </a:prstGeom>
                      <a:noFill/>
                      <a:ln w="9525">
                        <a:noFill/>
                        <a:miter lim="800000"/>
                        <a:headEnd/>
                        <a:tailEnd/>
                      </a:ln>
                    </a:spPr>
                  </a:pic>
                  <a:pic>
                    <a:nvPicPr>
                      <a:cNvPr id="14" name="Picture 13"/>
                      <a:cNvPicPr>
                        <a:picLocks noChangeAspect="1" noChangeArrowheads="1"/>
                      </a:cNvPicPr>
                    </a:nvPicPr>
                    <a:blipFill>
                      <a:blip r:embed="rId66" cstate="print"/>
                      <a:srcRect/>
                      <a:stretch>
                        <a:fillRect/>
                      </a:stretch>
                    </a:blipFill>
                    <a:spPr bwMode="auto">
                      <a:xfrm>
                        <a:off x="3543300" y="7001256"/>
                        <a:ext cx="2971800" cy="2904744"/>
                      </a:xfrm>
                      <a:prstGeom prst="rect">
                        <a:avLst/>
                      </a:prstGeom>
                      <a:noFill/>
                      <a:ln w="9525">
                        <a:noFill/>
                        <a:miter lim="800000"/>
                        <a:headEnd/>
                        <a:tailEnd/>
                      </a:ln>
                    </a:spPr>
                  </a:pic>
                  <a:pic>
                    <a:nvPicPr>
                      <a:cNvPr id="15" name="Picture 14"/>
                      <a:cNvPicPr>
                        <a:picLocks noChangeAspect="1" noChangeArrowheads="1"/>
                      </a:cNvPicPr>
                    </a:nvPicPr>
                    <a:blipFill>
                      <a:blip r:embed="rId67" cstate="print"/>
                      <a:srcRect/>
                      <a:stretch>
                        <a:fillRect/>
                      </a:stretch>
                    </a:blipFill>
                    <a:spPr bwMode="auto">
                      <a:xfrm>
                        <a:off x="6172200" y="7001256"/>
                        <a:ext cx="2971800" cy="2904744"/>
                      </a:xfrm>
                      <a:prstGeom prst="rect">
                        <a:avLst/>
                      </a:prstGeom>
                      <a:noFill/>
                      <a:ln w="9525">
                        <a:noFill/>
                        <a:miter lim="800000"/>
                        <a:headEnd/>
                        <a:tailEnd/>
                      </a:ln>
                    </a:spPr>
                  </a:pic>
                  <a:sp>
                    <a:nvSpPr>
                      <a:cNvPr id="17" name="TextBox 16"/>
                      <a:cNvSpPr txBox="1"/>
                    </a:nvSpPr>
                    <a:spPr>
                      <a:xfrm>
                        <a:off x="838200" y="6772656"/>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e</a:t>
                          </a:r>
                          <a:endParaRPr lang="en-GB" sz="2600" b="1" dirty="0"/>
                        </a:p>
                      </a:txBody>
                      <a:useSpRect/>
                    </a:txSp>
                  </a:sp>
                  <a:sp>
                    <a:nvSpPr>
                      <a:cNvPr id="18" name="TextBox 17"/>
                      <a:cNvSpPr txBox="1"/>
                    </a:nvSpPr>
                    <a:spPr>
                      <a:xfrm>
                        <a:off x="3505200" y="6772656"/>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f</a:t>
                          </a:r>
                          <a:endParaRPr lang="en-GB" sz="2600" b="1" dirty="0"/>
                        </a:p>
                      </a:txBody>
                      <a:useSpRect/>
                    </a:txSp>
                  </a:sp>
                  <a:sp>
                    <a:nvSpPr>
                      <a:cNvPr id="19" name="TextBox 18"/>
                      <a:cNvSpPr txBox="1"/>
                    </a:nvSpPr>
                    <a:spPr>
                      <a:xfrm>
                        <a:off x="6172200" y="6772656"/>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g</a:t>
                          </a:r>
                          <a:endParaRPr lang="en-GB" sz="2600" b="1" dirty="0"/>
                        </a:p>
                      </a:txBody>
                      <a:useSpRect/>
                    </a:txSp>
                  </a:sp>
                  <a:pic>
                    <a:nvPicPr>
                      <a:cNvPr id="20" name="Picture 2"/>
                      <a:cNvPicPr>
                        <a:picLocks noChangeAspect="1" noChangeArrowheads="1"/>
                      </a:cNvPicPr>
                    </a:nvPicPr>
                    <a:blipFill>
                      <a:blip r:embed="rId68" cstate="print"/>
                      <a:srcRect/>
                      <a:stretch>
                        <a:fillRect/>
                      </a:stretch>
                    </a:blipFill>
                    <a:spPr bwMode="auto">
                      <a:xfrm>
                        <a:off x="838200" y="685800"/>
                        <a:ext cx="2971800" cy="2904744"/>
                      </a:xfrm>
                      <a:prstGeom prst="rect">
                        <a:avLst/>
                      </a:prstGeom>
                      <a:noFill/>
                      <a:ln w="9525">
                        <a:noFill/>
                        <a:miter lim="800000"/>
                        <a:headEnd/>
                        <a:tailEnd/>
                      </a:ln>
                    </a:spPr>
                  </a:pic>
                  <a:grpSp>
                    <a:nvGrpSpPr>
                      <a:cNvPr id="24" name="Group 23"/>
                      <a:cNvGrpSpPr/>
                    </a:nvGrpSpPr>
                    <a:grpSpPr>
                      <a:xfrm>
                        <a:off x="3810000" y="1066800"/>
                        <a:ext cx="2590790" cy="1855089"/>
                        <a:chOff x="3810000" y="1066800"/>
                        <a:chExt cx="2590790" cy="1855089"/>
                      </a:xfrm>
                    </a:grpSpPr>
                    <a:pic>
                      <a:nvPicPr>
                        <a:cNvPr id="15370" name="Picture 10"/>
                        <a:cNvPicPr>
                          <a:picLocks noChangeAspect="1" noChangeArrowheads="1"/>
                        </a:cNvPicPr>
                      </a:nvPicPr>
                      <a:blipFill>
                        <a:blip r:embed="rId69" cstate="print"/>
                        <a:srcRect l="7947" t="92303" r="38789"/>
                        <a:stretch>
                          <a:fillRect/>
                        </a:stretch>
                      </a:blipFill>
                      <a:spPr bwMode="auto">
                        <a:xfrm>
                          <a:off x="3810000" y="2209800"/>
                          <a:ext cx="2362173" cy="375485"/>
                        </a:xfrm>
                        <a:prstGeom prst="rect">
                          <a:avLst/>
                        </a:prstGeom>
                        <a:noFill/>
                        <a:ln w="9525">
                          <a:noFill/>
                          <a:miter lim="800000"/>
                          <a:headEnd/>
                          <a:tailEnd/>
                        </a:ln>
                      </a:spPr>
                    </a:pic>
                    <a:pic>
                      <a:nvPicPr>
                        <a:cNvPr id="16" name="Picture 15"/>
                        <a:cNvPicPr>
                          <a:picLocks noChangeAspect="1" noChangeArrowheads="1"/>
                        </a:cNvPicPr>
                      </a:nvPicPr>
                      <a:blipFill>
                        <a:blip r:embed="rId70" cstate="print"/>
                        <a:srcRect l="9665" t="91611" r="38789"/>
                        <a:stretch>
                          <a:fillRect/>
                        </a:stretch>
                      </a:blipFill>
                      <a:spPr bwMode="auto">
                        <a:xfrm>
                          <a:off x="3886200" y="2514600"/>
                          <a:ext cx="2286000" cy="407289"/>
                        </a:xfrm>
                        <a:prstGeom prst="rect">
                          <a:avLst/>
                        </a:prstGeom>
                        <a:noFill/>
                        <a:ln w="9525">
                          <a:noFill/>
                          <a:miter lim="800000"/>
                          <a:headEnd/>
                          <a:tailEnd/>
                        </a:ln>
                      </a:spPr>
                    </a:pic>
                    <a:pic>
                      <a:nvPicPr>
                        <a:cNvPr id="21" name="Picture 4"/>
                        <a:cNvPicPr>
                          <a:picLocks noChangeAspect="1" noChangeArrowheads="1"/>
                        </a:cNvPicPr>
                      </a:nvPicPr>
                      <a:blipFill>
                        <a:blip r:embed="rId71" cstate="print"/>
                        <a:srcRect l="7947" t="76542" r="33634" b="1205"/>
                        <a:stretch>
                          <a:fillRect/>
                        </a:stretch>
                      </a:blipFill>
                      <a:spPr bwMode="auto">
                        <a:xfrm>
                          <a:off x="3810001" y="1066800"/>
                          <a:ext cx="2590789" cy="1104904"/>
                        </a:xfrm>
                        <a:prstGeom prst="rect">
                          <a:avLst/>
                        </a:prstGeom>
                        <a:noFill/>
                        <a:ln w="9525">
                          <a:noFill/>
                          <a:miter lim="800000"/>
                          <a:headEnd/>
                          <a:tailEnd/>
                        </a:ln>
                      </a:spPr>
                    </a:pic>
                  </a:grpSp>
                  <a:sp>
                    <a:nvSpPr>
                      <a:cNvPr id="22" name="TextBox 21"/>
                      <a:cNvSpPr txBox="1"/>
                    </a:nvSpPr>
                    <a:spPr>
                      <a:xfrm>
                        <a:off x="685800" y="6096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lc:lockedCanvas>
              </a:graphicData>
            </a:graphic>
          </wp:inline>
        </w:drawing>
      </w:r>
    </w:p>
    <w:p w:rsidR="00D00AAE" w:rsidRDefault="00D00AAE" w:rsidP="00D00AAE">
      <w:pPr>
        <w:pStyle w:val="Caption"/>
        <w:rPr>
          <w:color w:val="auto"/>
        </w:rPr>
      </w:pPr>
    </w:p>
    <w:p w:rsidR="00B50552" w:rsidRDefault="00D00AAE" w:rsidP="00D00AAE">
      <w:pPr>
        <w:pStyle w:val="Caption"/>
        <w:rPr>
          <w:color w:val="auto"/>
        </w:rPr>
      </w:pPr>
      <w:bookmarkStart w:id="245" w:name="_Toc20411660"/>
      <w:r w:rsidRPr="00D00AAE">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2</w:t>
      </w:r>
      <w:r w:rsidR="005C0E76">
        <w:rPr>
          <w:color w:val="auto"/>
        </w:rPr>
        <w:fldChar w:fldCharType="end"/>
      </w:r>
      <w:r w:rsidRPr="00D00AAE">
        <w:rPr>
          <w:color w:val="auto"/>
        </w:rPr>
        <w:t xml:space="preserve"> WCR survival feeding assay using chemically modified dsRNA (1)</w:t>
      </w:r>
      <w:r>
        <w:rPr>
          <w:color w:val="auto"/>
        </w:rPr>
        <w:t>.</w:t>
      </w:r>
      <w:bookmarkEnd w:id="245"/>
      <w:r w:rsidRPr="00D00AAE">
        <w:rPr>
          <w:color w:val="auto"/>
        </w:rPr>
        <w:t xml:space="preserve"> </w:t>
      </w:r>
    </w:p>
    <w:p w:rsidR="00D00AAE" w:rsidRPr="00D00AAE" w:rsidRDefault="00D00AAE" w:rsidP="00D00AAE">
      <w:pPr>
        <w:pStyle w:val="Caption"/>
        <w:rPr>
          <w:b w:val="0"/>
          <w:color w:val="auto"/>
        </w:rPr>
      </w:pPr>
      <w:r w:rsidRPr="00D00AAE">
        <w:rPr>
          <w:b w:val="0"/>
          <w:color w:val="auto"/>
        </w:rPr>
        <w:t xml:space="preserve">(a) WCR modified HMr dsRNA plate feeding assay survival timecourse. WCR fed on an artificial diet containing dsRNA in well plates and mortality measured over 7 days. GFP n = 46, Unmod n = 46, 45, 1HMr-1HMr n = 45, 38, No dsRNA n = 48. (b-d) WCR modified PS dsRNA plate feeding assay survival timecourses. WCR fed on an artificial diet containing dsRNA in well plates and mortality measured over 7 days. GFP n = 46, Unmod n = 46, 45, Un-2PS n = 44, 45, 2PS-Un n = 45, 43, 2PS-2PS n = 47, 48, No dsRNA n = 48. (b) Survival timecourse, for Un-2PS dsRNA. (c) Survival timecourse for 2PS-Un dsRNA. (cd Survival timecourse for 2PS-2PS dsRNA. (e-g) WCR modified 2’F dsRNA plate feeding assay. WCR fed on an artificial diet containing dsRNA in well plates and mortality measured over 7 days. GFP n = 46, Unmod n = 46, 45, Un-2 2’F n = 42, 44, 2 2’F-Un n = 44, 50, 2 2’F-2 2’F n = 45, 48, No dsRNA n = 48. (e) Survival timecourse, for Un-2 2’F dsRNA. (f) Survival timecourse for 2 2’F-Un dsRNA. (g) Survival timecourse for 2 2’F-2 2’F dsRNA. </w:t>
      </w:r>
    </w:p>
    <w:p w:rsidR="00D00AAE" w:rsidRDefault="00D00AAE" w:rsidP="00D00AAE">
      <w:pPr>
        <w:pStyle w:val="Caption"/>
        <w:jc w:val="left"/>
      </w:pPr>
    </w:p>
    <w:p w:rsidR="00D00AAE" w:rsidRDefault="00D00AAE">
      <w:pPr>
        <w:spacing w:after="200"/>
        <w:jc w:val="left"/>
      </w:pPr>
      <w:r>
        <w:br w:type="page"/>
      </w:r>
    </w:p>
    <w:p w:rsidR="00013A14" w:rsidRDefault="00013A14" w:rsidP="00013A14">
      <w:pPr>
        <w:spacing w:line="360" w:lineRule="auto"/>
        <w:ind w:firstLine="284"/>
      </w:pPr>
    </w:p>
    <w:p w:rsidR="00D00AAE" w:rsidRDefault="00D00AAE" w:rsidP="00D00AAE">
      <w:pPr>
        <w:keepNext/>
        <w:spacing w:line="360" w:lineRule="auto"/>
      </w:pPr>
      <w:r w:rsidRPr="00D00AAE">
        <w:rPr>
          <w:noProof/>
          <w:lang w:eastAsia="en-GB"/>
        </w:rPr>
        <w:drawing>
          <wp:inline distT="0" distB="0" distL="0" distR="0">
            <wp:extent cx="5731510" cy="3982665"/>
            <wp:effectExtent l="19050" t="0" r="2540" b="0"/>
            <wp:docPr id="55" name="Picture 34"/>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72" cstate="print"/>
                    <a:srcRect/>
                    <a:stretch>
                      <a:fillRect/>
                    </a:stretch>
                  </pic:blipFill>
                  <pic:spPr bwMode="auto">
                    <a:xfrm>
                      <a:off x="0" y="0"/>
                      <a:ext cx="5731510" cy="3982665"/>
                    </a:xfrm>
                    <a:prstGeom prst="rect">
                      <a:avLst/>
                    </a:prstGeom>
                    <a:noFill/>
                    <a:ln w="9525">
                      <a:noFill/>
                      <a:miter lim="800000"/>
                      <a:headEnd/>
                      <a:tailEnd/>
                    </a:ln>
                  </pic:spPr>
                </pic:pic>
              </a:graphicData>
            </a:graphic>
          </wp:inline>
        </w:drawing>
      </w:r>
    </w:p>
    <w:p w:rsidR="00B50552" w:rsidRDefault="00D00AAE" w:rsidP="00B50552">
      <w:pPr>
        <w:pStyle w:val="Caption"/>
        <w:spacing w:after="120"/>
        <w:rPr>
          <w:color w:val="auto"/>
        </w:rPr>
      </w:pPr>
      <w:bookmarkStart w:id="246" w:name="_Toc20411661"/>
      <w:r w:rsidRPr="00D00AAE">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3</w:t>
      </w:r>
      <w:r w:rsidR="005C0E76">
        <w:rPr>
          <w:color w:val="auto"/>
        </w:rPr>
        <w:fldChar w:fldCharType="end"/>
      </w:r>
      <w:r w:rsidRPr="00D00AAE">
        <w:rPr>
          <w:color w:val="auto"/>
        </w:rPr>
        <w:t xml:space="preserve"> Summary of WCR survival feeding assay using chemically modified dsRNA (1)</w:t>
      </w:r>
      <w:r>
        <w:rPr>
          <w:color w:val="auto"/>
        </w:rPr>
        <w:t>.</w:t>
      </w:r>
      <w:bookmarkEnd w:id="246"/>
      <w:r w:rsidRPr="00D00AAE">
        <w:rPr>
          <w:color w:val="auto"/>
        </w:rPr>
        <w:t xml:space="preserve"> </w:t>
      </w:r>
    </w:p>
    <w:p w:rsidR="00D00AAE" w:rsidRPr="00D00AAE" w:rsidRDefault="00D00AAE" w:rsidP="00B50552">
      <w:pPr>
        <w:pStyle w:val="Caption"/>
        <w:spacing w:after="120"/>
        <w:rPr>
          <w:b w:val="0"/>
          <w:color w:val="auto"/>
        </w:rPr>
      </w:pPr>
      <w:r w:rsidRPr="00D00AAE">
        <w:rPr>
          <w:b w:val="0"/>
          <w:color w:val="auto"/>
        </w:rPr>
        <w:t>Day 7 percentage survival summary data from the modified dsRNA WCR diet plate feeding assay in figure 6.2.</w:t>
      </w:r>
    </w:p>
    <w:p w:rsidR="00D00AAE" w:rsidRDefault="00D00AAE" w:rsidP="00013A14">
      <w:pPr>
        <w:spacing w:line="360" w:lineRule="auto"/>
        <w:ind w:firstLine="284"/>
      </w:pPr>
    </w:p>
    <w:p w:rsidR="00013A14" w:rsidRDefault="00013A14" w:rsidP="00013A14">
      <w:pPr>
        <w:spacing w:line="360" w:lineRule="auto"/>
        <w:ind w:firstLine="284"/>
      </w:pPr>
      <w:r>
        <w:t>However, for the lower concentration (0.01 µg of dsRNA per well), the results suggest that dsRNA with 2’F modifications in the guide strand (Target B 2 2’F-Un) showed equivalent RNAi efficacy to the same concentration of unmodified dsRNA, with final survival at day 7 being approximately 15%. In contrast, the results show that at 0.01 µg of dsRNA per well, the</w:t>
      </w:r>
      <w:r w:rsidRPr="00C141DD">
        <w:t xml:space="preserve"> </w:t>
      </w:r>
      <w:r>
        <w:t>dsRNA with 2’F modifications in the passenger strand (Target B Un-2 2’F) shows reduced RNAi efficacy, with a final survival of around 40% compared to approximately 20% for unmodified dsRNA. This appears to be the opposite trend to that for PS modifications, and confirmation</w:t>
      </w:r>
      <w:r w:rsidR="00B57F38">
        <w:t>/further investigation</w:t>
      </w:r>
      <w:r>
        <w:t xml:space="preserve"> of this result was a major objective of the replicate assay below.  </w:t>
      </w:r>
    </w:p>
    <w:p w:rsidR="00013A14" w:rsidRDefault="00013A14" w:rsidP="00013A14">
      <w:pPr>
        <w:spacing w:line="360" w:lineRule="auto"/>
        <w:ind w:firstLine="284"/>
      </w:pPr>
      <w:r>
        <w:t xml:space="preserve"> </w:t>
      </w:r>
    </w:p>
    <w:p w:rsidR="00013A14" w:rsidRDefault="00013A14" w:rsidP="00013A14">
      <w:pPr>
        <w:spacing w:line="360" w:lineRule="auto"/>
        <w:ind w:firstLine="284"/>
      </w:pPr>
      <w:r w:rsidRPr="00921849">
        <w:t xml:space="preserve">In </w:t>
      </w:r>
      <w:r w:rsidRPr="001405FF">
        <w:t>order to validate the results from the first screen and to explore the relationship between the chemical modifications and RNAi efficacy at lower dsRNA concentrations, a second screen of the Target B modified dsRNAs covering a wider range of dsRNA concentrations, was carried out. For each dsRNA (table 6.4), 0.1, 0.01, 0.001 and 0.0001 µg per well were used, with half of a 48 well plate dedicated per condition as before. Target B 2PS-2PS and 2 2’F-2 2’F dsRNAs were only tested at the highest two concentrations</w:t>
      </w:r>
      <w:r>
        <w:t xml:space="preserve">, as the greatly reduced efficacy demonstrated in the first screen </w:t>
      </w:r>
      <w:r>
        <w:lastRenderedPageBreak/>
        <w:t xml:space="preserve">suggested lower concentrations would result in complete loss of activity. GFP dsRNA at all four concentrations and a no dsRNA diet only condition were also included as controls, as for the first screen. WCR larvae were seeded onto the plates and mortality scored daily as described previously </w:t>
      </w:r>
      <w:r w:rsidRPr="00F70389">
        <w:t>for seven</w:t>
      </w:r>
      <w:r>
        <w:t xml:space="preserve"> days. </w:t>
      </w:r>
    </w:p>
    <w:p w:rsidR="00013A14" w:rsidRPr="001405FF" w:rsidRDefault="00013A14" w:rsidP="00013A14">
      <w:pPr>
        <w:spacing w:line="360" w:lineRule="auto"/>
        <w:ind w:firstLine="284"/>
      </w:pPr>
      <w:r>
        <w:t xml:space="preserve">Survival figures </w:t>
      </w:r>
      <w:r w:rsidRPr="001405FF">
        <w:t>were normalised to day one survival numbers as before in order to negate most of the non-RNAi mortality associated with mishandling of rootworms during plate seeding. The normalised survival data is shown in figures 6.4 as survival curves, and summarised as final percentage survival in figure 6.5. The generalised pattern of mortality across the seven day scoring period was similar to the previous optimisation assay, with RNAi-related mortality occurring from day three onwards.</w:t>
      </w:r>
    </w:p>
    <w:p w:rsidR="00D00AAE" w:rsidRPr="001405FF" w:rsidRDefault="00D00AAE" w:rsidP="00013A14">
      <w:pPr>
        <w:spacing w:line="360" w:lineRule="auto"/>
        <w:ind w:firstLine="284"/>
      </w:pPr>
    </w:p>
    <w:p w:rsidR="00013A14" w:rsidRPr="001405FF" w:rsidRDefault="00013A14" w:rsidP="00013A14">
      <w:pPr>
        <w:spacing w:line="360" w:lineRule="auto"/>
        <w:ind w:firstLine="284"/>
      </w:pPr>
      <w:r w:rsidRPr="001405FF">
        <w:t xml:space="preserve">Overall the results were consistent with the first screen. The results for unmodified dsRNA are shown in figures 6.4 a. The results for HMr modified dsRNA are shown in figures 6.4 b. HMr modified dsRNA again demonstrated almost identical results to unmodified dsRNA when comparing final percentage survival (see figure 6.5). </w:t>
      </w:r>
    </w:p>
    <w:p w:rsidR="00013A14" w:rsidRPr="001405FF" w:rsidRDefault="00013A14" w:rsidP="00013A14">
      <w:pPr>
        <w:spacing w:line="360" w:lineRule="auto"/>
        <w:ind w:firstLine="284"/>
      </w:pPr>
      <w:r w:rsidRPr="001405FF">
        <w:t>The results for PS modified dsRNA are shown in figure 6.4 c-e as survival curves. The PS modified dsRNAs demonstrated similar results to the first screen. Analysis of the two highest dsRNA concentrations tested – 0.1 and 0.01 µg per well – showed the same trend of increasing RNAi efficacy: 2PS-2PS &lt; 2PS-Un &lt; Un-2PS &lt; unmodified (see figure 6.5). At the lower two concentrations of 0.001 and 0.0001 µg per well, Target B Un-2PS and 2PS-Un dsRNAs showed a loss of RNAi activity compared to unmodified dsRNA, with survival of approximately 60% or above, compared to approximately 35% and 65% for 0.001 and 0.0001 µg of unmodified dsRNA respectively.</w:t>
      </w:r>
    </w:p>
    <w:p w:rsidR="00013A14" w:rsidRDefault="00013A14" w:rsidP="00013A14">
      <w:pPr>
        <w:spacing w:line="360" w:lineRule="auto"/>
        <w:ind w:firstLine="284"/>
      </w:pPr>
      <w:r w:rsidRPr="001405FF">
        <w:t>The results for 2’-F modified dsRNA are shown in figure 6.4 f-h as survival curves. The trends</w:t>
      </w:r>
      <w:r>
        <w:t xml:space="preserve"> seen for 2’F dsRNAs in the first screen were also consistent with this replicate assay. The results show that for 2’F dsRNAs</w:t>
      </w:r>
      <w:r w:rsidRPr="001405FF">
        <w:t>, the overall RNAi efficacy in the insect feeding assay using dsRNA with 2’F modifications in only one strand of dsRNA (Un-2 2’F, 2 2’F-Un) was equivalent to that of unmodified dsRNA, resulting in similar final insect mortality compared to unmodified dsRNA (summarised in figure 6.5).  In contrast, the</w:t>
      </w:r>
      <w:r>
        <w:t xml:space="preserve"> dsRNA with 2’F modifications in both strands (2 2’F-2 2’F) again showed a significant reduction in RNAi efficacy, with survival of 40% and 60% respectively for 0.1 and 0.01 </w:t>
      </w:r>
      <w:bookmarkStart w:id="247" w:name="OLE_LINK3"/>
      <w:r>
        <w:t>µg</w:t>
      </w:r>
      <w:bookmarkEnd w:id="247"/>
      <w:r>
        <w:t xml:space="preserve"> of dsRNA.</w:t>
      </w:r>
    </w:p>
    <w:p w:rsidR="00D00AAE" w:rsidRDefault="00D00AAE">
      <w:pPr>
        <w:spacing w:after="200"/>
        <w:jc w:val="left"/>
      </w:pPr>
      <w:r>
        <w:br w:type="page"/>
      </w:r>
    </w:p>
    <w:p w:rsidR="00D00AAE" w:rsidRDefault="00D00AAE" w:rsidP="00D00AAE">
      <w:pPr>
        <w:keepNext/>
        <w:spacing w:after="200"/>
        <w:jc w:val="left"/>
      </w:pPr>
      <w:r w:rsidRPr="00D00AAE">
        <w:rPr>
          <w:noProof/>
          <w:lang w:eastAsia="en-GB"/>
        </w:rPr>
        <w:lastRenderedPageBreak/>
        <w:drawing>
          <wp:inline distT="0" distB="0" distL="0" distR="0">
            <wp:extent cx="5731510" cy="6572866"/>
            <wp:effectExtent l="0" t="0" r="2540" b="0"/>
            <wp:docPr id="56" name="Object 3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20608" cy="9541768"/>
                      <a:chOff x="823392" y="352128"/>
                      <a:chExt cx="8320608" cy="9541768"/>
                    </a:xfrm>
                  </a:grpSpPr>
                  <a:pic>
                    <a:nvPicPr>
                      <a:cNvPr id="21507" name="Picture 3"/>
                      <a:cNvPicPr>
                        <a:picLocks noChangeAspect="1" noChangeArrowheads="1"/>
                      </a:cNvPicPr>
                    </a:nvPicPr>
                    <a:blipFill>
                      <a:blip r:embed="rId73" cstate="print"/>
                      <a:srcRect/>
                      <a:stretch>
                        <a:fillRect/>
                      </a:stretch>
                    </a:blipFill>
                    <a:spPr bwMode="auto">
                      <a:xfrm>
                        <a:off x="3520988" y="585720"/>
                        <a:ext cx="2971800" cy="2901696"/>
                      </a:xfrm>
                      <a:prstGeom prst="rect">
                        <a:avLst/>
                      </a:prstGeom>
                      <a:noFill/>
                      <a:ln w="9525">
                        <a:noFill/>
                        <a:miter lim="800000"/>
                        <a:headEnd/>
                        <a:tailEnd/>
                      </a:ln>
                    </a:spPr>
                  </a:pic>
                  <a:pic>
                    <a:nvPicPr>
                      <a:cNvPr id="7" name="Picture 3"/>
                      <a:cNvPicPr>
                        <a:picLocks noChangeAspect="1" noChangeArrowheads="1"/>
                      </a:cNvPicPr>
                    </a:nvPicPr>
                    <a:blipFill>
                      <a:blip r:embed="rId74" cstate="print"/>
                      <a:srcRect r="10904"/>
                      <a:stretch>
                        <a:fillRect/>
                      </a:stretch>
                    </a:blipFill>
                    <a:spPr bwMode="auto">
                      <a:xfrm>
                        <a:off x="892696" y="585720"/>
                        <a:ext cx="2647764" cy="2901696"/>
                      </a:xfrm>
                      <a:prstGeom prst="rect">
                        <a:avLst/>
                      </a:prstGeom>
                      <a:noFill/>
                      <a:ln w="9525">
                        <a:noFill/>
                        <a:miter lim="800000"/>
                        <a:headEnd/>
                        <a:tailEnd/>
                      </a:ln>
                    </a:spPr>
                  </a:pic>
                  <a:pic>
                    <a:nvPicPr>
                      <a:cNvPr id="8" name="Picture 12"/>
                      <a:cNvPicPr>
                        <a:picLocks noChangeAspect="1" noChangeArrowheads="1"/>
                      </a:cNvPicPr>
                    </a:nvPicPr>
                    <a:blipFill>
                      <a:blip r:embed="rId75" cstate="print"/>
                      <a:srcRect l="9964" t="68216" r="10326" b="8776"/>
                      <a:stretch>
                        <a:fillRect/>
                      </a:stretch>
                    </a:blipFill>
                    <a:spPr bwMode="auto">
                      <a:xfrm>
                        <a:off x="6477000" y="352128"/>
                        <a:ext cx="2514600" cy="1219200"/>
                      </a:xfrm>
                      <a:prstGeom prst="rect">
                        <a:avLst/>
                      </a:prstGeom>
                      <a:noFill/>
                      <a:ln w="9525">
                        <a:noFill/>
                        <a:miter lim="800000"/>
                        <a:headEnd/>
                        <a:tailEnd/>
                      </a:ln>
                    </a:spPr>
                  </a:pic>
                  <a:pic>
                    <a:nvPicPr>
                      <a:cNvPr id="21509" name="Picture 5"/>
                      <a:cNvPicPr>
                        <a:picLocks noChangeAspect="1" noChangeArrowheads="1"/>
                      </a:cNvPicPr>
                    </a:nvPicPr>
                    <a:blipFill>
                      <a:blip r:embed="rId76" cstate="print"/>
                      <a:srcRect l="12077" t="86854" r="15459" b="1409"/>
                      <a:stretch>
                        <a:fillRect/>
                      </a:stretch>
                    </a:blipFill>
                    <a:spPr bwMode="auto">
                      <a:xfrm>
                        <a:off x="6528792" y="1547768"/>
                        <a:ext cx="2286007" cy="571496"/>
                      </a:xfrm>
                      <a:prstGeom prst="rect">
                        <a:avLst/>
                      </a:prstGeom>
                      <a:noFill/>
                      <a:ln w="9525">
                        <a:noFill/>
                        <a:miter lim="800000"/>
                        <a:headEnd/>
                        <a:tailEnd/>
                      </a:ln>
                    </a:spPr>
                  </a:pic>
                  <a:sp>
                    <a:nvSpPr>
                      <a:cNvPr id="9" name="TextBox 8"/>
                      <a:cNvSpPr txBox="1"/>
                    </a:nvSpPr>
                    <a:spPr>
                      <a:xfrm>
                        <a:off x="823392" y="4257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1" name="TextBox 10"/>
                      <a:cNvSpPr txBox="1"/>
                    </a:nvSpPr>
                    <a:spPr>
                      <a:xfrm>
                        <a:off x="3581400" y="4257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pic>
                    <a:nvPicPr>
                      <a:cNvPr id="13" name="Picture 11"/>
                      <a:cNvPicPr>
                        <a:picLocks noChangeAspect="1" noChangeArrowheads="1"/>
                      </a:cNvPicPr>
                    </a:nvPicPr>
                    <a:blipFill>
                      <a:blip r:embed="rId77" cstate="print"/>
                      <a:srcRect l="9964" t="86051" r="17572" b="1117"/>
                      <a:stretch>
                        <a:fillRect/>
                      </a:stretch>
                    </a:blipFill>
                    <a:spPr bwMode="auto">
                      <a:xfrm>
                        <a:off x="6492788" y="2155268"/>
                        <a:ext cx="2286007" cy="647693"/>
                      </a:xfrm>
                      <a:prstGeom prst="rect">
                        <a:avLst/>
                      </a:prstGeom>
                      <a:noFill/>
                      <a:ln w="9525">
                        <a:noFill/>
                        <a:miter lim="800000"/>
                        <a:headEnd/>
                        <a:tailEnd/>
                      </a:ln>
                    </a:spPr>
                  </a:pic>
                  <a:pic>
                    <a:nvPicPr>
                      <a:cNvPr id="14" name="Picture 4"/>
                      <a:cNvPicPr>
                        <a:picLocks noChangeAspect="1" noChangeArrowheads="1"/>
                      </a:cNvPicPr>
                    </a:nvPicPr>
                    <a:blipFill>
                      <a:blip r:embed="rId78" cstate="print"/>
                      <a:srcRect/>
                      <a:stretch>
                        <a:fillRect/>
                      </a:stretch>
                    </a:blipFill>
                    <a:spPr bwMode="auto">
                      <a:xfrm>
                        <a:off x="914400" y="3797896"/>
                        <a:ext cx="2971800" cy="2907792"/>
                      </a:xfrm>
                      <a:prstGeom prst="rect">
                        <a:avLst/>
                      </a:prstGeom>
                      <a:noFill/>
                      <a:ln w="9525">
                        <a:noFill/>
                        <a:miter lim="800000"/>
                        <a:headEnd/>
                        <a:tailEnd/>
                      </a:ln>
                    </a:spPr>
                  </a:pic>
                  <a:pic>
                    <a:nvPicPr>
                      <a:cNvPr id="15" name="Picture 5"/>
                      <a:cNvPicPr>
                        <a:picLocks noChangeAspect="1" noChangeArrowheads="1"/>
                      </a:cNvPicPr>
                    </a:nvPicPr>
                    <a:blipFill>
                      <a:blip r:embed="rId79" cstate="print"/>
                      <a:srcRect/>
                      <a:stretch>
                        <a:fillRect/>
                      </a:stretch>
                    </a:blipFill>
                    <a:spPr bwMode="auto">
                      <a:xfrm>
                        <a:off x="3543300" y="3800944"/>
                        <a:ext cx="2971800" cy="2901696"/>
                      </a:xfrm>
                      <a:prstGeom prst="rect">
                        <a:avLst/>
                      </a:prstGeom>
                      <a:noFill/>
                      <a:ln w="9525">
                        <a:noFill/>
                        <a:miter lim="800000"/>
                        <a:headEnd/>
                        <a:tailEnd/>
                      </a:ln>
                    </a:spPr>
                  </a:pic>
                  <a:pic>
                    <a:nvPicPr>
                      <a:cNvPr id="16" name="Picture 6"/>
                      <a:cNvPicPr>
                        <a:picLocks noChangeAspect="1" noChangeArrowheads="1"/>
                      </a:cNvPicPr>
                    </a:nvPicPr>
                    <a:blipFill>
                      <a:blip r:embed="rId80" cstate="print"/>
                      <a:srcRect/>
                      <a:stretch>
                        <a:fillRect/>
                      </a:stretch>
                    </a:blipFill>
                    <a:spPr bwMode="auto">
                      <a:xfrm>
                        <a:off x="6172200" y="3799420"/>
                        <a:ext cx="2971800" cy="2904744"/>
                      </a:xfrm>
                      <a:prstGeom prst="rect">
                        <a:avLst/>
                      </a:prstGeom>
                      <a:noFill/>
                      <a:ln w="9525">
                        <a:noFill/>
                        <a:miter lim="800000"/>
                        <a:headEnd/>
                        <a:tailEnd/>
                      </a:ln>
                    </a:spPr>
                  </a:pic>
                  <a:sp>
                    <a:nvSpPr>
                      <a:cNvPr id="17" name="TextBox 16"/>
                      <a:cNvSpPr txBox="1"/>
                    </a:nvSpPr>
                    <a:spPr>
                      <a:xfrm>
                        <a:off x="838200" y="3645496"/>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8" name="TextBox 17"/>
                      <a:cNvSpPr txBox="1"/>
                    </a:nvSpPr>
                    <a:spPr>
                      <a:xfrm>
                        <a:off x="3581400" y="3610253"/>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sp>
                    <a:nvSpPr>
                      <a:cNvPr id="19" name="TextBox 18"/>
                      <a:cNvSpPr txBox="1"/>
                    </a:nvSpPr>
                    <a:spPr>
                      <a:xfrm>
                        <a:off x="6096000" y="3610253"/>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e</a:t>
                          </a:r>
                          <a:endParaRPr lang="en-GB" sz="2600" b="1" dirty="0"/>
                        </a:p>
                      </a:txBody>
                      <a:useSpRect/>
                    </a:txSp>
                  </a:sp>
                  <a:pic>
                    <a:nvPicPr>
                      <a:cNvPr id="20" name="Picture 3"/>
                      <a:cNvPicPr>
                        <a:picLocks noChangeAspect="1" noChangeArrowheads="1"/>
                      </a:cNvPicPr>
                    </a:nvPicPr>
                    <a:blipFill>
                      <a:blip r:embed="rId81" cstate="print"/>
                      <a:srcRect/>
                      <a:stretch>
                        <a:fillRect/>
                      </a:stretch>
                    </a:blipFill>
                    <a:spPr bwMode="auto">
                      <a:xfrm>
                        <a:off x="923292" y="6989152"/>
                        <a:ext cx="2971800" cy="2901696"/>
                      </a:xfrm>
                      <a:prstGeom prst="rect">
                        <a:avLst/>
                      </a:prstGeom>
                      <a:noFill/>
                      <a:ln w="9525">
                        <a:noFill/>
                        <a:miter lim="800000"/>
                        <a:headEnd/>
                        <a:tailEnd/>
                      </a:ln>
                    </a:spPr>
                  </a:pic>
                  <a:pic>
                    <a:nvPicPr>
                      <a:cNvPr id="21" name="Picture 4"/>
                      <a:cNvPicPr>
                        <a:picLocks noChangeAspect="1" noChangeArrowheads="1"/>
                      </a:cNvPicPr>
                    </a:nvPicPr>
                    <a:blipFill>
                      <a:blip r:embed="rId82" cstate="print"/>
                      <a:srcRect/>
                      <a:stretch>
                        <a:fillRect/>
                      </a:stretch>
                    </a:blipFill>
                    <a:spPr bwMode="auto">
                      <a:xfrm>
                        <a:off x="3540460" y="6989152"/>
                        <a:ext cx="2971800" cy="2904744"/>
                      </a:xfrm>
                      <a:prstGeom prst="rect">
                        <a:avLst/>
                      </a:prstGeom>
                      <a:noFill/>
                      <a:ln w="9525">
                        <a:noFill/>
                        <a:miter lim="800000"/>
                        <a:headEnd/>
                        <a:tailEnd/>
                      </a:ln>
                    </a:spPr>
                  </a:pic>
                  <a:pic>
                    <a:nvPicPr>
                      <a:cNvPr id="22" name="Picture 5"/>
                      <a:cNvPicPr>
                        <a:picLocks noChangeAspect="1" noChangeArrowheads="1"/>
                      </a:cNvPicPr>
                    </a:nvPicPr>
                    <a:blipFill>
                      <a:blip r:embed="rId83" cstate="print"/>
                      <a:srcRect/>
                      <a:stretch>
                        <a:fillRect/>
                      </a:stretch>
                    </a:blipFill>
                    <a:spPr bwMode="auto">
                      <a:xfrm>
                        <a:off x="6168752" y="6989152"/>
                        <a:ext cx="2971800" cy="2904744"/>
                      </a:xfrm>
                      <a:prstGeom prst="rect">
                        <a:avLst/>
                      </a:prstGeom>
                      <a:noFill/>
                      <a:ln w="9525">
                        <a:noFill/>
                        <a:miter lim="800000"/>
                        <a:headEnd/>
                        <a:tailEnd/>
                      </a:ln>
                    </a:spPr>
                  </a:pic>
                  <a:pic>
                    <a:nvPicPr>
                      <a:cNvPr id="23" name="Picture 6"/>
                      <a:cNvPicPr>
                        <a:picLocks noChangeAspect="1" noChangeArrowheads="1"/>
                      </a:cNvPicPr>
                    </a:nvPicPr>
                    <a:blipFill>
                      <a:blip r:embed="rId84" cstate="print"/>
                      <a:srcRect l="9964" t="86082" r="17572" b="1620"/>
                      <a:stretch>
                        <a:fillRect/>
                      </a:stretch>
                    </a:blipFill>
                    <a:spPr bwMode="auto">
                      <a:xfrm>
                        <a:off x="6492788" y="2803340"/>
                        <a:ext cx="2286007" cy="647729"/>
                      </a:xfrm>
                      <a:prstGeom prst="rect">
                        <a:avLst/>
                      </a:prstGeom>
                      <a:noFill/>
                      <a:ln w="9525">
                        <a:noFill/>
                        <a:miter lim="800000"/>
                        <a:headEnd/>
                        <a:tailEnd/>
                      </a:ln>
                    </a:spPr>
                  </a:pic>
                  <a:sp>
                    <a:nvSpPr>
                      <a:cNvPr id="24" name="TextBox 23"/>
                      <a:cNvSpPr txBox="1"/>
                    </a:nvSpPr>
                    <a:spPr>
                      <a:xfrm>
                        <a:off x="847092" y="6836752"/>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f</a:t>
                          </a:r>
                          <a:endParaRPr lang="en-GB" sz="2600" b="1" dirty="0"/>
                        </a:p>
                      </a:txBody>
                      <a:useSpRect/>
                    </a:txSp>
                  </a:sp>
                  <a:sp>
                    <a:nvSpPr>
                      <a:cNvPr id="25" name="TextBox 24"/>
                      <a:cNvSpPr txBox="1"/>
                    </a:nvSpPr>
                    <a:spPr>
                      <a:xfrm>
                        <a:off x="3590292" y="6801509"/>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g</a:t>
                          </a:r>
                          <a:endParaRPr lang="en-GB" sz="2600" b="1" dirty="0"/>
                        </a:p>
                      </a:txBody>
                      <a:useSpRect/>
                    </a:txSp>
                  </a:sp>
                  <a:sp>
                    <a:nvSpPr>
                      <a:cNvPr id="26" name="TextBox 25"/>
                      <a:cNvSpPr txBox="1"/>
                    </a:nvSpPr>
                    <a:spPr>
                      <a:xfrm>
                        <a:off x="6257292" y="6801509"/>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h</a:t>
                          </a:r>
                          <a:endParaRPr lang="en-GB" sz="2600" b="1" dirty="0"/>
                        </a:p>
                      </a:txBody>
                      <a:useSpRect/>
                    </a:txSp>
                  </a:sp>
                </lc:lockedCanvas>
              </a:graphicData>
            </a:graphic>
          </wp:inline>
        </w:drawing>
      </w:r>
    </w:p>
    <w:p w:rsidR="00B50552" w:rsidRDefault="00D00AAE" w:rsidP="00D00AAE">
      <w:pPr>
        <w:pStyle w:val="Caption"/>
        <w:rPr>
          <w:color w:val="auto"/>
        </w:rPr>
      </w:pPr>
      <w:bookmarkStart w:id="248" w:name="_Toc20411662"/>
      <w:r w:rsidRPr="00D00AAE">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4</w:t>
      </w:r>
      <w:r w:rsidR="005C0E76">
        <w:rPr>
          <w:color w:val="auto"/>
        </w:rPr>
        <w:fldChar w:fldCharType="end"/>
      </w:r>
      <w:r w:rsidRPr="00D00AAE">
        <w:rPr>
          <w:color w:val="auto"/>
        </w:rPr>
        <w:t xml:space="preserve"> WCR survival feeding assay using chemically modified dsRNA (2).</w:t>
      </w:r>
      <w:bookmarkEnd w:id="248"/>
      <w:r w:rsidRPr="00D00AAE">
        <w:rPr>
          <w:color w:val="auto"/>
        </w:rPr>
        <w:t xml:space="preserve"> </w:t>
      </w:r>
    </w:p>
    <w:p w:rsidR="00D00AAE" w:rsidRPr="00D00AAE" w:rsidRDefault="00D00AAE" w:rsidP="00D00AAE">
      <w:pPr>
        <w:pStyle w:val="Caption"/>
        <w:rPr>
          <w:b w:val="0"/>
          <w:color w:val="auto"/>
        </w:rPr>
      </w:pPr>
      <w:r w:rsidRPr="00D00AAE">
        <w:rPr>
          <w:b w:val="0"/>
          <w:color w:val="auto"/>
        </w:rPr>
        <w:t>(a) WCR unmodified dsRNA plate feeding assay survival timecourse. WCR fed on an artificial diet containing dsRNA in well plates and mortality measured over 7 days. GFP n = 50, Unmod n = 47, 48, 54, 45, No dsRNA - Water n = 46, No dsRNA – PBS n = 38. (b) WCR modified HMr dsRNA plate feeding assay survival timecourse. WCR fed on an artificial diet containing dsRNA in well plates and mortality measured over 7 days. Survival timecourse for HMr dsRNA. GFP n = 50, Unmod n = 47, 1HMr-1HMr n = 53, 58, 46, 41, No dsRNA - Water n = 46, No dsRNA – PBS n = 38. (c-e) WCR modified PS dsRNA plate feeding assay. WCR fed on an artificial diet containing dsRNA in well plates and mortality measured over 7 days. GFP n = 50, Unmod n = 47, Un-2PS n = 49, 48, 51, 62, 2PS-Un n = 51, 52, 54, 60, 2PS-2PS n = 48, 36, No dsRNA - Water n = 46, No dsRNA – PBS n = 38. (c) Survival timecourse, for Un-2PS dsRNA. (d) Survival timecourse for 2PS-Un dsRNA. (e) Survival timecourse for 2PS-2PS dsRNA. (f-h) WCR modified 2’F dsRNA plate feeding assay. WCR fed on an artificial diet containing dsRNA in well plates and mortality measured over 7 days. GFP n = 50, Unmod n = 47, Un-2 2’F n = 52, 66, 38, 43, 2 2’F-Un n = 49, 58, 47, 48, 2 2’F-2 2’F n = 41, 46, No dsRNA - Water n = 46, No dsRNA – PBS n = 38. (f) Survival timecourse, for Un-2 2’F dsRNA. (cg Survival timecourse for 2 2’F-Un dsRNA. (h) Survival timecourse for 2 2’F-2 2’F dsRNA.</w:t>
      </w:r>
    </w:p>
    <w:p w:rsidR="00D00AAE" w:rsidRDefault="00D00AAE" w:rsidP="00D00AAE">
      <w:pPr>
        <w:keepNext/>
        <w:spacing w:line="360" w:lineRule="auto"/>
        <w:jc w:val="center"/>
      </w:pPr>
      <w:r w:rsidRPr="00D00AAE">
        <w:rPr>
          <w:noProof/>
          <w:lang w:eastAsia="en-GB"/>
        </w:rPr>
        <w:lastRenderedPageBreak/>
        <w:drawing>
          <wp:inline distT="0" distB="0" distL="0" distR="0">
            <wp:extent cx="5452110" cy="3566160"/>
            <wp:effectExtent l="19050" t="0" r="0" b="0"/>
            <wp:docPr id="57" name="Picture 36"/>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5" cstate="print"/>
                    <a:srcRect r="4875"/>
                    <a:stretch>
                      <a:fillRect/>
                    </a:stretch>
                  </pic:blipFill>
                  <pic:spPr bwMode="auto">
                    <a:xfrm>
                      <a:off x="0" y="0"/>
                      <a:ext cx="5452110" cy="3566160"/>
                    </a:xfrm>
                    <a:prstGeom prst="rect">
                      <a:avLst/>
                    </a:prstGeom>
                    <a:noFill/>
                    <a:ln w="9525">
                      <a:noFill/>
                      <a:miter lim="800000"/>
                      <a:headEnd/>
                      <a:tailEnd/>
                    </a:ln>
                  </pic:spPr>
                </pic:pic>
              </a:graphicData>
            </a:graphic>
          </wp:inline>
        </w:drawing>
      </w:r>
    </w:p>
    <w:p w:rsidR="00B50552" w:rsidRDefault="00D00AAE" w:rsidP="00D00AAE">
      <w:pPr>
        <w:pStyle w:val="Caption"/>
        <w:rPr>
          <w:color w:val="auto"/>
        </w:rPr>
      </w:pPr>
      <w:bookmarkStart w:id="249" w:name="_Toc20411663"/>
      <w:r w:rsidRPr="00D00AAE">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5</w:t>
      </w:r>
      <w:r w:rsidR="005C0E76">
        <w:rPr>
          <w:color w:val="auto"/>
        </w:rPr>
        <w:fldChar w:fldCharType="end"/>
      </w:r>
      <w:r w:rsidRPr="00D00AAE">
        <w:rPr>
          <w:color w:val="auto"/>
        </w:rPr>
        <w:t xml:space="preserve"> Summary of WCR survival feeding assay using chemically modified dsRNA (2).</w:t>
      </w:r>
      <w:bookmarkEnd w:id="249"/>
    </w:p>
    <w:p w:rsidR="00013A14" w:rsidRPr="00D00AAE" w:rsidRDefault="00D00AAE" w:rsidP="00D00AAE">
      <w:pPr>
        <w:pStyle w:val="Caption"/>
        <w:rPr>
          <w:b w:val="0"/>
          <w:color w:val="auto"/>
        </w:rPr>
      </w:pPr>
      <w:r w:rsidRPr="00D00AAE">
        <w:rPr>
          <w:b w:val="0"/>
          <w:color w:val="auto"/>
        </w:rPr>
        <w:t xml:space="preserve">Day 7 percentage survival summary data from the modified dsRNA WCR diet plate feeding assay in figure 6.4. Additional concentrations of GFP dsRNA also shown. </w:t>
      </w:r>
      <w:r w:rsidRPr="00D00AAE">
        <w:rPr>
          <w:b w:val="0"/>
          <w:color w:val="auto"/>
          <w:lang w:val="pt-BR"/>
        </w:rPr>
        <w:t>GFP n = 50, 55, 47, 50. NT = “Not tested”.</w:t>
      </w:r>
    </w:p>
    <w:p w:rsidR="00D00AAE" w:rsidRDefault="00D00AAE" w:rsidP="00013A14">
      <w:pPr>
        <w:spacing w:line="360" w:lineRule="auto"/>
        <w:ind w:firstLine="284"/>
      </w:pPr>
    </w:p>
    <w:p w:rsidR="00071E84" w:rsidRDefault="00013A14" w:rsidP="00013A14">
      <w:pPr>
        <w:spacing w:line="360" w:lineRule="auto"/>
        <w:ind w:firstLine="284"/>
      </w:pPr>
      <w:r>
        <w:t xml:space="preserve">dsRNAs were analysed at a </w:t>
      </w:r>
      <w:r w:rsidRPr="001405FF">
        <w:t xml:space="preserve">concentration of 0.01 µg per well in both of the previous two screens, and the results are plotted together in figure 6.6. The RNAi efficacy of dsRNA with the 2’F modification in either the sense or antisense strand </w:t>
      </w:r>
      <w:r w:rsidR="001405FF" w:rsidRPr="001405FF">
        <w:t>wa</w:t>
      </w:r>
      <w:r w:rsidRPr="001405FF">
        <w:t>s similar</w:t>
      </w:r>
      <w:r>
        <w:t xml:space="preserve"> to unmodified dsRNA</w:t>
      </w:r>
      <w:r w:rsidR="001405FF">
        <w:t>, based on the results of the second screen</w:t>
      </w:r>
      <w:r>
        <w:t>.</w:t>
      </w:r>
      <w:r w:rsidR="00071E84">
        <w:t xml:space="preserve"> However, there was great variation in final day seven mortality between the two replicates for Un-2 2’F dsRNA</w:t>
      </w:r>
      <w:r w:rsidR="001405FF">
        <w:t>, highlighting the semi-quantitative nature of the assay, and caution required when interpreting results</w:t>
      </w:r>
      <w:r w:rsidR="00071E84">
        <w:t>.</w:t>
      </w:r>
      <w:r>
        <w:t xml:space="preserve"> In contrast dsRNA with PS modifications in the guide strand resulted in reduced RNAi efficacy compared to phosphorothioate modifications in the passenger strand and unmodified dsRNA. </w:t>
      </w:r>
      <w:r w:rsidRPr="00527D55">
        <w:t xml:space="preserve">These results together suggest that WCR RNAi machinery </w:t>
      </w:r>
      <w:r>
        <w:t xml:space="preserve">may be tolerant of some chemical modifications in only the guide or passenger strand, but more tolerant of other kinds of chemical modifications in </w:t>
      </w:r>
      <w:r w:rsidR="00B57F38">
        <w:t>ei</w:t>
      </w:r>
      <w:r>
        <w:t>ther strand</w:t>
      </w:r>
      <w:r w:rsidR="00B57F38">
        <w:t xml:space="preserve"> but not both</w:t>
      </w:r>
      <w:r>
        <w:t>.</w:t>
      </w:r>
      <w:r w:rsidRPr="00527D55">
        <w:t xml:space="preserve"> </w:t>
      </w:r>
    </w:p>
    <w:p w:rsidR="00013A14" w:rsidRPr="001405FF" w:rsidRDefault="00013A14" w:rsidP="00013A14">
      <w:pPr>
        <w:spacing w:line="360" w:lineRule="auto"/>
        <w:ind w:firstLine="284"/>
      </w:pPr>
      <w:r>
        <w:t>The total amount of modifications in a dsRNA with both strands modified is approximately double that of a dsRNA with only one strand modified. However, t</w:t>
      </w:r>
      <w:r w:rsidRPr="00527D55">
        <w:t xml:space="preserve">he loss in </w:t>
      </w:r>
      <w:r>
        <w:t xml:space="preserve">RNAi </w:t>
      </w:r>
      <w:r w:rsidRPr="00527D55">
        <w:t xml:space="preserve">efficacy from the presence of PS </w:t>
      </w:r>
      <w:r>
        <w:t xml:space="preserve">or 2’F </w:t>
      </w:r>
      <w:r w:rsidRPr="00527D55">
        <w:t>modifications in both strands is not a summation of the effects of modifications in either strand alone.</w:t>
      </w:r>
      <w:r>
        <w:t xml:space="preserve"> This suggests that the loss in </w:t>
      </w:r>
      <w:r w:rsidRPr="001405FF">
        <w:t xml:space="preserve">RNAi efficacy </w:t>
      </w:r>
      <w:r w:rsidR="00B57F38">
        <w:t xml:space="preserve">may </w:t>
      </w:r>
      <w:r w:rsidRPr="001405FF">
        <w:t>increase exponentially with the total amount of modifications in the dsRNA. This was investigated using PS modified dsRNA in section 6.3.3.4 below.</w:t>
      </w:r>
    </w:p>
    <w:p w:rsidR="00071E84" w:rsidRDefault="00071E84" w:rsidP="00013A14">
      <w:pPr>
        <w:spacing w:line="360" w:lineRule="auto"/>
        <w:ind w:firstLine="284"/>
      </w:pPr>
    </w:p>
    <w:p w:rsidR="00071E84" w:rsidRDefault="00C33092" w:rsidP="00D97429">
      <w:pPr>
        <w:keepNext/>
        <w:spacing w:line="360" w:lineRule="auto"/>
        <w:jc w:val="left"/>
      </w:pPr>
      <w:r>
        <w:rPr>
          <w:noProof/>
          <w:lang w:eastAsia="en-GB"/>
        </w:rPr>
        <w:lastRenderedPageBreak/>
        <w:drawing>
          <wp:inline distT="0" distB="0" distL="0" distR="0">
            <wp:extent cx="5322570" cy="3694430"/>
            <wp:effectExtent l="19050" t="0" r="0"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a:stretch>
                      <a:fillRect/>
                    </a:stretch>
                  </pic:blipFill>
                  <pic:spPr bwMode="auto">
                    <a:xfrm>
                      <a:off x="0" y="0"/>
                      <a:ext cx="5322570" cy="3694430"/>
                    </a:xfrm>
                    <a:prstGeom prst="rect">
                      <a:avLst/>
                    </a:prstGeom>
                    <a:noFill/>
                  </pic:spPr>
                </pic:pic>
              </a:graphicData>
            </a:graphic>
          </wp:inline>
        </w:drawing>
      </w:r>
    </w:p>
    <w:p w:rsidR="00B50552" w:rsidRDefault="00071E84" w:rsidP="00B50552">
      <w:pPr>
        <w:pStyle w:val="Caption"/>
        <w:spacing w:after="120"/>
        <w:rPr>
          <w:color w:val="auto"/>
        </w:rPr>
      </w:pPr>
      <w:bookmarkStart w:id="250" w:name="_Toc20411664"/>
      <w:r w:rsidRPr="00071E84">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6</w:t>
      </w:r>
      <w:r w:rsidR="005C0E76">
        <w:rPr>
          <w:color w:val="auto"/>
        </w:rPr>
        <w:fldChar w:fldCharType="end"/>
      </w:r>
      <w:r w:rsidRPr="00071E84">
        <w:rPr>
          <w:color w:val="auto"/>
        </w:rPr>
        <w:t xml:space="preserve"> </w:t>
      </w:r>
      <w:r>
        <w:rPr>
          <w:color w:val="auto"/>
        </w:rPr>
        <w:t xml:space="preserve">Overall summary of </w:t>
      </w:r>
      <w:r w:rsidRPr="00D00AAE">
        <w:rPr>
          <w:color w:val="auto"/>
        </w:rPr>
        <w:t>WCR survival feeding assay</w:t>
      </w:r>
      <w:r>
        <w:rPr>
          <w:color w:val="auto"/>
        </w:rPr>
        <w:t>s</w:t>
      </w:r>
      <w:r w:rsidRPr="00D00AAE">
        <w:rPr>
          <w:color w:val="auto"/>
        </w:rPr>
        <w:t xml:space="preserve"> using chemica</w:t>
      </w:r>
      <w:r>
        <w:rPr>
          <w:color w:val="auto"/>
        </w:rPr>
        <w:t>lly modified dsRNA.</w:t>
      </w:r>
      <w:bookmarkEnd w:id="250"/>
      <w:r>
        <w:rPr>
          <w:color w:val="auto"/>
        </w:rPr>
        <w:t xml:space="preserve"> </w:t>
      </w:r>
    </w:p>
    <w:p w:rsidR="00071E84" w:rsidRPr="00071E84" w:rsidRDefault="00071E84" w:rsidP="00B50552">
      <w:pPr>
        <w:pStyle w:val="Caption"/>
        <w:spacing w:after="120"/>
        <w:rPr>
          <w:b w:val="0"/>
          <w:color w:val="auto"/>
        </w:rPr>
      </w:pPr>
      <w:r w:rsidRPr="00071E84">
        <w:rPr>
          <w:b w:val="0"/>
          <w:color w:val="auto"/>
        </w:rPr>
        <w:t>WCR modified dsRNA plate feeding assay average of replicates of 0.01 µg from figures 6.3 and figure 6.5. Individual values are plotted along with mean.</w:t>
      </w:r>
      <w:r w:rsidR="000B4EE2">
        <w:rPr>
          <w:b w:val="0"/>
          <w:color w:val="auto"/>
        </w:rPr>
        <w:t xml:space="preserve"> N =2, see figures 6.2 and 6.4 for n numbers of insects used in each replicate.</w:t>
      </w:r>
    </w:p>
    <w:p w:rsidR="00071E84" w:rsidRDefault="00071E84" w:rsidP="00013A14">
      <w:pPr>
        <w:spacing w:line="360" w:lineRule="auto"/>
        <w:ind w:firstLine="284"/>
      </w:pPr>
    </w:p>
    <w:p w:rsidR="00013A14" w:rsidRDefault="00013A14" w:rsidP="00013A14">
      <w:pPr>
        <w:spacing w:line="360" w:lineRule="auto"/>
        <w:ind w:firstLine="284"/>
      </w:pPr>
      <w:r>
        <w:t xml:space="preserve">The results from the nuclease resistance assay </w:t>
      </w:r>
      <w:r w:rsidRPr="001405FF">
        <w:t xml:space="preserve">in section </w:t>
      </w:r>
      <w:r w:rsidR="001405FF" w:rsidRPr="001405FF">
        <w:t>4.3.2.2</w:t>
      </w:r>
      <w:r w:rsidRPr="001405FF">
        <w:t xml:space="preserve"> relating to 2’F modified dsRNA demonstrate a noted loss in nuclease resistance to stink bug salival nucleases</w:t>
      </w:r>
      <w:r>
        <w:t xml:space="preserve"> upon inclusion of 2’F modifications in dsRNA compared to unmodified dsRNA. This led to the use of 2’F dsRNA in live insect assays being suspended, and the focus placed upon the more promising phosphorothioate modified dsRNAs, which have similar RNAi activity to 2’F dsRNA but show increased resistance to insect nucleases (section</w:t>
      </w:r>
      <w:r w:rsidR="001405FF">
        <w:t xml:space="preserve"> 4.3.2.2</w:t>
      </w:r>
      <w:r>
        <w:t>).</w:t>
      </w:r>
    </w:p>
    <w:p w:rsidR="00013A14" w:rsidRDefault="00013A14" w:rsidP="00013A14">
      <w:pPr>
        <w:pStyle w:val="ListParagraph"/>
        <w:spacing w:line="360" w:lineRule="auto"/>
        <w:ind w:left="0" w:firstLine="284"/>
        <w:rPr>
          <w:color w:val="FF0000"/>
        </w:rPr>
      </w:pPr>
    </w:p>
    <w:p w:rsidR="00013A14" w:rsidRPr="005E19BE" w:rsidRDefault="00013A14" w:rsidP="00013A14">
      <w:pPr>
        <w:pStyle w:val="Heading4"/>
        <w:spacing w:before="120" w:after="120" w:line="360" w:lineRule="auto"/>
        <w:ind w:left="851" w:hanging="864"/>
      </w:pPr>
      <w:bookmarkStart w:id="251" w:name="_Toc15562899"/>
      <w:bookmarkStart w:id="252" w:name="_Toc35334011"/>
      <w:r>
        <w:t>RNAi efficacy of 1PS and 2PS modified dsRNA using a WCR diet plate feeding assay</w:t>
      </w:r>
      <w:bookmarkEnd w:id="251"/>
      <w:bookmarkEnd w:id="252"/>
    </w:p>
    <w:p w:rsidR="00013A14" w:rsidRDefault="00013A14" w:rsidP="00013A14">
      <w:pPr>
        <w:spacing w:line="360" w:lineRule="auto"/>
        <w:ind w:firstLine="284"/>
      </w:pPr>
      <w:r>
        <w:t xml:space="preserve">To </w:t>
      </w:r>
      <w:r w:rsidRPr="001405FF">
        <w:t>further analyse the effects of PS modifications in a dsRNA molecule on RNAi efficacy, a varying number of α-thio NTPs were used during IVT reactions to generate dsRNA with varying number of PS linkages (see table 6.5). The</w:t>
      </w:r>
      <w:r>
        <w:t xml:space="preserve"> total quantity of PS modifications in a dsRNA with a single nucleotide replaced by a phosphorothioate analogue throughout both strands (1PS-1PS) is likely to be approximately equal to the number of modifications in a dsRNA with two of the four nucleotides replaced by phosphorothioate analogues throughout only one strand (Un-2PS or 2PS-Un). Therefore analysis of a wider range of dsRNAs including Un-1PS, 1PS-Un and 1PS-1PS dsRNAs alongside the previously studied Un-2PS, 2PS-Un and 2PS-2PS </w:t>
      </w:r>
      <w:r w:rsidRPr="001405FF">
        <w:t>dsRNAs (</w:t>
      </w:r>
      <w:r w:rsidR="001405FF" w:rsidRPr="001405FF">
        <w:t xml:space="preserve">see </w:t>
      </w:r>
      <w:r w:rsidRPr="001405FF">
        <w:t>table 6.5) in</w:t>
      </w:r>
      <w:r>
        <w:t xml:space="preserve"> the WCR plate feeding </w:t>
      </w:r>
      <w:r>
        <w:lastRenderedPageBreak/>
        <w:t xml:space="preserve">assay would reveal more information about the RNAi efficacy of dsRNAs with a wider range of PS modifications. </w:t>
      </w:r>
    </w:p>
    <w:p w:rsidR="00013A14" w:rsidRDefault="00013A14" w:rsidP="00013A14">
      <w:pPr>
        <w:spacing w:line="360" w:lineRule="auto"/>
        <w:ind w:firstLine="284"/>
      </w:pPr>
    </w:p>
    <w:p w:rsidR="00071E84" w:rsidRPr="00071E84" w:rsidRDefault="00071E84" w:rsidP="00071E84">
      <w:pPr>
        <w:pStyle w:val="Caption"/>
        <w:keepNext/>
        <w:rPr>
          <w:color w:val="auto"/>
        </w:rPr>
      </w:pPr>
      <w:bookmarkStart w:id="253" w:name="_Toc20405275"/>
      <w:r w:rsidRPr="00071E84">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5</w:t>
      </w:r>
      <w:r w:rsidR="005C0E76">
        <w:rPr>
          <w:color w:val="auto"/>
        </w:rPr>
        <w:fldChar w:fldCharType="end"/>
      </w:r>
      <w:r w:rsidRPr="00071E84">
        <w:rPr>
          <w:color w:val="auto"/>
        </w:rPr>
        <w:t xml:space="preserve"> The list of unmodified and chemically modified dsRNAs used in the WCR diet feeding assay shown in figure 6.7.</w:t>
      </w:r>
      <w:bookmarkEnd w:id="253"/>
    </w:p>
    <w:tbl>
      <w:tblPr>
        <w:tblStyle w:val="TableGrid"/>
        <w:tblW w:w="0" w:type="auto"/>
        <w:jc w:val="center"/>
        <w:tblLook w:val="04A0"/>
      </w:tblPr>
      <w:tblGrid>
        <w:gridCol w:w="2116"/>
        <w:gridCol w:w="2375"/>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375" w:type="dxa"/>
          </w:tcPr>
          <w:p w:rsidR="00013A14" w:rsidRDefault="00013A14" w:rsidP="00256D23">
            <w:pPr>
              <w:jc w:val="center"/>
              <w:rPr>
                <w:b/>
              </w:rPr>
            </w:pPr>
            <w:r>
              <w:rPr>
                <w:b/>
              </w:rPr>
              <w:t>Modification</w:t>
            </w:r>
          </w:p>
          <w:p w:rsidR="00013A14" w:rsidRPr="00CC2847" w:rsidRDefault="00013A14" w:rsidP="00256D23">
            <w:pPr>
              <w:jc w:val="center"/>
              <w:rPr>
                <w:b/>
              </w:rPr>
            </w:pPr>
            <w:r>
              <w:rPr>
                <w:b/>
              </w:rPr>
              <w:t>(guide-passenger)</w:t>
            </w:r>
          </w:p>
        </w:tc>
      </w:tr>
      <w:tr w:rsidR="00013A14" w:rsidRPr="00CC2847" w:rsidTr="00256D23">
        <w:trPr>
          <w:jc w:val="center"/>
        </w:trPr>
        <w:tc>
          <w:tcPr>
            <w:tcW w:w="2116" w:type="dxa"/>
            <w:vMerge w:val="restart"/>
          </w:tcPr>
          <w:p w:rsidR="00013A14" w:rsidRPr="00CC2847" w:rsidRDefault="00013A14" w:rsidP="00256D23">
            <w:pPr>
              <w:jc w:val="center"/>
            </w:pPr>
            <w:r>
              <w:t>Target B</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Un-1PS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1PS-Un</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1PS-1PS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Un-2PS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2PS-Un</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2PS-2PS</w:t>
            </w:r>
          </w:p>
        </w:tc>
      </w:tr>
      <w:tr w:rsidR="00013A14" w:rsidRPr="00CC2847" w:rsidTr="00256D23">
        <w:trPr>
          <w:jc w:val="center"/>
        </w:trPr>
        <w:tc>
          <w:tcPr>
            <w:tcW w:w="2116" w:type="dxa"/>
          </w:tcPr>
          <w:p w:rsidR="00013A14" w:rsidRDefault="00013A14" w:rsidP="00256D23">
            <w:pPr>
              <w:jc w:val="center"/>
            </w:pPr>
            <w:r>
              <w:t>GFP</w:t>
            </w:r>
          </w:p>
        </w:tc>
        <w:tc>
          <w:tcPr>
            <w:tcW w:w="2375" w:type="dxa"/>
          </w:tcPr>
          <w:p w:rsidR="00013A14" w:rsidRDefault="00013A14" w:rsidP="00256D23">
            <w:pPr>
              <w:jc w:val="center"/>
            </w:pPr>
            <w:r>
              <w:t>Unmod</w:t>
            </w:r>
          </w:p>
        </w:tc>
      </w:tr>
      <w:tr w:rsidR="00013A14" w:rsidRPr="00CC2847" w:rsidTr="00256D23">
        <w:trPr>
          <w:jc w:val="center"/>
        </w:trPr>
        <w:tc>
          <w:tcPr>
            <w:tcW w:w="2116" w:type="dxa"/>
          </w:tcPr>
          <w:p w:rsidR="00013A14" w:rsidRDefault="00013A14" w:rsidP="00256D23">
            <w:pPr>
              <w:jc w:val="center"/>
            </w:pPr>
            <w:r>
              <w:t>No dsRNA</w:t>
            </w:r>
          </w:p>
        </w:tc>
        <w:tc>
          <w:tcPr>
            <w:tcW w:w="2375" w:type="dxa"/>
          </w:tcPr>
          <w:p w:rsidR="00013A14" w:rsidRDefault="00013A14" w:rsidP="00256D23">
            <w:pPr>
              <w:jc w:val="center"/>
            </w:pPr>
            <w:r>
              <w:t>N/A</w:t>
            </w:r>
          </w:p>
        </w:tc>
      </w:tr>
    </w:tbl>
    <w:p w:rsidR="00013A14" w:rsidRDefault="00013A14" w:rsidP="00013A14">
      <w:pPr>
        <w:ind w:firstLine="284"/>
      </w:pPr>
    </w:p>
    <w:p w:rsidR="00013A14" w:rsidRPr="001405FF" w:rsidRDefault="00013A14" w:rsidP="00013A14">
      <w:pPr>
        <w:spacing w:line="360" w:lineRule="auto"/>
        <w:ind w:firstLine="284"/>
      </w:pPr>
      <w:r>
        <w:t xml:space="preserve">For each dsRNA, 0.01 and 0.001 µg of dsRNA per well were used, in conjunction with GFP dsRNA and wells containing no dsRNA as controls. Once again half of a 48 well plate was dedicated per condition along with a whole plate of diet only control. WCR larvae were seeded onto the plates and mortality scored daily as described previously </w:t>
      </w:r>
      <w:r w:rsidRPr="00FC302D">
        <w:t>for seven days. Survival figures were again normalised to day one survival numbers as before in order to negate most</w:t>
      </w:r>
      <w:r>
        <w:t xml:space="preserve"> of the non-RNAi mortality associated with mishandling of rootworms during plate seeding. Two replicate assays were performed. The first replicate was carried out by staff at Syngenta</w:t>
      </w:r>
      <w:r w:rsidR="00071E84">
        <w:t>, Ghent,</w:t>
      </w:r>
      <w:r>
        <w:t xml:space="preserve"> with dsRNA produced in </w:t>
      </w:r>
      <w:r w:rsidRPr="00071E84">
        <w:t xml:space="preserve">Sheffield, and I carried out the </w:t>
      </w:r>
      <w:r w:rsidRPr="001405FF">
        <w:t xml:space="preserve">second replicate. </w:t>
      </w:r>
    </w:p>
    <w:p w:rsidR="00013A14" w:rsidRPr="001405FF" w:rsidRDefault="00013A14" w:rsidP="00013A14">
      <w:pPr>
        <w:spacing w:line="360" w:lineRule="auto"/>
        <w:ind w:firstLine="284"/>
      </w:pPr>
      <w:r w:rsidRPr="001405FF">
        <w:t>The results are shown in figure 6.7</w:t>
      </w:r>
      <w:r w:rsidR="00BF121F">
        <w:t xml:space="preserve"> as final day 7 percentage survival, and in </w:t>
      </w:r>
      <w:r w:rsidR="00BF121F" w:rsidRPr="001405FF">
        <w:t>Appendix 2, figures A2.1 &amp; A2.2</w:t>
      </w:r>
      <w:r w:rsidR="00BF121F">
        <w:t xml:space="preserve"> as full time courses</w:t>
      </w:r>
      <w:r w:rsidRPr="001405FF">
        <w:t xml:space="preserve">. Replicates show good agreement on final day 7 percentage </w:t>
      </w:r>
      <w:r w:rsidR="00BF121F">
        <w:t>survival</w:t>
      </w:r>
      <w:r w:rsidRPr="001405FF">
        <w:t xml:space="preserve"> (figure 6.7), but demonstrate poor agreement on time points for some earlier days in the assay (</w:t>
      </w:r>
      <w:r w:rsidR="00BF121F" w:rsidRPr="001405FF">
        <w:t>Appendix 2, figures A2.1 &amp; A2.2</w:t>
      </w:r>
      <w:r w:rsidRPr="001405FF">
        <w:t xml:space="preserve">). Day 3 in particular showed wide variation between the two replicates, with RNAi-related mortality observed at this point for most dsRNAs in the first replicate, but not the second. Analysis of the results was therefore confined to the final average percentage </w:t>
      </w:r>
      <w:r w:rsidR="00BF121F">
        <w:t>survival on day 7 (see figure 6.7</w:t>
      </w:r>
      <w:r w:rsidRPr="001405FF">
        <w:t>).</w:t>
      </w:r>
    </w:p>
    <w:p w:rsidR="00013A14" w:rsidRDefault="00013A14" w:rsidP="00013A14">
      <w:pPr>
        <w:spacing w:line="360" w:lineRule="auto"/>
        <w:ind w:firstLine="284"/>
      </w:pPr>
      <w:r w:rsidRPr="001405FF">
        <w:t>The results show that for both 1PS and 2PS dsRNAs, dsRNA with PS modifications in the passenger strand (Un-1PS, Un-2PS) showed increased RNAi activity compared to their respective</w:t>
      </w:r>
      <w:r>
        <w:t xml:space="preserve"> counterparts with PS modifications in the guide strand (1PS-Un, 2PS-Un). However, only dsRNA with 1PS modifications in the passenger strand had similar RNAi efficacy compared to unmodified dsRNA; all other PS modified dsRNAs showed reduced RNAi efficacy compared to unmodified dsRNA. Furthermore, increasing the number of PS modifications in the sense strand resulted in reduced RNAi activity.</w:t>
      </w:r>
    </w:p>
    <w:p w:rsidR="00013A14" w:rsidRDefault="00013A14" w:rsidP="00013A14">
      <w:pPr>
        <w:spacing w:line="360" w:lineRule="auto"/>
        <w:ind w:firstLine="284"/>
      </w:pPr>
    </w:p>
    <w:p w:rsidR="00BF121F" w:rsidRDefault="00BF121F" w:rsidP="00013A14">
      <w:pPr>
        <w:spacing w:line="360" w:lineRule="auto"/>
        <w:ind w:firstLine="284"/>
      </w:pPr>
    </w:p>
    <w:p w:rsidR="00071E84" w:rsidRDefault="00BF121F" w:rsidP="00071E84">
      <w:pPr>
        <w:keepNext/>
        <w:spacing w:after="200"/>
        <w:jc w:val="left"/>
      </w:pPr>
      <w:r>
        <w:rPr>
          <w:noProof/>
          <w:lang w:eastAsia="en-GB"/>
        </w:rPr>
        <w:drawing>
          <wp:inline distT="0" distB="0" distL="0" distR="0">
            <wp:extent cx="5754141" cy="3421380"/>
            <wp:effectExtent l="19050" t="0" r="0" b="0"/>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5760094" cy="3424920"/>
                    </a:xfrm>
                    <a:prstGeom prst="rect">
                      <a:avLst/>
                    </a:prstGeom>
                    <a:noFill/>
                  </pic:spPr>
                </pic:pic>
              </a:graphicData>
            </a:graphic>
          </wp:inline>
        </w:drawing>
      </w:r>
    </w:p>
    <w:p w:rsidR="00B50552" w:rsidRDefault="00071E84" w:rsidP="00B50552">
      <w:pPr>
        <w:pStyle w:val="Caption"/>
        <w:spacing w:after="120"/>
        <w:rPr>
          <w:color w:val="auto"/>
        </w:rPr>
      </w:pPr>
      <w:bookmarkStart w:id="254" w:name="_Toc20411665"/>
      <w:r w:rsidRPr="00071E84">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7</w:t>
      </w:r>
      <w:r w:rsidR="005C0E76">
        <w:rPr>
          <w:color w:val="auto"/>
        </w:rPr>
        <w:fldChar w:fldCharType="end"/>
      </w:r>
      <w:r w:rsidRPr="00071E84">
        <w:rPr>
          <w:color w:val="auto"/>
        </w:rPr>
        <w:t xml:space="preserve"> </w:t>
      </w:r>
      <w:r>
        <w:rPr>
          <w:color w:val="auto"/>
        </w:rPr>
        <w:t xml:space="preserve">Summary of </w:t>
      </w:r>
      <w:r w:rsidRPr="00D00AAE">
        <w:rPr>
          <w:color w:val="auto"/>
        </w:rPr>
        <w:t xml:space="preserve">WCR survival feeding assay using </w:t>
      </w:r>
      <w:r>
        <w:rPr>
          <w:color w:val="auto"/>
        </w:rPr>
        <w:t xml:space="preserve">1PS and 2PS </w:t>
      </w:r>
      <w:r w:rsidRPr="00D00AAE">
        <w:rPr>
          <w:color w:val="auto"/>
        </w:rPr>
        <w:t>chemica</w:t>
      </w:r>
      <w:r>
        <w:rPr>
          <w:color w:val="auto"/>
        </w:rPr>
        <w:t>lly modified dsRNA.</w:t>
      </w:r>
      <w:bookmarkEnd w:id="254"/>
      <w:r>
        <w:rPr>
          <w:color w:val="auto"/>
        </w:rPr>
        <w:t xml:space="preserve"> </w:t>
      </w:r>
    </w:p>
    <w:p w:rsidR="00071E84" w:rsidRPr="00071E84" w:rsidRDefault="00071E84" w:rsidP="00B50552">
      <w:pPr>
        <w:pStyle w:val="Caption"/>
        <w:spacing w:after="120"/>
        <w:rPr>
          <w:b w:val="0"/>
          <w:color w:val="auto"/>
        </w:rPr>
      </w:pPr>
      <w:r w:rsidRPr="00071E84">
        <w:rPr>
          <w:b w:val="0"/>
          <w:color w:val="auto"/>
        </w:rPr>
        <w:t>WCR 1PS &amp; 2PS modified dsRNA plate feeding assay. The assay was repeated to give two replicate assays</w:t>
      </w:r>
      <w:r w:rsidR="000B4EE2">
        <w:rPr>
          <w:b w:val="0"/>
          <w:color w:val="auto"/>
        </w:rPr>
        <w:t xml:space="preserve"> (N = 2)</w:t>
      </w:r>
      <w:r w:rsidRPr="00071E84">
        <w:rPr>
          <w:b w:val="0"/>
          <w:color w:val="auto"/>
        </w:rPr>
        <w:t>.</w:t>
      </w:r>
      <w:r w:rsidR="00BF121F">
        <w:rPr>
          <w:b w:val="0"/>
          <w:color w:val="auto"/>
        </w:rPr>
        <w:t xml:space="preserve"> The day 7 survival results for the two sets of replicate results are plotted, with lines indicating the mean</w:t>
      </w:r>
      <w:r w:rsidR="00BF121F" w:rsidRPr="00071E84">
        <w:rPr>
          <w:b w:val="0"/>
          <w:color w:val="auto"/>
        </w:rPr>
        <w:t xml:space="preserve">. </w:t>
      </w:r>
      <w:r w:rsidRPr="00071E84">
        <w:rPr>
          <w:b w:val="0"/>
          <w:color w:val="auto"/>
        </w:rPr>
        <w:t>The results of the two replicates are</w:t>
      </w:r>
      <w:r w:rsidR="001405FF">
        <w:rPr>
          <w:b w:val="0"/>
          <w:color w:val="auto"/>
        </w:rPr>
        <w:t xml:space="preserve"> shown side by side</w:t>
      </w:r>
      <w:r w:rsidR="00BF121F">
        <w:rPr>
          <w:b w:val="0"/>
          <w:color w:val="auto"/>
        </w:rPr>
        <w:t xml:space="preserve"> as time courses</w:t>
      </w:r>
      <w:r w:rsidR="001405FF">
        <w:rPr>
          <w:b w:val="0"/>
          <w:color w:val="auto"/>
        </w:rPr>
        <w:t xml:space="preserve"> in Appendix 2</w:t>
      </w:r>
      <w:r w:rsidRPr="00071E84">
        <w:rPr>
          <w:b w:val="0"/>
          <w:color w:val="auto"/>
        </w:rPr>
        <w:t>, figures A</w:t>
      </w:r>
      <w:r w:rsidR="001405FF">
        <w:rPr>
          <w:b w:val="0"/>
          <w:color w:val="auto"/>
        </w:rPr>
        <w:t>2.</w:t>
      </w:r>
      <w:r w:rsidRPr="00071E84">
        <w:rPr>
          <w:b w:val="0"/>
          <w:color w:val="auto"/>
        </w:rPr>
        <w:t>1 &amp; A</w:t>
      </w:r>
      <w:r w:rsidR="001405FF">
        <w:rPr>
          <w:b w:val="0"/>
          <w:color w:val="auto"/>
        </w:rPr>
        <w:t>2.</w:t>
      </w:r>
      <w:r w:rsidR="00BF121F">
        <w:rPr>
          <w:b w:val="0"/>
          <w:color w:val="auto"/>
        </w:rPr>
        <w:t>2</w:t>
      </w:r>
      <w:r w:rsidR="000B4EE2">
        <w:rPr>
          <w:b w:val="0"/>
          <w:color w:val="auto"/>
        </w:rPr>
        <w:t>, along with n numbers of insects used for each replicate</w:t>
      </w:r>
      <w:r w:rsidR="00BF121F">
        <w:rPr>
          <w:b w:val="0"/>
          <w:color w:val="auto"/>
        </w:rPr>
        <w:t>.</w:t>
      </w:r>
      <w:r w:rsidRPr="00071E84">
        <w:rPr>
          <w:b w:val="0"/>
          <w:color w:val="auto"/>
        </w:rPr>
        <w:t xml:space="preserve"> </w:t>
      </w:r>
    </w:p>
    <w:p w:rsidR="00BF121F" w:rsidRDefault="00BF121F" w:rsidP="00013A14">
      <w:pPr>
        <w:spacing w:line="360" w:lineRule="auto"/>
        <w:ind w:firstLine="284"/>
      </w:pPr>
    </w:p>
    <w:p w:rsidR="00013A14" w:rsidRDefault="00013A14" w:rsidP="00013A14">
      <w:pPr>
        <w:spacing w:line="360" w:lineRule="auto"/>
        <w:ind w:firstLine="284"/>
      </w:pPr>
      <w:r>
        <w:t>2PS-2PS dsRNA was significantly less active than 2PS-Un dsRNA or any other targeting dsRNA, with activity being essentially lost for even the highest concentration of 0.01 µg per well. These results demonstrate a progressive decrease in RNAi activity due to the increasing number of PS modifications. The previous observations for 2PS modified dsRNA regarding the link between RNAi efficacy and which strand of the dsRNA contains PS modifications were also demonstrated to be true for 1PS modified dsRNA.</w:t>
      </w:r>
    </w:p>
    <w:p w:rsidR="00013A14" w:rsidRDefault="00013A14" w:rsidP="00013A14">
      <w:pPr>
        <w:spacing w:line="360" w:lineRule="auto"/>
        <w:ind w:firstLine="284"/>
      </w:pPr>
      <w:r>
        <w:t xml:space="preserve">It was noted that the rank order of RNAi efficacy for the 2PS dsRNAs was the same as in the previous screens. However, the activity of the 2PS dsRNAs was lower compared to some previous experiments. For example, insects fed 0.01 µg per well of dsRNA with 2PS modifications in the passenger strand (Un-2PS) showed survival of around 20% and 30% in the two replicates from this experiment. The first screen had similar final insect survival of around 20% for this dsRNA concentration, however the replicate screen had insect survival of around only 5%. Un-2PS dsRNA also had moderately lower RNAi efficacy than unmodified dsRNA in this experiment, whereas previous experiments demonstrated approximately equivalent RNAi efficacy for Un-2PS and </w:t>
      </w:r>
      <w:r>
        <w:lastRenderedPageBreak/>
        <w:t xml:space="preserve">unmodified dsRNA. This suggests that some variation may occur between experiments, possibly due to factors such as slight variation in insect staging at the start of the experiment. Comparisons of survival figures between experiments should therefore be done cautiously, and comparisons within experiments are preferable, with comparisons between separate experiments being confined to the rank order of efficacy of the dsRNAs. </w:t>
      </w:r>
    </w:p>
    <w:p w:rsidR="00013A14" w:rsidRDefault="00013A14" w:rsidP="00013A14">
      <w:pPr>
        <w:spacing w:line="360" w:lineRule="auto"/>
        <w:ind w:firstLine="284"/>
        <w:rPr>
          <w:color w:val="FF0000"/>
        </w:rPr>
      </w:pPr>
    </w:p>
    <w:p w:rsidR="00013A14" w:rsidRDefault="00013A14" w:rsidP="00013A14">
      <w:pPr>
        <w:pStyle w:val="Heading4"/>
        <w:spacing w:before="120" w:after="120" w:line="360" w:lineRule="auto"/>
        <w:ind w:left="993" w:hanging="864"/>
      </w:pPr>
      <w:bookmarkStart w:id="255" w:name="_Toc15562900"/>
      <w:bookmarkStart w:id="256" w:name="_Toc35334012"/>
      <w:r>
        <w:t>WCR soil feeding assay</w:t>
      </w:r>
      <w:bookmarkEnd w:id="255"/>
      <w:bookmarkEnd w:id="256"/>
    </w:p>
    <w:p w:rsidR="00013A14" w:rsidRDefault="00013A14" w:rsidP="00013A14">
      <w:pPr>
        <w:spacing w:line="360" w:lineRule="auto"/>
        <w:ind w:firstLine="284"/>
      </w:pPr>
      <w:r>
        <w:t xml:space="preserve">Previous results in the WCR feeding screens conducted in diet plates, showed that although a number of phosphorothioate modified dsRNAs had similar RNAi efficacy compared to unmodified dsRNA, none demonstrated improved RNAi </w:t>
      </w:r>
      <w:r w:rsidRPr="001405FF">
        <w:t>efficacy. Therefore, further experiments were performed to determine if the potential benefits in improved resistance of the PS modified dsRNA to environmental nucleases (</w:t>
      </w:r>
      <w:r w:rsidR="001405FF" w:rsidRPr="001405FF">
        <w:t xml:space="preserve">based on improved resistance to insect nucleases demonstrated in </w:t>
      </w:r>
      <w:r w:rsidRPr="001405FF">
        <w:t xml:space="preserve">section </w:t>
      </w:r>
      <w:r w:rsidR="001405FF" w:rsidRPr="001405FF">
        <w:t>4.3.2.2</w:t>
      </w:r>
      <w:r w:rsidRPr="001405FF">
        <w:t>) impact on overall RNAi efficacy. As WCR larvae feed</w:t>
      </w:r>
      <w:r>
        <w:t xml:space="preserve"> on the roots of corn plants, their feeding environment is the surrounding soil. Soil contains a variety of microorganisms, insects, and plant matter, all of which are </w:t>
      </w:r>
      <w:r w:rsidR="00B57F38">
        <w:t>sources of extra-</w:t>
      </w:r>
      <w:r w:rsidRPr="00D31DF4">
        <w:t>cellular</w:t>
      </w:r>
      <w:r>
        <w:t xml:space="preserve"> nucleases capable of degrading insecticidal dsRNA prior to it being ingested by the target insect. Protection against the activity of these nucleases by phosphorothioate modifications as seen for stink bug salival nucleases, could therefore ensure insecticidal phosphorothioate dsRNA would remain intact and active in the soil for a greater length of time compared to unmodified dsRNA. </w:t>
      </w:r>
    </w:p>
    <w:p w:rsidR="00BF121F" w:rsidRDefault="00BF121F" w:rsidP="00013A14">
      <w:pPr>
        <w:spacing w:line="360" w:lineRule="auto"/>
        <w:ind w:firstLine="284"/>
      </w:pPr>
    </w:p>
    <w:p w:rsidR="00013A14" w:rsidRDefault="00013A14" w:rsidP="00013A14">
      <w:pPr>
        <w:spacing w:line="360" w:lineRule="auto"/>
        <w:ind w:firstLine="284"/>
      </w:pPr>
      <w:r>
        <w:t xml:space="preserve">In order to test the hypothesis that phosphorothioate dsRNAs would maintain their insecticidal activity in soil for longer than </w:t>
      </w:r>
      <w:r w:rsidRPr="002D22C2">
        <w:t>unmodified dsRNAs, unmodified and various phosphorothioate dsRNAs were tested in a soil feeding assay (</w:t>
      </w:r>
      <w:r w:rsidR="002D22C2">
        <w:t xml:space="preserve">see </w:t>
      </w:r>
      <w:r w:rsidRPr="002D22C2">
        <w:t>section 2.</w:t>
      </w:r>
      <w:r w:rsidR="002D22C2" w:rsidRPr="002D22C2">
        <w:t>5.4</w:t>
      </w:r>
      <w:r w:rsidRPr="002D22C2">
        <w:t>). This assay involved the application of dsRNAs to a defined “live” soil containing naturally occurring live microorganisms, within which WCR larvae were then placed for around 24 hours. The larvae</w:t>
      </w:r>
      <w:r>
        <w:t xml:space="preserve"> were then transferred to diet plates, and their mortality scored over the subsequent </w:t>
      </w:r>
      <w:r w:rsidRPr="005443CE">
        <w:t xml:space="preserve">period of 7 days. The dsRNAs were also applied to </w:t>
      </w:r>
      <w:r>
        <w:t>a second</w:t>
      </w:r>
      <w:r w:rsidRPr="005443CE">
        <w:t xml:space="preserve"> set of soil samples at the start of the assay, which were then left</w:t>
      </w:r>
      <w:r>
        <w:t xml:space="preserve"> to incubate at insect rearing conditions for 1 week. After the allotted time period, </w:t>
      </w:r>
      <w:r w:rsidRPr="002D22C2">
        <w:t xml:space="preserve">the soil in these plates was then seeded with WCR larvae, again for 24 hours, after which they were again transferred to diet plates (see </w:t>
      </w:r>
      <w:r w:rsidR="002D22C2" w:rsidRPr="002D22C2">
        <w:t>section 2.5.3</w:t>
      </w:r>
      <w:r w:rsidRPr="002D22C2">
        <w:t>). The diet plate feeding assay had conclusively shown that phosphorothioate</w:t>
      </w:r>
      <w:r>
        <w:t xml:space="preserve"> modifications in the guide (antisense) strand reduced the RNAi activity compared to unmodified dsRNA, and thus insecticidal activity of dsRNAs, therefore these dsRNAs were not used in this study. Modifications in both strands also reduced RNAi activity, however data from the stink bug salival nuclease stability assay indicated that modifications in both strands greatly </w:t>
      </w:r>
      <w:r w:rsidRPr="002D22C2">
        <w:t xml:space="preserve">increased nuclease stability compared to </w:t>
      </w:r>
      <w:r w:rsidRPr="002D22C2">
        <w:lastRenderedPageBreak/>
        <w:t xml:space="preserve">modifications in a single strand, or unmodified dsRNA (see section </w:t>
      </w:r>
      <w:r w:rsidR="002D22C2" w:rsidRPr="002D22C2">
        <w:t>4.3.2.2</w:t>
      </w:r>
      <w:r w:rsidRPr="002D22C2">
        <w:t>).</w:t>
      </w:r>
      <w:r>
        <w:t xml:space="preserve"> dsRNAs with phosphorothioate modifications in both strands were therefore also used, as the increased stability of the dsRNA in the soil </w:t>
      </w:r>
      <w:r w:rsidRPr="002D22C2">
        <w:t xml:space="preserve">might be a greater contributing factor to overall insecticidal activity compared to any reduction of RNAi activity due to the chemical modifications. The list of dsRNAs tested in the assay is given in table 6.6. </w:t>
      </w:r>
    </w:p>
    <w:p w:rsidR="00BF121F" w:rsidRPr="002D22C2" w:rsidRDefault="00BF121F" w:rsidP="00013A14">
      <w:pPr>
        <w:spacing w:line="360" w:lineRule="auto"/>
        <w:ind w:firstLine="284"/>
      </w:pPr>
    </w:p>
    <w:p w:rsidR="00013A14" w:rsidRDefault="00013A14" w:rsidP="00013A14">
      <w:pPr>
        <w:ind w:firstLine="284"/>
      </w:pPr>
    </w:p>
    <w:p w:rsidR="00071E84" w:rsidRPr="00071E84" w:rsidRDefault="00071E84" w:rsidP="00071E84">
      <w:pPr>
        <w:pStyle w:val="Caption"/>
        <w:keepNext/>
        <w:rPr>
          <w:color w:val="auto"/>
        </w:rPr>
      </w:pPr>
      <w:bookmarkStart w:id="257" w:name="_Toc20405276"/>
      <w:r w:rsidRPr="00071E84">
        <w:rPr>
          <w:color w:val="auto"/>
        </w:rPr>
        <w:t xml:space="preserve">Table </w:t>
      </w:r>
      <w:r w:rsidR="005C0E76">
        <w:rPr>
          <w:color w:val="auto"/>
        </w:rPr>
        <w:fldChar w:fldCharType="begin"/>
      </w:r>
      <w:r w:rsidR="005A0466">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5A0466">
        <w:rPr>
          <w:color w:val="auto"/>
        </w:rPr>
        <w:t>.</w:t>
      </w:r>
      <w:r w:rsidR="005C0E76">
        <w:rPr>
          <w:color w:val="auto"/>
        </w:rPr>
        <w:fldChar w:fldCharType="begin"/>
      </w:r>
      <w:r w:rsidR="005A0466">
        <w:rPr>
          <w:color w:val="auto"/>
        </w:rPr>
        <w:instrText xml:space="preserve"> SEQ Table \* ARABIC \s 1 </w:instrText>
      </w:r>
      <w:r w:rsidR="005C0E76">
        <w:rPr>
          <w:color w:val="auto"/>
        </w:rPr>
        <w:fldChar w:fldCharType="separate"/>
      </w:r>
      <w:r w:rsidR="008F594A">
        <w:rPr>
          <w:noProof/>
          <w:color w:val="auto"/>
        </w:rPr>
        <w:t>6</w:t>
      </w:r>
      <w:r w:rsidR="005C0E76">
        <w:rPr>
          <w:color w:val="auto"/>
        </w:rPr>
        <w:fldChar w:fldCharType="end"/>
      </w:r>
      <w:r w:rsidRPr="00071E84">
        <w:rPr>
          <w:color w:val="auto"/>
        </w:rPr>
        <w:t xml:space="preserve"> The list of unmodified and chemically modified dsRNAs used in the WCR soil feeding assay shown in figure 6.8.</w:t>
      </w:r>
      <w:bookmarkEnd w:id="257"/>
    </w:p>
    <w:tbl>
      <w:tblPr>
        <w:tblStyle w:val="TableGrid"/>
        <w:tblW w:w="0" w:type="auto"/>
        <w:jc w:val="center"/>
        <w:tblLook w:val="04A0"/>
      </w:tblPr>
      <w:tblGrid>
        <w:gridCol w:w="2116"/>
        <w:gridCol w:w="2375"/>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375" w:type="dxa"/>
          </w:tcPr>
          <w:p w:rsidR="00013A14" w:rsidRDefault="00013A14" w:rsidP="00256D23">
            <w:pPr>
              <w:jc w:val="center"/>
              <w:rPr>
                <w:b/>
              </w:rPr>
            </w:pPr>
            <w:r>
              <w:rPr>
                <w:b/>
              </w:rPr>
              <w:t xml:space="preserve">Modification </w:t>
            </w:r>
          </w:p>
          <w:p w:rsidR="00013A14" w:rsidRPr="00CC2847" w:rsidRDefault="00013A14" w:rsidP="00256D23">
            <w:pPr>
              <w:jc w:val="center"/>
              <w:rPr>
                <w:b/>
              </w:rPr>
            </w:pPr>
            <w:r>
              <w:rPr>
                <w:b/>
              </w:rPr>
              <w:t>(guide-passenger)</w:t>
            </w:r>
          </w:p>
        </w:tc>
      </w:tr>
      <w:tr w:rsidR="00013A14" w:rsidRPr="00CC2847" w:rsidTr="00256D23">
        <w:trPr>
          <w:jc w:val="center"/>
        </w:trPr>
        <w:tc>
          <w:tcPr>
            <w:tcW w:w="2116" w:type="dxa"/>
            <w:vMerge w:val="restart"/>
          </w:tcPr>
          <w:p w:rsidR="00013A14" w:rsidRPr="00CC2847" w:rsidRDefault="00013A14" w:rsidP="00256D23">
            <w:pPr>
              <w:jc w:val="center"/>
            </w:pPr>
            <w:r>
              <w:t>Target B</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Un-1PS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1PS-1PS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Un-2PS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2PS-2PS</w:t>
            </w:r>
          </w:p>
        </w:tc>
      </w:tr>
      <w:tr w:rsidR="00013A14" w:rsidRPr="00CC2847" w:rsidTr="00256D23">
        <w:trPr>
          <w:jc w:val="center"/>
        </w:trPr>
        <w:tc>
          <w:tcPr>
            <w:tcW w:w="2116" w:type="dxa"/>
          </w:tcPr>
          <w:p w:rsidR="00013A14" w:rsidRDefault="00013A14" w:rsidP="00256D23">
            <w:pPr>
              <w:jc w:val="center"/>
            </w:pPr>
            <w:r>
              <w:t>GFP</w:t>
            </w:r>
          </w:p>
        </w:tc>
        <w:tc>
          <w:tcPr>
            <w:tcW w:w="2375" w:type="dxa"/>
          </w:tcPr>
          <w:p w:rsidR="00013A14" w:rsidRDefault="00013A14" w:rsidP="00256D23">
            <w:pPr>
              <w:jc w:val="center"/>
            </w:pPr>
            <w:r>
              <w:t>Unmod</w:t>
            </w:r>
          </w:p>
        </w:tc>
      </w:tr>
      <w:tr w:rsidR="00013A14" w:rsidRPr="00CC2847" w:rsidTr="00256D23">
        <w:trPr>
          <w:jc w:val="center"/>
        </w:trPr>
        <w:tc>
          <w:tcPr>
            <w:tcW w:w="2116" w:type="dxa"/>
          </w:tcPr>
          <w:p w:rsidR="00013A14" w:rsidRDefault="00013A14" w:rsidP="00256D23">
            <w:pPr>
              <w:jc w:val="center"/>
            </w:pPr>
            <w:r>
              <w:t>No dsRNA</w:t>
            </w:r>
          </w:p>
        </w:tc>
        <w:tc>
          <w:tcPr>
            <w:tcW w:w="2375" w:type="dxa"/>
          </w:tcPr>
          <w:p w:rsidR="00013A14" w:rsidRDefault="00013A14" w:rsidP="00256D23">
            <w:pPr>
              <w:jc w:val="center"/>
            </w:pPr>
            <w:r>
              <w:t>N/A</w:t>
            </w:r>
          </w:p>
        </w:tc>
      </w:tr>
    </w:tbl>
    <w:p w:rsidR="00013A14" w:rsidRDefault="00013A14" w:rsidP="00013A14">
      <w:pPr>
        <w:ind w:firstLine="284"/>
      </w:pPr>
    </w:p>
    <w:p w:rsidR="00BF121F" w:rsidRDefault="00BF121F" w:rsidP="00013A14">
      <w:pPr>
        <w:ind w:firstLine="284"/>
      </w:pPr>
    </w:p>
    <w:p w:rsidR="00BF121F" w:rsidRDefault="00BF121F" w:rsidP="00013A14">
      <w:pPr>
        <w:ind w:firstLine="284"/>
      </w:pPr>
    </w:p>
    <w:p w:rsidR="00013A14" w:rsidRPr="002D22C2" w:rsidRDefault="00013A14" w:rsidP="00013A14">
      <w:pPr>
        <w:spacing w:line="360" w:lineRule="auto"/>
        <w:ind w:firstLine="284"/>
      </w:pPr>
      <w:r>
        <w:t xml:space="preserve">The selected unmodified, 1PS and 2PS dsRNAs were analysed across a concentration range using 15, 5, 1.7 and 0.6 µg of dsRNA per soil sample. dsRNA was added to </w:t>
      </w:r>
      <w:r w:rsidR="00B57F38">
        <w:t>two</w:t>
      </w:r>
      <w:r>
        <w:t xml:space="preserve"> soil samples for each concentration of each </w:t>
      </w:r>
      <w:r w:rsidRPr="002D22C2">
        <w:t xml:space="preserve">dsRNA. </w:t>
      </w:r>
    </w:p>
    <w:p w:rsidR="00013A14" w:rsidRDefault="00013A14" w:rsidP="00013A14">
      <w:pPr>
        <w:spacing w:line="360" w:lineRule="auto"/>
        <w:ind w:firstLine="284"/>
      </w:pPr>
      <w:r w:rsidRPr="002D22C2">
        <w:t>The results are shown in figure 6.8 a-e as survival time courses, and summarised as final percentage survival in figure 6.8 f. The results demonstrate that for the week 0 time point dsRNAs at the lowest concentration of 0</w:t>
      </w:r>
      <w:r>
        <w:t xml:space="preserve">.6 µg per soil sample had no detectable insecticidal activity, with final day 7 mortality figures being similar to the negative control conditions. The highest concentration of 15 µg of dsRNA shows approximately equal survival at day 7 for unmodified dsRNA, dsRNA with 1PS or 2PS modifications in the passenger strand, and dsRNA with 1PS modifications in both strands, with </w:t>
      </w:r>
      <w:r w:rsidR="00B57F38">
        <w:t>reduced</w:t>
      </w:r>
      <w:r>
        <w:t xml:space="preserve"> mortality for dsRNA with 2PS modifications in both strands. By day 7, mortality for Un-1PS dsRNA at concentrations of 5 µg per soil sample was similar to the mortality observed for the equivalent concentrations of unmodified dsRNA. The data for 1.7 µg of Un-1PS dsRNA shows a loss in activity compared to unmodified dsRNA, to the extent it demonstrated mortality figures that are comparable to the negative control conditions, whereas unmodified dsRNA retained some insecticidal activity for this concentration.</w:t>
      </w:r>
    </w:p>
    <w:p w:rsidR="00071E84" w:rsidRDefault="00013A14" w:rsidP="00013A14">
      <w:pPr>
        <w:spacing w:line="360" w:lineRule="auto"/>
        <w:ind w:firstLine="284"/>
      </w:pPr>
      <w:r>
        <w:t xml:space="preserve">Un-2PS dsRNA also demonstrated similar insecticidal activity compared to unmodified dsRNA at 15 </w:t>
      </w:r>
      <w:r w:rsidR="00071E84">
        <w:t xml:space="preserve"> </w:t>
      </w:r>
      <w:r>
        <w:t xml:space="preserve">and </w:t>
      </w:r>
      <w:r w:rsidR="00071E84">
        <w:t xml:space="preserve"> </w:t>
      </w:r>
      <w:r>
        <w:t>5</w:t>
      </w:r>
      <w:r w:rsidR="00071E84">
        <w:t xml:space="preserve"> </w:t>
      </w:r>
      <w:r>
        <w:t xml:space="preserve"> µg </w:t>
      </w:r>
      <w:r w:rsidR="00071E84">
        <w:t xml:space="preserve"> </w:t>
      </w:r>
      <w:r>
        <w:t xml:space="preserve">treatments, </w:t>
      </w:r>
      <w:r w:rsidR="00071E84">
        <w:t xml:space="preserve"> </w:t>
      </w:r>
      <w:r>
        <w:t xml:space="preserve">whilst </w:t>
      </w:r>
      <w:r w:rsidR="00071E84">
        <w:t xml:space="preserve"> </w:t>
      </w:r>
      <w:r>
        <w:t xml:space="preserve">again </w:t>
      </w:r>
      <w:r w:rsidR="00071E84">
        <w:t xml:space="preserve"> </w:t>
      </w:r>
      <w:r>
        <w:t xml:space="preserve">having </w:t>
      </w:r>
      <w:r w:rsidR="00071E84">
        <w:t xml:space="preserve"> </w:t>
      </w:r>
      <w:r>
        <w:t xml:space="preserve">lost </w:t>
      </w:r>
      <w:r w:rsidR="00071E84">
        <w:t xml:space="preserve"> </w:t>
      </w:r>
      <w:r>
        <w:t xml:space="preserve">almost </w:t>
      </w:r>
      <w:r w:rsidR="00071E84">
        <w:t xml:space="preserve"> </w:t>
      </w:r>
      <w:r>
        <w:t xml:space="preserve">all </w:t>
      </w:r>
      <w:r w:rsidR="00071E84">
        <w:t xml:space="preserve"> </w:t>
      </w:r>
      <w:r>
        <w:t xml:space="preserve">insecticidal </w:t>
      </w:r>
      <w:r w:rsidR="00071E84">
        <w:t xml:space="preserve"> </w:t>
      </w:r>
      <w:r>
        <w:t xml:space="preserve">activity </w:t>
      </w:r>
      <w:r w:rsidR="00071E84">
        <w:t xml:space="preserve"> </w:t>
      </w:r>
      <w:r>
        <w:t xml:space="preserve">for </w:t>
      </w:r>
      <w:r w:rsidR="00071E84">
        <w:t xml:space="preserve"> </w:t>
      </w:r>
      <w:r>
        <w:t>the</w:t>
      </w:r>
      <w:r w:rsidR="00071E84">
        <w:t xml:space="preserve"> </w:t>
      </w:r>
      <w:r>
        <w:t xml:space="preserve"> 1.7 µg</w:t>
      </w:r>
    </w:p>
    <w:p w:rsidR="00071E84" w:rsidRDefault="00071E84" w:rsidP="00071E84">
      <w:pPr>
        <w:keepNext/>
        <w:spacing w:after="200"/>
        <w:jc w:val="left"/>
      </w:pPr>
      <w:r w:rsidRPr="00071E84">
        <w:rPr>
          <w:noProof/>
          <w:lang w:eastAsia="en-GB"/>
        </w:rPr>
        <w:lastRenderedPageBreak/>
        <w:drawing>
          <wp:inline distT="0" distB="0" distL="0" distR="0">
            <wp:extent cx="5731510" cy="7012527"/>
            <wp:effectExtent l="0" t="0" r="2540" b="0"/>
            <wp:docPr id="60" name="Object 3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05800" cy="10162032"/>
                      <a:chOff x="838200" y="1219200"/>
                      <a:chExt cx="8305800" cy="10162032"/>
                    </a:xfrm>
                  </a:grpSpPr>
                  <a:pic>
                    <a:nvPicPr>
                      <a:cNvPr id="17410" name="Picture 2"/>
                      <a:cNvPicPr>
                        <a:picLocks noChangeAspect="1" noChangeArrowheads="1"/>
                      </a:cNvPicPr>
                    </a:nvPicPr>
                    <a:blipFill>
                      <a:blip r:embed="rId88" cstate="print"/>
                      <a:srcRect b="20450"/>
                      <a:stretch>
                        <a:fillRect/>
                      </a:stretch>
                    </a:blipFill>
                    <a:spPr bwMode="auto">
                      <a:xfrm>
                        <a:off x="838200" y="1371600"/>
                        <a:ext cx="2968752" cy="2924175"/>
                      </a:xfrm>
                      <a:prstGeom prst="rect">
                        <a:avLst/>
                      </a:prstGeom>
                      <a:noFill/>
                      <a:ln w="9525">
                        <a:noFill/>
                        <a:miter lim="800000"/>
                        <a:headEnd/>
                        <a:tailEnd/>
                      </a:ln>
                    </a:spPr>
                  </a:pic>
                  <a:pic>
                    <a:nvPicPr>
                      <a:cNvPr id="17412" name="Picture 4"/>
                      <a:cNvPicPr>
                        <a:picLocks noChangeAspect="1" noChangeArrowheads="1"/>
                      </a:cNvPicPr>
                    </a:nvPicPr>
                    <a:blipFill>
                      <a:blip r:embed="rId89" cstate="print"/>
                      <a:srcRect b="22638"/>
                      <a:stretch>
                        <a:fillRect/>
                      </a:stretch>
                    </a:blipFill>
                    <a:spPr bwMode="auto">
                      <a:xfrm>
                        <a:off x="3508248" y="1371600"/>
                        <a:ext cx="2968752" cy="2895600"/>
                      </a:xfrm>
                      <a:prstGeom prst="rect">
                        <a:avLst/>
                      </a:prstGeom>
                      <a:noFill/>
                      <a:ln w="9525">
                        <a:noFill/>
                        <a:miter lim="800000"/>
                        <a:headEnd/>
                        <a:tailEnd/>
                      </a:ln>
                    </a:spPr>
                  </a:pic>
                  <a:pic>
                    <a:nvPicPr>
                      <a:cNvPr id="17414" name="Picture 6"/>
                      <a:cNvPicPr>
                        <a:picLocks noChangeAspect="1" noChangeArrowheads="1"/>
                      </a:cNvPicPr>
                    </a:nvPicPr>
                    <a:blipFill>
                      <a:blip r:embed="rId90" cstate="print"/>
                      <a:srcRect/>
                      <a:stretch>
                        <a:fillRect/>
                      </a:stretch>
                    </a:blipFill>
                    <a:spPr bwMode="auto">
                      <a:xfrm>
                        <a:off x="6172200" y="1371600"/>
                        <a:ext cx="2968752" cy="2904744"/>
                      </a:xfrm>
                      <a:prstGeom prst="rect">
                        <a:avLst/>
                      </a:prstGeom>
                      <a:noFill/>
                      <a:ln w="9525">
                        <a:noFill/>
                        <a:miter lim="800000"/>
                        <a:headEnd/>
                        <a:tailEnd/>
                      </a:ln>
                    </a:spPr>
                  </a:pic>
                  <a:pic>
                    <a:nvPicPr>
                      <a:cNvPr id="17415" name="Picture 7"/>
                      <a:cNvPicPr>
                        <a:picLocks noChangeAspect="1" noChangeArrowheads="1"/>
                      </a:cNvPicPr>
                    </a:nvPicPr>
                    <a:blipFill>
                      <a:blip r:embed="rId91" cstate="print"/>
                      <a:srcRect/>
                      <a:stretch>
                        <a:fillRect/>
                      </a:stretch>
                    </a:blipFill>
                    <a:spPr bwMode="auto">
                      <a:xfrm>
                        <a:off x="3505200" y="4334256"/>
                        <a:ext cx="2968752" cy="2904744"/>
                      </a:xfrm>
                      <a:prstGeom prst="rect">
                        <a:avLst/>
                      </a:prstGeom>
                      <a:noFill/>
                      <a:ln w="9525">
                        <a:noFill/>
                        <a:miter lim="800000"/>
                        <a:headEnd/>
                        <a:tailEnd/>
                      </a:ln>
                    </a:spPr>
                  </a:pic>
                  <a:pic>
                    <a:nvPicPr>
                      <a:cNvPr id="17416" name="Picture 8"/>
                      <a:cNvPicPr>
                        <a:picLocks noChangeAspect="1" noChangeArrowheads="1"/>
                      </a:cNvPicPr>
                    </a:nvPicPr>
                    <a:blipFill>
                      <a:blip r:embed="rId92" cstate="print"/>
                      <a:srcRect/>
                      <a:stretch>
                        <a:fillRect/>
                      </a:stretch>
                    </a:blipFill>
                    <a:spPr bwMode="auto">
                      <a:xfrm>
                        <a:off x="6175248" y="4343400"/>
                        <a:ext cx="2968752" cy="2904744"/>
                      </a:xfrm>
                      <a:prstGeom prst="rect">
                        <a:avLst/>
                      </a:prstGeom>
                      <a:noFill/>
                      <a:ln w="9525">
                        <a:noFill/>
                        <a:miter lim="800000"/>
                        <a:headEnd/>
                        <a:tailEnd/>
                      </a:ln>
                    </a:spPr>
                  </a:pic>
                  <a:pic>
                    <a:nvPicPr>
                      <a:cNvPr id="17417" name="Picture 9"/>
                      <a:cNvPicPr>
                        <a:picLocks noChangeAspect="1" noChangeArrowheads="1"/>
                      </a:cNvPicPr>
                    </a:nvPicPr>
                    <a:blipFill>
                      <a:blip r:embed="rId93" cstate="print"/>
                      <a:srcRect l="16898" t="80673" r="33479"/>
                      <a:stretch>
                        <a:fillRect/>
                      </a:stretch>
                    </a:blipFill>
                    <a:spPr bwMode="auto">
                      <a:xfrm>
                        <a:off x="1371600" y="4496943"/>
                        <a:ext cx="2209800" cy="1065657"/>
                      </a:xfrm>
                      <a:prstGeom prst="rect">
                        <a:avLst/>
                      </a:prstGeom>
                      <a:noFill/>
                      <a:ln w="9525">
                        <a:noFill/>
                        <a:miter lim="800000"/>
                        <a:headEnd/>
                        <a:tailEnd/>
                      </a:ln>
                    </a:spPr>
                  </a:pic>
                  <a:pic>
                    <a:nvPicPr>
                      <a:cNvPr id="17418" name="Picture 10"/>
                      <a:cNvPicPr>
                        <a:picLocks noChangeAspect="1" noChangeArrowheads="1"/>
                      </a:cNvPicPr>
                    </a:nvPicPr>
                    <a:blipFill>
                      <a:blip r:embed="rId94" cstate="print"/>
                      <a:srcRect l="15186" t="79577" r="33479"/>
                      <a:stretch>
                        <a:fillRect/>
                      </a:stretch>
                    </a:blipFill>
                    <a:spPr bwMode="auto">
                      <a:xfrm>
                        <a:off x="1295400" y="5871210"/>
                        <a:ext cx="2286000" cy="1139190"/>
                      </a:xfrm>
                      <a:prstGeom prst="rect">
                        <a:avLst/>
                      </a:prstGeom>
                      <a:noFill/>
                      <a:ln w="9525">
                        <a:noFill/>
                        <a:miter lim="800000"/>
                        <a:headEnd/>
                        <a:tailEnd/>
                      </a:ln>
                    </a:spPr>
                  </a:pic>
                  <a:sp>
                    <a:nvSpPr>
                      <a:cNvPr id="13" name="TextBox 12"/>
                      <a:cNvSpPr txBox="1"/>
                    </a:nvSpPr>
                    <a:spPr>
                      <a:xfrm>
                        <a:off x="1447800" y="4267200"/>
                        <a:ext cx="1905000" cy="276999"/>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200" b="1" dirty="0" smtClean="0">
                              <a:latin typeface="Arial" pitchFamily="34" charset="0"/>
                              <a:cs typeface="Arial" pitchFamily="34" charset="0"/>
                            </a:rPr>
                            <a:t>Legend: a</a:t>
                          </a:r>
                          <a:endParaRPr lang="en-GB" sz="1200" b="1" dirty="0">
                            <a:latin typeface="Arial" pitchFamily="34" charset="0"/>
                            <a:cs typeface="Arial" pitchFamily="34" charset="0"/>
                          </a:endParaRPr>
                        </a:p>
                      </a:txBody>
                      <a:useSpRect/>
                    </a:txSp>
                  </a:sp>
                  <a:sp>
                    <a:nvSpPr>
                      <a:cNvPr id="14" name="TextBox 13"/>
                      <a:cNvSpPr txBox="1"/>
                    </a:nvSpPr>
                    <a:spPr>
                      <a:xfrm>
                        <a:off x="1447800" y="5590401"/>
                        <a:ext cx="1905000" cy="276999"/>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200" b="1" dirty="0" smtClean="0">
                              <a:latin typeface="Arial" pitchFamily="34" charset="0"/>
                              <a:cs typeface="Arial" pitchFamily="34" charset="0"/>
                            </a:rPr>
                            <a:t>Legend: b, c, d, e</a:t>
                          </a:r>
                          <a:endParaRPr lang="en-GB" sz="1200" b="1" dirty="0">
                            <a:latin typeface="Arial" pitchFamily="34" charset="0"/>
                            <a:cs typeface="Arial" pitchFamily="34" charset="0"/>
                          </a:endParaRPr>
                        </a:p>
                      </a:txBody>
                      <a:useSpRect/>
                    </a:txSp>
                  </a:sp>
                  <a:pic>
                    <a:nvPicPr>
                      <a:cNvPr id="17419" name="Picture 11"/>
                      <a:cNvPicPr>
                        <a:picLocks noChangeAspect="1" noChangeArrowheads="1"/>
                      </a:cNvPicPr>
                    </a:nvPicPr>
                    <a:blipFill>
                      <a:blip r:embed="rId95" cstate="print"/>
                      <a:srcRect/>
                      <a:stretch>
                        <a:fillRect/>
                      </a:stretch>
                    </a:blipFill>
                    <a:spPr bwMode="auto">
                      <a:xfrm>
                        <a:off x="2133600" y="7315200"/>
                        <a:ext cx="5943600" cy="4066032"/>
                      </a:xfrm>
                      <a:prstGeom prst="rect">
                        <a:avLst/>
                      </a:prstGeom>
                      <a:noFill/>
                      <a:ln w="9525">
                        <a:noFill/>
                        <a:miter lim="800000"/>
                        <a:headEnd/>
                        <a:tailEnd/>
                      </a:ln>
                    </a:spPr>
                  </a:pic>
                  <a:sp>
                    <a:nvSpPr>
                      <a:cNvPr id="15" name="TextBox 14"/>
                      <a:cNvSpPr txBox="1"/>
                    </a:nvSpPr>
                    <a:spPr>
                      <a:xfrm>
                        <a:off x="838200" y="12192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6" name="TextBox 15"/>
                      <a:cNvSpPr txBox="1"/>
                    </a:nvSpPr>
                    <a:spPr>
                      <a:xfrm>
                        <a:off x="3429000" y="12192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7" name="TextBox 16"/>
                      <a:cNvSpPr txBox="1"/>
                    </a:nvSpPr>
                    <a:spPr>
                      <a:xfrm>
                        <a:off x="6096000" y="12192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8" name="TextBox 17"/>
                      <a:cNvSpPr txBox="1"/>
                    </a:nvSpPr>
                    <a:spPr>
                      <a:xfrm>
                        <a:off x="3429000" y="41148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sp>
                    <a:nvSpPr>
                      <a:cNvPr id="19" name="TextBox 18"/>
                      <a:cNvSpPr txBox="1"/>
                    </a:nvSpPr>
                    <a:spPr>
                      <a:xfrm>
                        <a:off x="6096000" y="41148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e</a:t>
                          </a:r>
                          <a:endParaRPr lang="en-GB" sz="2600" b="1" dirty="0"/>
                        </a:p>
                      </a:txBody>
                      <a:useSpRect/>
                    </a:txSp>
                  </a:sp>
                  <a:sp>
                    <a:nvSpPr>
                      <a:cNvPr id="20" name="TextBox 19"/>
                      <a:cNvSpPr txBox="1"/>
                    </a:nvSpPr>
                    <a:spPr>
                      <a:xfrm>
                        <a:off x="2133600" y="70866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f</a:t>
                          </a:r>
                          <a:endParaRPr lang="en-GB" sz="2600" b="1" dirty="0"/>
                        </a:p>
                      </a:txBody>
                      <a:useSpRect/>
                    </a:txSp>
                  </a:sp>
                </lc:lockedCanvas>
              </a:graphicData>
            </a:graphic>
          </wp:inline>
        </w:drawing>
      </w:r>
    </w:p>
    <w:p w:rsidR="00B50552" w:rsidRDefault="00071E84" w:rsidP="00071E84">
      <w:pPr>
        <w:pStyle w:val="Caption"/>
        <w:rPr>
          <w:color w:val="auto"/>
        </w:rPr>
      </w:pPr>
      <w:bookmarkStart w:id="258" w:name="_Toc20411666"/>
      <w:r w:rsidRPr="00071E84">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8</w:t>
      </w:r>
      <w:r w:rsidR="005C0E76">
        <w:rPr>
          <w:color w:val="auto"/>
        </w:rPr>
        <w:fldChar w:fldCharType="end"/>
      </w:r>
      <w:r w:rsidRPr="00071E84">
        <w:rPr>
          <w:color w:val="auto"/>
        </w:rPr>
        <w:t xml:space="preserve"> </w:t>
      </w:r>
      <w:r w:rsidRPr="00D00AAE">
        <w:rPr>
          <w:color w:val="auto"/>
        </w:rPr>
        <w:t xml:space="preserve">WCR survival </w:t>
      </w:r>
      <w:r w:rsidR="005A0466">
        <w:rPr>
          <w:color w:val="auto"/>
        </w:rPr>
        <w:t xml:space="preserve">soil </w:t>
      </w:r>
      <w:r w:rsidRPr="00D00AAE">
        <w:rPr>
          <w:color w:val="auto"/>
        </w:rPr>
        <w:t xml:space="preserve">feeding assay using </w:t>
      </w:r>
      <w:r>
        <w:rPr>
          <w:color w:val="auto"/>
        </w:rPr>
        <w:t xml:space="preserve">1PS and 2PS </w:t>
      </w:r>
      <w:r w:rsidRPr="00D00AAE">
        <w:rPr>
          <w:color w:val="auto"/>
        </w:rPr>
        <w:t>chemica</w:t>
      </w:r>
      <w:r>
        <w:rPr>
          <w:color w:val="auto"/>
        </w:rPr>
        <w:t>lly modified dsRNA.</w:t>
      </w:r>
      <w:bookmarkEnd w:id="258"/>
      <w:r>
        <w:rPr>
          <w:color w:val="auto"/>
        </w:rPr>
        <w:t xml:space="preserve"> </w:t>
      </w:r>
    </w:p>
    <w:p w:rsidR="00071E84" w:rsidRPr="005A0466" w:rsidRDefault="00071E84" w:rsidP="00071E84">
      <w:pPr>
        <w:pStyle w:val="Caption"/>
        <w:rPr>
          <w:b w:val="0"/>
          <w:color w:val="auto"/>
        </w:rPr>
      </w:pPr>
      <w:r w:rsidRPr="005A0466">
        <w:rPr>
          <w:b w:val="0"/>
          <w:color w:val="auto"/>
        </w:rPr>
        <w:t>WCR modified 1</w:t>
      </w:r>
      <w:r w:rsidR="005A0466" w:rsidRPr="005A0466">
        <w:rPr>
          <w:b w:val="0"/>
          <w:color w:val="auto"/>
        </w:rPr>
        <w:t xml:space="preserve">PS and </w:t>
      </w:r>
      <w:r w:rsidRPr="005A0466">
        <w:rPr>
          <w:b w:val="0"/>
          <w:color w:val="auto"/>
        </w:rPr>
        <w:t xml:space="preserve">2PS dsRNA soil feeding assay, week 0 time point. WCR were left on soil containing dsRNA for 1 day, then transferred to diet plates and mortality measured until day 7. </w:t>
      </w:r>
      <w:r w:rsidR="0031009B">
        <w:rPr>
          <w:b w:val="0"/>
          <w:color w:val="auto"/>
        </w:rPr>
        <w:t xml:space="preserve">Number of insects used for each dsRNA concentration (L-R): </w:t>
      </w:r>
      <w:r w:rsidR="0031009B" w:rsidRPr="005A0466">
        <w:rPr>
          <w:b w:val="0"/>
          <w:color w:val="auto"/>
        </w:rPr>
        <w:t>No dsRNA n = 102</w:t>
      </w:r>
      <w:r w:rsidR="0031009B">
        <w:rPr>
          <w:b w:val="0"/>
          <w:color w:val="auto"/>
        </w:rPr>
        <w:t xml:space="preserve">; </w:t>
      </w:r>
      <w:r w:rsidRPr="005A0466">
        <w:rPr>
          <w:b w:val="0"/>
          <w:color w:val="auto"/>
        </w:rPr>
        <w:t>GFP</w:t>
      </w:r>
      <w:r w:rsidR="0031009B">
        <w:rPr>
          <w:b w:val="0"/>
          <w:color w:val="auto"/>
        </w:rPr>
        <w:t xml:space="preserve"> dsRNA</w:t>
      </w:r>
      <w:r w:rsidRPr="005A0466">
        <w:rPr>
          <w:b w:val="0"/>
          <w:color w:val="auto"/>
        </w:rPr>
        <w:t xml:space="preserve"> n = 117; Unmod n = 115, 119, 121, 112; Un-1PS n = 102, 116, 118, 113; 1PS-1PS n = 125, 116, 118, 113; Un-2PS n = 124, 114, 121, 116;</w:t>
      </w:r>
      <w:r w:rsidR="0031009B">
        <w:rPr>
          <w:b w:val="0"/>
          <w:color w:val="auto"/>
        </w:rPr>
        <w:t xml:space="preserve"> 2PS-2PS n = 106, 121, 106, 120</w:t>
      </w:r>
      <w:r w:rsidRPr="005A0466">
        <w:rPr>
          <w:b w:val="0"/>
          <w:color w:val="auto"/>
        </w:rPr>
        <w:t>. (a) Survival timecourse for Unmod dsRNA. (b) Survival timecourse for Un-1PS dsRNA. (c) Survival timecourse for 1PS-1PS dsRNA. (d) Survival timecourse for Un-2PS dsRNA. (e) Survival timecourse for 2PS-2PS dsRNA. (f) Day 7 survival.</w:t>
      </w:r>
    </w:p>
    <w:p w:rsidR="00071E84" w:rsidRDefault="00071E84">
      <w:pPr>
        <w:spacing w:after="200"/>
        <w:jc w:val="left"/>
      </w:pPr>
      <w:r>
        <w:br w:type="page"/>
      </w:r>
    </w:p>
    <w:p w:rsidR="00013A14" w:rsidRDefault="00013A14" w:rsidP="00071E84">
      <w:pPr>
        <w:spacing w:line="360" w:lineRule="auto"/>
      </w:pPr>
      <w:r>
        <w:lastRenderedPageBreak/>
        <w:t xml:space="preserve">treatment. For 1PS dsRNA with modifications in both strands, the 15 and 5 µg treatments demonstrated a mild loss of insecticidal activity, and again the lower two concentrations demonstrated a full loss of activity. For 2PS dsRNA with modifications in both strands, all concentrations demonstrated a loss in activity compared to the other dsRNAs, with the lowest three concentrations losing activity entirely, and the 15 µg treatment only barely retaining insecticidal activity. </w:t>
      </w:r>
    </w:p>
    <w:p w:rsidR="00013A14" w:rsidRPr="002D22C2" w:rsidRDefault="00013A14" w:rsidP="00013A14">
      <w:pPr>
        <w:spacing w:line="360" w:lineRule="auto"/>
        <w:ind w:firstLine="284"/>
      </w:pPr>
      <w:r>
        <w:t xml:space="preserve">Overall ranking of the PS modified dsRNAs with 1PS and 2PS modifications in the passenger strand, </w:t>
      </w:r>
      <w:r w:rsidRPr="002D22C2">
        <w:t xml:space="preserve">and 2PS modifications in both strands, according to insecticidal activity – and therefore RNAi efficacy – is therefore virtually identical for the week 0 time point of this assay to that of the diet plate assay in section 6.3.3.3. However, dsRNA with 1PS modifications in both strands is less effective for RNAi than demonstrated in the plate assay in section 6.3.3.4 and has a different efficacy ranking than in that assay. Unmodified dsRNA has approximately equal RNAi activity to dsRNA with 1PS or 2PS modifications in the passenger strand at the highest two concentrations of 15 and 5 µg, which is in agreement with the feeding assay experiments in section 6.3.3.3, but not with the experiment in section 6.3.3.4. </w:t>
      </w:r>
    </w:p>
    <w:p w:rsidR="00013A14" w:rsidRDefault="00013A14" w:rsidP="00013A14">
      <w:pPr>
        <w:spacing w:line="360" w:lineRule="auto"/>
        <w:ind w:firstLine="284"/>
      </w:pPr>
    </w:p>
    <w:p w:rsidR="00013A14" w:rsidRPr="002D22C2" w:rsidRDefault="00013A14" w:rsidP="00013A14">
      <w:pPr>
        <w:spacing w:line="360" w:lineRule="auto"/>
        <w:ind w:firstLine="284"/>
      </w:pPr>
      <w:r>
        <w:t xml:space="preserve">Further experiments were performed where dsRNA was incubated with soil for 1 week prior to application of larvae. As all dsRNAs demonstrated no insecticidal activity at treatments of 0.6 µg for the week 0 time point, this concentration was not tested for activity with live insects at the week 1 time point. The assay for this time point therefore consisted of only 15, 5 and 1.7 µg treatments of each dsRNA. </w:t>
      </w:r>
    </w:p>
    <w:p w:rsidR="00013A14" w:rsidRDefault="00013A14" w:rsidP="00013A14">
      <w:pPr>
        <w:spacing w:line="360" w:lineRule="auto"/>
        <w:ind w:firstLine="284"/>
      </w:pPr>
      <w:r w:rsidRPr="002D22C2">
        <w:t>The results are shown in Appendix</w:t>
      </w:r>
      <w:r w:rsidR="00D16286" w:rsidRPr="002D22C2">
        <w:t xml:space="preserve"> 2, figure A2.</w:t>
      </w:r>
      <w:r w:rsidRPr="002D22C2">
        <w:t>3. The results demonstrated that no insecticidal activity remained for any of the dsRNAs tested at any concentration after incubation of the dsRNA in soil for 1 week. These results suggest that degradation of the</w:t>
      </w:r>
      <w:r w:rsidRPr="000F23A9">
        <w:t xml:space="preserve"> dsRNA by nucleases in the soil</w:t>
      </w:r>
      <w:r>
        <w:t xml:space="preserve"> had occurred, resulting in a loss of RNAi activity, though further studies are required to determine the stability of phosphorothioate dsRNA in soil compared to that of unmodified dsRNA.</w:t>
      </w:r>
      <w:r w:rsidR="00B57F38">
        <w:t xml:space="preserve"> It is possible that at shorter timescales, some insecticidal activity may be retained for phosphorothioate dsRNA compared to unmodified dsRNA.</w:t>
      </w:r>
    </w:p>
    <w:p w:rsidR="00013A14" w:rsidRDefault="00013A14" w:rsidP="00013A14">
      <w:pPr>
        <w:pStyle w:val="Heading4"/>
        <w:spacing w:before="120" w:after="120" w:line="360" w:lineRule="auto"/>
        <w:ind w:left="851" w:hanging="864"/>
      </w:pPr>
      <w:bookmarkStart w:id="259" w:name="_Toc15562901"/>
      <w:bookmarkStart w:id="260" w:name="_Toc35334013"/>
      <w:r>
        <w:t>SGSB feeding mortality assay and supporting injection assay</w:t>
      </w:r>
      <w:bookmarkEnd w:id="259"/>
      <w:bookmarkEnd w:id="260"/>
    </w:p>
    <w:p w:rsidR="00013A14" w:rsidRDefault="00013A14" w:rsidP="00013A14">
      <w:pPr>
        <w:spacing w:line="360" w:lineRule="auto"/>
        <w:ind w:firstLine="284"/>
      </w:pPr>
      <w:r>
        <w:t xml:space="preserve">It was previously shown that dsRNA containing PS modifications demonstrates increased resistance to nucleases present in stink bug saliva compared to unmodified </w:t>
      </w:r>
      <w:r w:rsidRPr="002D22C2">
        <w:t>dsRNA (see section</w:t>
      </w:r>
      <w:r w:rsidR="002D22C2" w:rsidRPr="002D22C2">
        <w:t xml:space="preserve"> 4.3.2.2</w:t>
      </w:r>
      <w:r w:rsidRPr="002D22C2">
        <w:t>). It was therefore hypothesised that the increased stability of the PS dsRNA (</w:t>
      </w:r>
      <w:r w:rsidRPr="002D22C2">
        <w:rPr>
          <w:i/>
        </w:rPr>
        <w:t>in vitro</w:t>
      </w:r>
      <w:r w:rsidRPr="002D22C2">
        <w:t>) may</w:t>
      </w:r>
      <w:r>
        <w:t xml:space="preserve"> result in improved RNAi activity compared to unmodified dsRNA when ingested by stink bug. As the saliva assay demonstrated phosphorothioate-containing dsRNA was the only modified dsRNA more </w:t>
      </w:r>
      <w:r>
        <w:lastRenderedPageBreak/>
        <w:t xml:space="preserve">resistant to stink bug salival nucleases than unmodified dsRNA, this modification was selected for the stink bug feeding assays. </w:t>
      </w:r>
    </w:p>
    <w:p w:rsidR="00013A14" w:rsidRDefault="00013A14" w:rsidP="00013A14">
      <w:pPr>
        <w:spacing w:line="360" w:lineRule="auto"/>
        <w:ind w:firstLine="284"/>
      </w:pPr>
      <w:r>
        <w:t xml:space="preserve">The corn rootworm feeding assays also suggest that, at least in </w:t>
      </w:r>
      <w:r w:rsidRPr="002D22C2">
        <w:t>that species, PS modifications in both strands reduce the RNAi activity of the dsRNA, therefore the two Target A dsRNAs with phosphorothioate modifications only in one strand (Un-2PS and 2PS-Un) were selected for testing in a stink bug feeding assay, as well as unmodified Target A dsRNA. The dsRNAs and conditions used in the assay are shown in table 6.7. GFP dsRNA was used as a non-targeting negative control, and</w:t>
      </w:r>
      <w:r>
        <w:t xml:space="preserve"> sucrose solution without any dsRNA also used as a control. </w:t>
      </w:r>
    </w:p>
    <w:p w:rsidR="00013A14" w:rsidRDefault="00013A14" w:rsidP="00013A14">
      <w:pPr>
        <w:spacing w:line="360" w:lineRule="auto"/>
        <w:ind w:firstLine="284"/>
      </w:pPr>
    </w:p>
    <w:p w:rsidR="005A0466" w:rsidRPr="005A0466" w:rsidRDefault="005A0466" w:rsidP="005A0466">
      <w:pPr>
        <w:pStyle w:val="Caption"/>
        <w:keepNext/>
        <w:rPr>
          <w:color w:val="auto"/>
        </w:rPr>
      </w:pPr>
      <w:bookmarkStart w:id="261" w:name="_Toc20405277"/>
      <w:r w:rsidRPr="005A0466">
        <w:rPr>
          <w:color w:val="auto"/>
        </w:rPr>
        <w:t xml:space="preserve">Table </w:t>
      </w:r>
      <w:r w:rsidR="005C0E76">
        <w:rPr>
          <w:color w:val="auto"/>
        </w:rPr>
        <w:fldChar w:fldCharType="begin"/>
      </w:r>
      <w:r>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Pr>
          <w:color w:val="auto"/>
        </w:rPr>
        <w:t>.</w:t>
      </w:r>
      <w:r w:rsidR="005C0E76">
        <w:rPr>
          <w:color w:val="auto"/>
        </w:rPr>
        <w:fldChar w:fldCharType="begin"/>
      </w:r>
      <w:r>
        <w:rPr>
          <w:color w:val="auto"/>
        </w:rPr>
        <w:instrText xml:space="preserve"> SEQ Table \* ARABIC \s 1 </w:instrText>
      </w:r>
      <w:r w:rsidR="005C0E76">
        <w:rPr>
          <w:color w:val="auto"/>
        </w:rPr>
        <w:fldChar w:fldCharType="separate"/>
      </w:r>
      <w:r w:rsidR="008F594A">
        <w:rPr>
          <w:noProof/>
          <w:color w:val="auto"/>
        </w:rPr>
        <w:t>7</w:t>
      </w:r>
      <w:r w:rsidR="005C0E76">
        <w:rPr>
          <w:color w:val="auto"/>
        </w:rPr>
        <w:fldChar w:fldCharType="end"/>
      </w:r>
      <w:r w:rsidRPr="005A0466">
        <w:rPr>
          <w:color w:val="auto"/>
        </w:rPr>
        <w:t xml:space="preserve"> The list of unmodified and chemically modified dsRNAs used in the stink bug feeding assay shown in figure 6.9a.</w:t>
      </w:r>
      <w:bookmarkEnd w:id="261"/>
    </w:p>
    <w:tbl>
      <w:tblPr>
        <w:tblStyle w:val="TableGrid"/>
        <w:tblW w:w="0" w:type="auto"/>
        <w:jc w:val="center"/>
        <w:tblLook w:val="04A0"/>
      </w:tblPr>
      <w:tblGrid>
        <w:gridCol w:w="2116"/>
        <w:gridCol w:w="2375"/>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375" w:type="dxa"/>
          </w:tcPr>
          <w:p w:rsidR="00013A14" w:rsidRDefault="00013A14" w:rsidP="00256D23">
            <w:pPr>
              <w:jc w:val="center"/>
              <w:rPr>
                <w:b/>
              </w:rPr>
            </w:pPr>
            <w:r>
              <w:rPr>
                <w:b/>
              </w:rPr>
              <w:t xml:space="preserve">Modification </w:t>
            </w:r>
          </w:p>
          <w:p w:rsidR="00013A14" w:rsidRPr="00CC2847" w:rsidRDefault="00013A14" w:rsidP="00256D23">
            <w:pPr>
              <w:jc w:val="center"/>
              <w:rPr>
                <w:b/>
              </w:rPr>
            </w:pPr>
            <w:r>
              <w:rPr>
                <w:b/>
              </w:rPr>
              <w:t>(guide-passenger)</w:t>
            </w:r>
          </w:p>
        </w:tc>
      </w:tr>
      <w:tr w:rsidR="00013A14" w:rsidRPr="00CC2847" w:rsidTr="00256D23">
        <w:trPr>
          <w:jc w:val="center"/>
        </w:trPr>
        <w:tc>
          <w:tcPr>
            <w:tcW w:w="2116" w:type="dxa"/>
            <w:vMerge w:val="restart"/>
          </w:tcPr>
          <w:p w:rsidR="00013A14" w:rsidRPr="00CC2847" w:rsidRDefault="00013A14" w:rsidP="00256D23">
            <w:pPr>
              <w:jc w:val="center"/>
            </w:pPr>
            <w:r>
              <w:t>Target A</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Un-2PS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2PS-Un</w:t>
            </w:r>
          </w:p>
        </w:tc>
      </w:tr>
      <w:tr w:rsidR="00013A14" w:rsidRPr="00CC2847" w:rsidTr="00256D23">
        <w:trPr>
          <w:jc w:val="center"/>
        </w:trPr>
        <w:tc>
          <w:tcPr>
            <w:tcW w:w="2116" w:type="dxa"/>
          </w:tcPr>
          <w:p w:rsidR="00013A14" w:rsidRDefault="00013A14" w:rsidP="00256D23">
            <w:pPr>
              <w:jc w:val="center"/>
            </w:pPr>
            <w:r>
              <w:t>GFP</w:t>
            </w:r>
          </w:p>
        </w:tc>
        <w:tc>
          <w:tcPr>
            <w:tcW w:w="2375" w:type="dxa"/>
          </w:tcPr>
          <w:p w:rsidR="00013A14" w:rsidRDefault="00013A14" w:rsidP="00256D23">
            <w:pPr>
              <w:jc w:val="center"/>
            </w:pPr>
            <w:r>
              <w:t>Unmod</w:t>
            </w:r>
          </w:p>
        </w:tc>
      </w:tr>
      <w:tr w:rsidR="00013A14" w:rsidRPr="00CC2847" w:rsidTr="00256D23">
        <w:trPr>
          <w:jc w:val="center"/>
        </w:trPr>
        <w:tc>
          <w:tcPr>
            <w:tcW w:w="2116" w:type="dxa"/>
          </w:tcPr>
          <w:p w:rsidR="00013A14" w:rsidRDefault="00013A14" w:rsidP="00256D23">
            <w:pPr>
              <w:jc w:val="center"/>
            </w:pPr>
            <w:r>
              <w:t>No dsRNA</w:t>
            </w:r>
          </w:p>
        </w:tc>
        <w:tc>
          <w:tcPr>
            <w:tcW w:w="2375" w:type="dxa"/>
          </w:tcPr>
          <w:p w:rsidR="00013A14" w:rsidRDefault="00013A14" w:rsidP="00256D23">
            <w:pPr>
              <w:jc w:val="center"/>
            </w:pPr>
            <w:r>
              <w:t>N/A</w:t>
            </w:r>
          </w:p>
        </w:tc>
      </w:tr>
    </w:tbl>
    <w:p w:rsidR="00013A14" w:rsidRDefault="00013A14" w:rsidP="00013A14">
      <w:pPr>
        <w:ind w:firstLine="284"/>
      </w:pPr>
    </w:p>
    <w:p w:rsidR="00013A14" w:rsidRDefault="00013A14" w:rsidP="00013A14">
      <w:pPr>
        <w:spacing w:line="360" w:lineRule="auto"/>
        <w:ind w:firstLine="284"/>
      </w:pPr>
      <w:r>
        <w:t>dsRNAs (</w:t>
      </w:r>
      <w:r w:rsidRPr="00D31DF4">
        <w:t>0.5 µg/µl in 15</w:t>
      </w:r>
      <w:r>
        <w:t xml:space="preserve"> % w/v sucrose solution) were dispensed into a feeding sachet, and 16 N2 SGSB fed </w:t>
      </w:r>
      <w:r w:rsidRPr="002D22C2">
        <w:t>each of the conditions in a 96 well mesh bottom plate as previously described</w:t>
      </w:r>
      <w:r w:rsidR="002D22C2" w:rsidRPr="002D22C2">
        <w:t xml:space="preserve"> for saliva collection</w:t>
      </w:r>
      <w:r w:rsidRPr="002D22C2">
        <w:t xml:space="preserve"> (see section </w:t>
      </w:r>
      <w:r w:rsidR="002D22C2" w:rsidRPr="002D22C2">
        <w:t>4.3.2.1</w:t>
      </w:r>
      <w:r w:rsidRPr="002D22C2">
        <w:t>). One</w:t>
      </w:r>
      <w:r>
        <w:t xml:space="preserve"> insect each for the Unmodified dsRNA and sucrose conditions died during the course of day 0, reducing the total insects counted to 15 for these conditions.</w:t>
      </w:r>
    </w:p>
    <w:p w:rsidR="00013A14" w:rsidRDefault="00013A14" w:rsidP="00013A14">
      <w:pPr>
        <w:spacing w:line="360" w:lineRule="auto"/>
        <w:ind w:firstLine="284"/>
      </w:pPr>
      <w:r>
        <w:t xml:space="preserve">After three days the </w:t>
      </w:r>
      <w:r w:rsidRPr="002D22C2">
        <w:t>insects were transferred to dishes containing runner beans, and initial mortality scored. Mortality was then scored from days 3 to 13 and survival percentages calculated. The results are shown in figure 6.9 a. The results show some initial mortality was observed for all groups of insects. However, mortality plateaued</w:t>
      </w:r>
      <w:r>
        <w:t xml:space="preserve"> on day 6 of the assay, suggesting minimal mortality seen up to that point resulted from RNAi. The dsRNA concentration of 0.5 µg/µl may have been a factor, as an almost identical assay previously conducted by Syngenta, had seen mortality for a range of targets when the dsRNA solutions used were at a concentration of </w:t>
      </w:r>
      <w:bookmarkStart w:id="262" w:name="OLE_LINK2"/>
      <w:r>
        <w:t xml:space="preserve">1.0 µg/µl. </w:t>
      </w:r>
      <w:bookmarkEnd w:id="262"/>
    </w:p>
    <w:p w:rsidR="005A0466" w:rsidRDefault="005A0466" w:rsidP="00013A14">
      <w:pPr>
        <w:spacing w:line="360" w:lineRule="auto"/>
        <w:ind w:firstLine="284"/>
      </w:pPr>
    </w:p>
    <w:p w:rsidR="00013A14" w:rsidRDefault="00013A14" w:rsidP="00013A14">
      <w:pPr>
        <w:spacing w:line="360" w:lineRule="auto"/>
        <w:ind w:firstLine="284"/>
      </w:pPr>
      <w:r>
        <w:t xml:space="preserve">To aid production of modified dsRNA at a high enough yield to use 1.0 µg/µl in the feeding assay, several changes were made. A shorter dsRNA (Target C) was used to aid synthesis of dsRNA with </w:t>
      </w:r>
      <w:r w:rsidRPr="002D22C2">
        <w:t>phosphorothioate modifications. A wider range of modified dsRNAs was also selected, as detailed in table 6.8. Fe</w:t>
      </w:r>
      <w:r>
        <w:t xml:space="preserve">eding on the dsRNA-sucrose solution was extended to four days. </w:t>
      </w:r>
    </w:p>
    <w:p w:rsidR="00013A14" w:rsidRDefault="00013A14" w:rsidP="00013A14">
      <w:pPr>
        <w:spacing w:line="360" w:lineRule="auto"/>
        <w:ind w:firstLine="284"/>
      </w:pPr>
    </w:p>
    <w:p w:rsidR="005A0466" w:rsidRDefault="005A0466" w:rsidP="00013A14">
      <w:pPr>
        <w:spacing w:line="360" w:lineRule="auto"/>
        <w:ind w:firstLine="284"/>
      </w:pPr>
    </w:p>
    <w:p w:rsidR="005A0466" w:rsidRPr="005A0466" w:rsidRDefault="005A0466" w:rsidP="005A0466">
      <w:pPr>
        <w:pStyle w:val="Caption"/>
        <w:keepNext/>
        <w:rPr>
          <w:color w:val="auto"/>
        </w:rPr>
      </w:pPr>
      <w:bookmarkStart w:id="263" w:name="_Toc20405278"/>
      <w:r w:rsidRPr="005A0466">
        <w:rPr>
          <w:color w:val="auto"/>
        </w:rPr>
        <w:lastRenderedPageBreak/>
        <w:t xml:space="preserve">Table </w:t>
      </w:r>
      <w:r w:rsidR="005C0E76">
        <w:rPr>
          <w:color w:val="auto"/>
        </w:rPr>
        <w:fldChar w:fldCharType="begin"/>
      </w:r>
      <w:r>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Pr>
          <w:color w:val="auto"/>
        </w:rPr>
        <w:t>.</w:t>
      </w:r>
      <w:r w:rsidR="005C0E76">
        <w:rPr>
          <w:color w:val="auto"/>
        </w:rPr>
        <w:fldChar w:fldCharType="begin"/>
      </w:r>
      <w:r>
        <w:rPr>
          <w:color w:val="auto"/>
        </w:rPr>
        <w:instrText xml:space="preserve"> SEQ Table \* ARABIC \s 1 </w:instrText>
      </w:r>
      <w:r w:rsidR="005C0E76">
        <w:rPr>
          <w:color w:val="auto"/>
        </w:rPr>
        <w:fldChar w:fldCharType="separate"/>
      </w:r>
      <w:r w:rsidR="008F594A">
        <w:rPr>
          <w:noProof/>
          <w:color w:val="auto"/>
        </w:rPr>
        <w:t>8</w:t>
      </w:r>
      <w:r w:rsidR="005C0E76">
        <w:rPr>
          <w:color w:val="auto"/>
        </w:rPr>
        <w:fldChar w:fldCharType="end"/>
      </w:r>
      <w:r w:rsidRPr="005A0466">
        <w:rPr>
          <w:color w:val="auto"/>
        </w:rPr>
        <w:t xml:space="preserve"> The list of unmodified and chemically modified dsRNAs used in the stink bug feeding assay shown in figures 6.9 b-e.</w:t>
      </w:r>
      <w:bookmarkEnd w:id="263"/>
    </w:p>
    <w:tbl>
      <w:tblPr>
        <w:tblStyle w:val="TableGrid"/>
        <w:tblW w:w="0" w:type="auto"/>
        <w:jc w:val="center"/>
        <w:tblLook w:val="04A0"/>
      </w:tblPr>
      <w:tblGrid>
        <w:gridCol w:w="2116"/>
        <w:gridCol w:w="2375"/>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375" w:type="dxa"/>
          </w:tcPr>
          <w:p w:rsidR="00013A14" w:rsidRDefault="00013A14" w:rsidP="00256D23">
            <w:pPr>
              <w:jc w:val="center"/>
              <w:rPr>
                <w:b/>
              </w:rPr>
            </w:pPr>
            <w:r>
              <w:rPr>
                <w:b/>
              </w:rPr>
              <w:t>Modification</w:t>
            </w:r>
          </w:p>
          <w:p w:rsidR="00013A14" w:rsidRPr="00CC2847" w:rsidRDefault="00013A14" w:rsidP="00256D23">
            <w:pPr>
              <w:jc w:val="center"/>
              <w:rPr>
                <w:b/>
              </w:rPr>
            </w:pPr>
            <w:r>
              <w:rPr>
                <w:b/>
              </w:rPr>
              <w:t>(guide-passenger)</w:t>
            </w:r>
          </w:p>
        </w:tc>
      </w:tr>
      <w:tr w:rsidR="00013A14" w:rsidRPr="00CC2847" w:rsidTr="00256D23">
        <w:trPr>
          <w:jc w:val="center"/>
        </w:trPr>
        <w:tc>
          <w:tcPr>
            <w:tcW w:w="2116" w:type="dxa"/>
            <w:vMerge w:val="restart"/>
          </w:tcPr>
          <w:p w:rsidR="00013A14" w:rsidRPr="00CC2847" w:rsidRDefault="00013A14" w:rsidP="00256D23">
            <w:pPr>
              <w:jc w:val="center"/>
            </w:pPr>
            <w:r>
              <w:t>Target C</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Un-1PS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1PS-1PS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Un-2PS</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2PS-2PS</w:t>
            </w:r>
          </w:p>
        </w:tc>
      </w:tr>
      <w:tr w:rsidR="00013A14" w:rsidRPr="00CC2847" w:rsidTr="00256D23">
        <w:trPr>
          <w:jc w:val="center"/>
        </w:trPr>
        <w:tc>
          <w:tcPr>
            <w:tcW w:w="2116" w:type="dxa"/>
            <w:vMerge w:val="restart"/>
          </w:tcPr>
          <w:p w:rsidR="00013A14" w:rsidRDefault="00013A14" w:rsidP="00256D23">
            <w:pPr>
              <w:jc w:val="center"/>
            </w:pPr>
            <w:r>
              <w:t>GFP</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2PS-2PS</w:t>
            </w:r>
          </w:p>
        </w:tc>
      </w:tr>
      <w:tr w:rsidR="00013A14" w:rsidRPr="00CC2847" w:rsidTr="00256D23">
        <w:trPr>
          <w:jc w:val="center"/>
        </w:trPr>
        <w:tc>
          <w:tcPr>
            <w:tcW w:w="2116" w:type="dxa"/>
          </w:tcPr>
          <w:p w:rsidR="00013A14" w:rsidRDefault="00013A14" w:rsidP="00256D23">
            <w:pPr>
              <w:jc w:val="center"/>
            </w:pPr>
            <w:r>
              <w:t>No dsRNA</w:t>
            </w:r>
          </w:p>
        </w:tc>
        <w:tc>
          <w:tcPr>
            <w:tcW w:w="2375" w:type="dxa"/>
          </w:tcPr>
          <w:p w:rsidR="00013A14" w:rsidRDefault="00013A14" w:rsidP="00256D23">
            <w:pPr>
              <w:jc w:val="center"/>
            </w:pPr>
            <w:r>
              <w:t>N/A</w:t>
            </w:r>
          </w:p>
        </w:tc>
      </w:tr>
    </w:tbl>
    <w:p w:rsidR="00013A14" w:rsidRDefault="00013A14" w:rsidP="00013A14">
      <w:pPr>
        <w:ind w:firstLine="284"/>
      </w:pPr>
    </w:p>
    <w:p w:rsidR="00013A14" w:rsidRPr="002D22C2" w:rsidRDefault="00013A14" w:rsidP="00013A14">
      <w:pPr>
        <w:spacing w:line="360" w:lineRule="auto"/>
        <w:ind w:firstLine="284"/>
      </w:pPr>
      <w:r>
        <w:t xml:space="preserve">The results of this feeding assay are shown </w:t>
      </w:r>
      <w:r w:rsidRPr="002D22C2">
        <w:t>in figure 6.9 b. The results highlight a number of potential issues with this assay, in particular the inability of the unmodified dsRNA to produce mortality significantly greater than control dsRNA. In addition, high mortality seen by day four for the 1PS-1PS and Un-2PS dsRNAs is significantly greater than typically observed for this assay. Therefore, further experiments were performed in order to investigate the issues with the assay.</w:t>
      </w:r>
    </w:p>
    <w:p w:rsidR="00013A14" w:rsidRDefault="00013A14" w:rsidP="00013A14">
      <w:pPr>
        <w:spacing w:line="360" w:lineRule="auto"/>
        <w:ind w:firstLine="284"/>
      </w:pPr>
      <w:r w:rsidRPr="002D22C2">
        <w:t xml:space="preserve">A subset of the dsRNAs tested in the feeding assay, were analysed in </w:t>
      </w:r>
      <w:r w:rsidR="00B57F38">
        <w:t>a</w:t>
      </w:r>
      <w:r w:rsidRPr="002D22C2">
        <w:t xml:space="preserve"> stink bug injection assay to determine their RNAi activity. An improved injection assay utilising a new micro-injection rig, allowed a more quantitative delivery of dsRNA, with 10 nl of 1.0 µg/µl dsRNA solution being delivered to each insect, resulting in a more precise study compared to the previous injection assay (see section 6.3.2). Insects were injected until there were approximately 30-40 insects that survived the injection process per dsRNA, and the data normalised to day one survival. The dsRNAs used in this study are shown in table 6.9, with the main aim of the assay to confirm</w:t>
      </w:r>
      <w:r>
        <w:t xml:space="preserve"> and compare the activity of the unmodified and 1PS-1PS Target C dsRNAs used in the previous feeding assay.</w:t>
      </w:r>
    </w:p>
    <w:p w:rsidR="00013A14" w:rsidRDefault="00013A14" w:rsidP="00013A14">
      <w:pPr>
        <w:ind w:firstLine="284"/>
      </w:pPr>
    </w:p>
    <w:p w:rsidR="005A0466" w:rsidRPr="005A0466" w:rsidRDefault="005A0466" w:rsidP="005A0466">
      <w:pPr>
        <w:pStyle w:val="Caption"/>
        <w:keepNext/>
        <w:rPr>
          <w:color w:val="auto"/>
        </w:rPr>
      </w:pPr>
      <w:bookmarkStart w:id="264" w:name="_Toc20405279"/>
      <w:r w:rsidRPr="005A0466">
        <w:rPr>
          <w:color w:val="auto"/>
        </w:rPr>
        <w:t xml:space="preserve">Table </w:t>
      </w:r>
      <w:r w:rsidR="005C0E76" w:rsidRPr="005A0466">
        <w:rPr>
          <w:color w:val="auto"/>
        </w:rPr>
        <w:fldChar w:fldCharType="begin"/>
      </w:r>
      <w:r w:rsidRPr="005A0466">
        <w:rPr>
          <w:color w:val="auto"/>
        </w:rPr>
        <w:instrText xml:space="preserve"> STYLEREF 1 \s </w:instrText>
      </w:r>
      <w:r w:rsidR="005C0E76" w:rsidRPr="005A0466">
        <w:rPr>
          <w:color w:val="auto"/>
        </w:rPr>
        <w:fldChar w:fldCharType="separate"/>
      </w:r>
      <w:r w:rsidR="008F594A">
        <w:rPr>
          <w:noProof/>
          <w:color w:val="auto"/>
        </w:rPr>
        <w:t>6</w:t>
      </w:r>
      <w:r w:rsidR="005C0E76" w:rsidRPr="005A0466">
        <w:rPr>
          <w:color w:val="auto"/>
        </w:rPr>
        <w:fldChar w:fldCharType="end"/>
      </w:r>
      <w:r w:rsidRPr="005A0466">
        <w:rPr>
          <w:color w:val="auto"/>
        </w:rPr>
        <w:t>.</w:t>
      </w:r>
      <w:r w:rsidR="005C0E76" w:rsidRPr="005A0466">
        <w:rPr>
          <w:color w:val="auto"/>
        </w:rPr>
        <w:fldChar w:fldCharType="begin"/>
      </w:r>
      <w:r w:rsidRPr="005A0466">
        <w:rPr>
          <w:color w:val="auto"/>
        </w:rPr>
        <w:instrText xml:space="preserve"> SEQ Table \* ARABIC \s 1 </w:instrText>
      </w:r>
      <w:r w:rsidR="005C0E76" w:rsidRPr="005A0466">
        <w:rPr>
          <w:color w:val="auto"/>
        </w:rPr>
        <w:fldChar w:fldCharType="separate"/>
      </w:r>
      <w:r w:rsidR="008F594A">
        <w:rPr>
          <w:noProof/>
          <w:color w:val="auto"/>
        </w:rPr>
        <w:t>9</w:t>
      </w:r>
      <w:r w:rsidR="005C0E76" w:rsidRPr="005A0466">
        <w:rPr>
          <w:color w:val="auto"/>
        </w:rPr>
        <w:fldChar w:fldCharType="end"/>
      </w:r>
      <w:r w:rsidRPr="005A0466">
        <w:rPr>
          <w:color w:val="auto"/>
        </w:rPr>
        <w:t xml:space="preserve"> The list of unmodified and chemically modified dsRNAs used in the stink bug injection assay shown in figure 6.9 f.</w:t>
      </w:r>
      <w:bookmarkEnd w:id="264"/>
    </w:p>
    <w:tbl>
      <w:tblPr>
        <w:tblStyle w:val="TableGrid"/>
        <w:tblW w:w="0" w:type="auto"/>
        <w:jc w:val="center"/>
        <w:tblLook w:val="04A0"/>
      </w:tblPr>
      <w:tblGrid>
        <w:gridCol w:w="2116"/>
        <w:gridCol w:w="2375"/>
      </w:tblGrid>
      <w:tr w:rsidR="00013A14" w:rsidRPr="00CC2847" w:rsidTr="00256D23">
        <w:trPr>
          <w:jc w:val="center"/>
        </w:trPr>
        <w:tc>
          <w:tcPr>
            <w:tcW w:w="2116" w:type="dxa"/>
          </w:tcPr>
          <w:p w:rsidR="00013A14" w:rsidRPr="00CC2847" w:rsidRDefault="00013A14" w:rsidP="00256D23">
            <w:pPr>
              <w:jc w:val="center"/>
              <w:rPr>
                <w:b/>
              </w:rPr>
            </w:pPr>
            <w:r w:rsidRPr="00CC2847">
              <w:rPr>
                <w:b/>
              </w:rPr>
              <w:t>dsRNA</w:t>
            </w:r>
            <w:r>
              <w:rPr>
                <w:b/>
              </w:rPr>
              <w:t>/Condition</w:t>
            </w:r>
          </w:p>
        </w:tc>
        <w:tc>
          <w:tcPr>
            <w:tcW w:w="2375" w:type="dxa"/>
          </w:tcPr>
          <w:p w:rsidR="00013A14" w:rsidRDefault="00013A14" w:rsidP="00256D23">
            <w:pPr>
              <w:jc w:val="center"/>
              <w:rPr>
                <w:b/>
              </w:rPr>
            </w:pPr>
            <w:r>
              <w:rPr>
                <w:b/>
              </w:rPr>
              <w:t xml:space="preserve">Modification </w:t>
            </w:r>
          </w:p>
          <w:p w:rsidR="00013A14" w:rsidRPr="00CC2847" w:rsidRDefault="00013A14" w:rsidP="00256D23">
            <w:pPr>
              <w:jc w:val="center"/>
              <w:rPr>
                <w:b/>
              </w:rPr>
            </w:pPr>
            <w:r>
              <w:rPr>
                <w:b/>
              </w:rPr>
              <w:t>(guide-passenger)</w:t>
            </w:r>
          </w:p>
        </w:tc>
      </w:tr>
      <w:tr w:rsidR="00013A14" w:rsidRPr="00CC2847" w:rsidTr="00256D23">
        <w:trPr>
          <w:jc w:val="center"/>
        </w:trPr>
        <w:tc>
          <w:tcPr>
            <w:tcW w:w="2116" w:type="dxa"/>
            <w:vMerge w:val="restart"/>
          </w:tcPr>
          <w:p w:rsidR="00013A14" w:rsidRPr="00CC2847" w:rsidRDefault="00013A14" w:rsidP="00256D23">
            <w:pPr>
              <w:jc w:val="center"/>
            </w:pPr>
            <w:r>
              <w:t>Target C</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1PS-1PS</w:t>
            </w:r>
          </w:p>
        </w:tc>
      </w:tr>
      <w:tr w:rsidR="00013A14" w:rsidRPr="00CC2847" w:rsidTr="00256D23">
        <w:trPr>
          <w:jc w:val="center"/>
        </w:trPr>
        <w:tc>
          <w:tcPr>
            <w:tcW w:w="2116" w:type="dxa"/>
            <w:vMerge w:val="restart"/>
          </w:tcPr>
          <w:p w:rsidR="00013A14" w:rsidRDefault="00013A14" w:rsidP="00256D23">
            <w:pPr>
              <w:jc w:val="center"/>
            </w:pPr>
            <w:r>
              <w:t>GFP</w:t>
            </w:r>
          </w:p>
        </w:tc>
        <w:tc>
          <w:tcPr>
            <w:tcW w:w="2375" w:type="dxa"/>
          </w:tcPr>
          <w:p w:rsidR="00013A14" w:rsidRDefault="00013A14" w:rsidP="00256D23">
            <w:pPr>
              <w:jc w:val="center"/>
            </w:pPr>
            <w:r>
              <w:t>Unmod</w:t>
            </w:r>
          </w:p>
        </w:tc>
      </w:tr>
      <w:tr w:rsidR="00013A14" w:rsidRPr="00CC2847" w:rsidTr="00256D23">
        <w:trPr>
          <w:jc w:val="center"/>
        </w:trPr>
        <w:tc>
          <w:tcPr>
            <w:tcW w:w="2116" w:type="dxa"/>
            <w:vMerge/>
          </w:tcPr>
          <w:p w:rsidR="00013A14" w:rsidRDefault="00013A14" w:rsidP="00256D23">
            <w:pPr>
              <w:jc w:val="center"/>
            </w:pPr>
          </w:p>
        </w:tc>
        <w:tc>
          <w:tcPr>
            <w:tcW w:w="2375" w:type="dxa"/>
          </w:tcPr>
          <w:p w:rsidR="00013A14" w:rsidRDefault="00013A14" w:rsidP="00256D23">
            <w:pPr>
              <w:jc w:val="center"/>
            </w:pPr>
            <w:r>
              <w:t>2PS-2PS</w:t>
            </w:r>
          </w:p>
        </w:tc>
      </w:tr>
      <w:tr w:rsidR="00013A14" w:rsidRPr="00CC2847" w:rsidTr="00256D23">
        <w:trPr>
          <w:jc w:val="center"/>
        </w:trPr>
        <w:tc>
          <w:tcPr>
            <w:tcW w:w="2116" w:type="dxa"/>
          </w:tcPr>
          <w:p w:rsidR="00013A14" w:rsidRDefault="00013A14" w:rsidP="00256D23">
            <w:pPr>
              <w:jc w:val="center"/>
            </w:pPr>
            <w:r>
              <w:t>No dsRNA</w:t>
            </w:r>
          </w:p>
        </w:tc>
        <w:tc>
          <w:tcPr>
            <w:tcW w:w="2375" w:type="dxa"/>
          </w:tcPr>
          <w:p w:rsidR="00013A14" w:rsidRDefault="00013A14" w:rsidP="00256D23">
            <w:pPr>
              <w:jc w:val="center"/>
            </w:pPr>
            <w:r>
              <w:t>N/A</w:t>
            </w:r>
          </w:p>
        </w:tc>
      </w:tr>
    </w:tbl>
    <w:p w:rsidR="00013A14" w:rsidRDefault="00013A14" w:rsidP="00013A14">
      <w:pPr>
        <w:pStyle w:val="ListParagraph"/>
        <w:ind w:left="0"/>
        <w:rPr>
          <w:b/>
        </w:rPr>
      </w:pPr>
    </w:p>
    <w:p w:rsidR="00013A14" w:rsidRDefault="00013A14" w:rsidP="00013A14">
      <w:pPr>
        <w:spacing w:line="360" w:lineRule="auto"/>
        <w:ind w:firstLine="284"/>
      </w:pPr>
      <w:r>
        <w:t xml:space="preserve"> The results are shown </w:t>
      </w:r>
      <w:r w:rsidRPr="002D22C2">
        <w:t>in figure 6.9 f. Both the unmodified and 1PS-1PS dsRNAs demonstrated high levels of RNAi activity, with unmodified dsRNA</w:t>
      </w:r>
      <w:r>
        <w:t xml:space="preserve"> resulting in complete mortality. It is not clear why the same batch of unmodified dsRNA failed to produce a similar response in the previous feeding assay. </w:t>
      </w:r>
    </w:p>
    <w:p w:rsidR="005A0466" w:rsidRDefault="005A0466" w:rsidP="00AF4101">
      <w:pPr>
        <w:keepNext/>
        <w:spacing w:after="200"/>
        <w:jc w:val="right"/>
      </w:pPr>
      <w:r w:rsidRPr="005A0466">
        <w:rPr>
          <w:noProof/>
          <w:lang w:eastAsia="en-GB"/>
        </w:rPr>
        <w:lastRenderedPageBreak/>
        <w:drawing>
          <wp:inline distT="0" distB="0" distL="0" distR="0">
            <wp:extent cx="5358549" cy="6728460"/>
            <wp:effectExtent l="0" t="0" r="0" b="0"/>
            <wp:docPr id="61" name="Object 4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81672" cy="9165336"/>
                      <a:chOff x="1371600" y="1524000"/>
                      <a:chExt cx="7281672" cy="9165336"/>
                    </a:xfrm>
                  </a:grpSpPr>
                  <a:pic>
                    <a:nvPicPr>
                      <a:cNvPr id="16386" name="Picture 2"/>
                      <a:cNvPicPr>
                        <a:picLocks noChangeAspect="1" noChangeArrowheads="1"/>
                      </a:cNvPicPr>
                    </a:nvPicPr>
                    <a:blipFill>
                      <a:blip r:embed="rId96" cstate="print"/>
                      <a:srcRect/>
                      <a:stretch>
                        <a:fillRect/>
                      </a:stretch>
                    </a:blipFill>
                    <a:spPr bwMode="auto">
                      <a:xfrm>
                        <a:off x="1600200" y="7467600"/>
                        <a:ext cx="2566416" cy="3221736"/>
                      </a:xfrm>
                      <a:prstGeom prst="rect">
                        <a:avLst/>
                      </a:prstGeom>
                      <a:noFill/>
                      <a:ln w="9525">
                        <a:noFill/>
                        <a:miter lim="800000"/>
                        <a:headEnd/>
                        <a:tailEnd/>
                      </a:ln>
                    </a:spPr>
                  </a:pic>
                  <a:pic>
                    <a:nvPicPr>
                      <a:cNvPr id="16387" name="Picture 3"/>
                      <a:cNvPicPr>
                        <a:picLocks noChangeAspect="1" noChangeArrowheads="1"/>
                      </a:cNvPicPr>
                    </a:nvPicPr>
                    <a:blipFill>
                      <a:blip r:embed="rId97" cstate="print"/>
                      <a:srcRect/>
                      <a:stretch>
                        <a:fillRect/>
                      </a:stretch>
                    </a:blipFill>
                    <a:spPr bwMode="auto">
                      <a:xfrm>
                        <a:off x="5029200" y="1864043"/>
                        <a:ext cx="3624072" cy="2630424"/>
                      </a:xfrm>
                      <a:prstGeom prst="rect">
                        <a:avLst/>
                      </a:prstGeom>
                      <a:noFill/>
                      <a:ln w="9525">
                        <a:noFill/>
                        <a:miter lim="800000"/>
                        <a:headEnd/>
                        <a:tailEnd/>
                      </a:ln>
                    </a:spPr>
                  </a:pic>
                  <a:pic>
                    <a:nvPicPr>
                      <a:cNvPr id="16388" name="Picture 4"/>
                      <a:cNvPicPr>
                        <a:picLocks noChangeAspect="1" noChangeArrowheads="1"/>
                      </a:cNvPicPr>
                    </a:nvPicPr>
                    <a:blipFill>
                      <a:blip r:embed="rId98" cstate="print"/>
                      <a:srcRect/>
                      <a:stretch>
                        <a:fillRect/>
                      </a:stretch>
                    </a:blipFill>
                    <a:spPr bwMode="auto">
                      <a:xfrm>
                        <a:off x="4971288" y="4648200"/>
                        <a:ext cx="3029712" cy="2743200"/>
                      </a:xfrm>
                      <a:prstGeom prst="rect">
                        <a:avLst/>
                      </a:prstGeom>
                      <a:noFill/>
                      <a:ln w="9525">
                        <a:noFill/>
                        <a:miter lim="800000"/>
                        <a:headEnd/>
                        <a:tailEnd/>
                      </a:ln>
                    </a:spPr>
                  </a:pic>
                  <a:pic>
                    <a:nvPicPr>
                      <a:cNvPr id="16389" name="Picture 5"/>
                      <a:cNvPicPr>
                        <a:picLocks noChangeAspect="1" noChangeArrowheads="1"/>
                      </a:cNvPicPr>
                    </a:nvPicPr>
                    <a:blipFill>
                      <a:blip r:embed="rId99" cstate="print"/>
                      <a:srcRect/>
                      <a:stretch>
                        <a:fillRect/>
                      </a:stretch>
                    </a:blipFill>
                    <a:spPr bwMode="auto">
                      <a:xfrm>
                        <a:off x="1600200" y="5029200"/>
                        <a:ext cx="3038856" cy="2151888"/>
                      </a:xfrm>
                      <a:prstGeom prst="rect">
                        <a:avLst/>
                      </a:prstGeom>
                      <a:noFill/>
                      <a:ln w="9525">
                        <a:noFill/>
                        <a:miter lim="800000"/>
                        <a:headEnd/>
                        <a:tailEnd/>
                      </a:ln>
                    </a:spPr>
                  </a:pic>
                  <a:pic>
                    <a:nvPicPr>
                      <a:cNvPr id="11" name="Picture 4"/>
                      <a:cNvPicPr>
                        <a:picLocks noChangeAspect="1" noChangeArrowheads="1"/>
                      </a:cNvPicPr>
                    </a:nvPicPr>
                    <a:blipFill>
                      <a:blip r:embed="rId100" cstate="print"/>
                      <a:srcRect r="3226" b="19131"/>
                      <a:stretch>
                        <a:fillRect/>
                      </a:stretch>
                    </a:blipFill>
                    <a:spPr bwMode="auto">
                      <a:xfrm>
                        <a:off x="1447800" y="1864043"/>
                        <a:ext cx="2743200" cy="2667000"/>
                      </a:xfrm>
                      <a:prstGeom prst="rect">
                        <a:avLst/>
                      </a:prstGeom>
                      <a:noFill/>
                      <a:ln w="9525">
                        <a:noFill/>
                        <a:miter lim="800000"/>
                        <a:headEnd/>
                        <a:tailEnd/>
                      </a:ln>
                    </a:spPr>
                  </a:pic>
                  <a:pic>
                    <a:nvPicPr>
                      <a:cNvPr id="12" name="Picture 3"/>
                      <a:cNvPicPr>
                        <a:picLocks noChangeAspect="1" noChangeArrowheads="1"/>
                      </a:cNvPicPr>
                    </a:nvPicPr>
                    <a:blipFill>
                      <a:blip r:embed="rId101" cstate="print"/>
                      <a:srcRect l="17921" t="82537" r="35484"/>
                      <a:stretch>
                        <a:fillRect/>
                      </a:stretch>
                    </a:blipFill>
                    <a:spPr bwMode="auto">
                      <a:xfrm>
                        <a:off x="2286000" y="3083243"/>
                        <a:ext cx="1320800" cy="612645"/>
                      </a:xfrm>
                      <a:prstGeom prst="rect">
                        <a:avLst/>
                      </a:prstGeom>
                      <a:noFill/>
                      <a:ln w="9525">
                        <a:noFill/>
                        <a:miter lim="800000"/>
                        <a:headEnd/>
                        <a:tailEnd/>
                      </a:ln>
                    </a:spPr>
                  </a:pic>
                  <a:pic>
                    <a:nvPicPr>
                      <a:cNvPr id="16390" name="Picture 6"/>
                      <a:cNvPicPr>
                        <a:picLocks noChangeAspect="1" noChangeArrowheads="1"/>
                      </a:cNvPicPr>
                    </a:nvPicPr>
                    <a:blipFill>
                      <a:blip r:embed="rId102" cstate="print"/>
                      <a:srcRect r="29467"/>
                      <a:stretch>
                        <a:fillRect/>
                      </a:stretch>
                    </a:blipFill>
                    <a:spPr bwMode="auto">
                      <a:xfrm>
                        <a:off x="5029200" y="7620000"/>
                        <a:ext cx="2743200" cy="2691384"/>
                      </a:xfrm>
                      <a:prstGeom prst="rect">
                        <a:avLst/>
                      </a:prstGeom>
                      <a:noFill/>
                      <a:ln w="9525">
                        <a:noFill/>
                        <a:miter lim="800000"/>
                        <a:headEnd/>
                        <a:tailEnd/>
                      </a:ln>
                    </a:spPr>
                  </a:pic>
                  <a:pic>
                    <a:nvPicPr>
                      <a:cNvPr id="10" name="Picture 6"/>
                      <a:cNvPicPr>
                        <a:picLocks noChangeAspect="1" noChangeArrowheads="1"/>
                      </a:cNvPicPr>
                    </a:nvPicPr>
                    <a:blipFill>
                      <a:blip r:embed="rId102" cstate="print"/>
                      <a:srcRect l="70533" t="14156" b="66025"/>
                      <a:stretch>
                        <a:fillRect/>
                      </a:stretch>
                    </a:blipFill>
                    <a:spPr bwMode="auto">
                      <a:xfrm>
                        <a:off x="5638800" y="9067800"/>
                        <a:ext cx="1146048" cy="533400"/>
                      </a:xfrm>
                      <a:prstGeom prst="rect">
                        <a:avLst/>
                      </a:prstGeom>
                      <a:noFill/>
                      <a:ln w="9525">
                        <a:noFill/>
                        <a:miter lim="800000"/>
                        <a:headEnd/>
                        <a:tailEnd/>
                      </a:ln>
                    </a:spPr>
                  </a:pic>
                  <a:sp>
                    <a:nvSpPr>
                      <a:cNvPr id="13" name="TextBox 12"/>
                      <a:cNvSpPr txBox="1"/>
                    </a:nvSpPr>
                    <a:spPr>
                      <a:xfrm>
                        <a:off x="1371600" y="15240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4" name="TextBox 13"/>
                      <a:cNvSpPr txBox="1"/>
                    </a:nvSpPr>
                    <a:spPr>
                      <a:xfrm>
                        <a:off x="4953000" y="1559243"/>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5" name="TextBox 14"/>
                      <a:cNvSpPr txBox="1"/>
                    </a:nvSpPr>
                    <a:spPr>
                      <a:xfrm>
                        <a:off x="1371600" y="41910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6" name="TextBox 15"/>
                      <a:cNvSpPr txBox="1"/>
                    </a:nvSpPr>
                    <a:spPr>
                      <a:xfrm>
                        <a:off x="4953000" y="4226243"/>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sp>
                    <a:nvSpPr>
                      <a:cNvPr id="17" name="TextBox 16"/>
                      <a:cNvSpPr txBox="1"/>
                    </a:nvSpPr>
                    <a:spPr>
                      <a:xfrm>
                        <a:off x="1371600" y="7168514"/>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e</a:t>
                          </a:r>
                          <a:endParaRPr lang="en-GB" sz="2600" b="1" dirty="0"/>
                        </a:p>
                      </a:txBody>
                      <a:useSpRect/>
                    </a:txSp>
                  </a:sp>
                  <a:sp>
                    <a:nvSpPr>
                      <a:cNvPr id="18" name="TextBox 17"/>
                      <a:cNvSpPr txBox="1"/>
                    </a:nvSpPr>
                    <a:spPr>
                      <a:xfrm>
                        <a:off x="4953000" y="72037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f</a:t>
                          </a:r>
                          <a:endParaRPr lang="en-GB" sz="2600" b="1" dirty="0"/>
                        </a:p>
                      </a:txBody>
                      <a:useSpRect/>
                    </a:txSp>
                  </a:sp>
                </lc:lockedCanvas>
              </a:graphicData>
            </a:graphic>
          </wp:inline>
        </w:drawing>
      </w:r>
    </w:p>
    <w:p w:rsidR="00B50552" w:rsidRDefault="005A0466" w:rsidP="00B50552">
      <w:pPr>
        <w:pStyle w:val="Caption"/>
        <w:spacing w:after="0"/>
        <w:rPr>
          <w:color w:val="auto"/>
        </w:rPr>
      </w:pPr>
      <w:bookmarkStart w:id="265" w:name="_Toc20411667"/>
      <w:r w:rsidRPr="005A0466">
        <w:rPr>
          <w:color w:val="auto"/>
        </w:rPr>
        <w:t xml:space="preserve">Figure </w:t>
      </w:r>
      <w:r w:rsidR="005C0E76">
        <w:rPr>
          <w:color w:val="auto"/>
        </w:rPr>
        <w:fldChar w:fldCharType="begin"/>
      </w:r>
      <w:r w:rsidR="00AF4101">
        <w:rPr>
          <w:color w:val="auto"/>
        </w:rPr>
        <w:instrText xml:space="preserve"> STYLEREF 1 \s </w:instrText>
      </w:r>
      <w:r w:rsidR="005C0E76">
        <w:rPr>
          <w:color w:val="auto"/>
        </w:rPr>
        <w:fldChar w:fldCharType="separate"/>
      </w:r>
      <w:r w:rsidR="008F594A">
        <w:rPr>
          <w:noProof/>
          <w:color w:val="auto"/>
        </w:rPr>
        <w:t>6</w:t>
      </w:r>
      <w:r w:rsidR="005C0E76">
        <w:rPr>
          <w:color w:val="auto"/>
        </w:rPr>
        <w:fldChar w:fldCharType="end"/>
      </w:r>
      <w:r w:rsidR="00AF4101">
        <w:rPr>
          <w:color w:val="auto"/>
        </w:rPr>
        <w:t>.</w:t>
      </w:r>
      <w:r w:rsidR="005C0E76">
        <w:rPr>
          <w:color w:val="auto"/>
        </w:rPr>
        <w:fldChar w:fldCharType="begin"/>
      </w:r>
      <w:r w:rsidR="00AF4101">
        <w:rPr>
          <w:color w:val="auto"/>
        </w:rPr>
        <w:instrText xml:space="preserve"> SEQ Figure \* ARABIC \s 1 </w:instrText>
      </w:r>
      <w:r w:rsidR="005C0E76">
        <w:rPr>
          <w:color w:val="auto"/>
        </w:rPr>
        <w:fldChar w:fldCharType="separate"/>
      </w:r>
      <w:r w:rsidR="008F594A">
        <w:rPr>
          <w:noProof/>
          <w:color w:val="auto"/>
        </w:rPr>
        <w:t>9</w:t>
      </w:r>
      <w:r w:rsidR="005C0E76">
        <w:rPr>
          <w:color w:val="auto"/>
        </w:rPr>
        <w:fldChar w:fldCharType="end"/>
      </w:r>
      <w:r w:rsidRPr="005A0466">
        <w:rPr>
          <w:color w:val="auto"/>
        </w:rPr>
        <w:t xml:space="preserve"> </w:t>
      </w:r>
      <w:r>
        <w:rPr>
          <w:color w:val="auto"/>
        </w:rPr>
        <w:t>Stink bug survival feeding and injection assays using phosphorothioate modified dsRNA.</w:t>
      </w:r>
      <w:bookmarkEnd w:id="265"/>
      <w:r>
        <w:rPr>
          <w:color w:val="auto"/>
        </w:rPr>
        <w:t xml:space="preserve"> </w:t>
      </w:r>
    </w:p>
    <w:p w:rsidR="005A0466" w:rsidRPr="005A0466" w:rsidRDefault="005A0466" w:rsidP="00B50552">
      <w:pPr>
        <w:pStyle w:val="Caption"/>
        <w:spacing w:after="0"/>
        <w:rPr>
          <w:b w:val="0"/>
          <w:color w:val="auto"/>
        </w:rPr>
      </w:pPr>
      <w:r w:rsidRPr="005A0466">
        <w:rPr>
          <w:b w:val="0"/>
          <w:color w:val="auto"/>
        </w:rPr>
        <w:t>(a) Stink bug feeding assay survival timecourse. Second instar (N2) insects were fed for three days on a feeding sachet containing dsRNA at 0.5 µg/µl in 15% (w/v) sucrose solution, prior to transferral to feeding dishes, where mortality was measured until day 13. Unmod n = 15; Un-2PS n = 16; 2PS-Un n = 16; GFP n = 16; Sucrose n = 15. (b) Stink bug feeding assay survival timecourse. Second instar (N2)  insects were fed for four days on a feeding sachet containing dsRNA at 1.0 µg/µl in 15% (w/v) sucrose solution, prior to transferral to feeding dishes, where mortality was measured until day 13. Unmod n = 32; Un-1PS n = 28; 1PS-1PS n = 32; Un-2PS n = 19; 2PS-2PS n = 30; GFP Unmod n = 32; GFP 2PS n = 19; Sucrose n = 32. (c) Stink bug feeding assay, comparison of percentage of insects showing evidence of feeding with percentage survival at day 4.</w:t>
      </w:r>
      <w:r w:rsidR="0031009B">
        <w:rPr>
          <w:b w:val="0"/>
          <w:color w:val="auto"/>
        </w:rPr>
        <w:t xml:space="preserve"> Number of insects as in b.</w:t>
      </w:r>
      <w:r w:rsidRPr="005A0466">
        <w:rPr>
          <w:b w:val="0"/>
          <w:color w:val="auto"/>
        </w:rPr>
        <w:t xml:space="preserve"> (d) Stink bug feeding assay, comparison of percentage of insects showing evidence of feeding with average amount of feeding per insect per condition, given by “Average feeding voracity” score. (e) Stink bug feeding assay, feeding voracity score for each insect in each condition, with average and SEM plotted.</w:t>
      </w:r>
      <w:r w:rsidR="0031009B">
        <w:rPr>
          <w:b w:val="0"/>
          <w:color w:val="auto"/>
        </w:rPr>
        <w:t xml:space="preserve"> Number of insects as in b.</w:t>
      </w:r>
      <w:r w:rsidRPr="005A0466">
        <w:rPr>
          <w:b w:val="0"/>
          <w:color w:val="auto"/>
        </w:rPr>
        <w:t xml:space="preserve"> (f) Stink bug injection assay using dsRNA samples from feeding assay. N2 insects were injected with 10 nl of dsRNA at 1.0 µg/µl, and mortality measured over 7 days and corrected to day 1 mortality. No dsRNA n = 29; GFP Unmod n = 37; GFP 2PS n = 37; Target C Unmod  n = 37; Target C 1PS-1PS n = 39.</w:t>
      </w:r>
    </w:p>
    <w:p w:rsidR="00013A14" w:rsidRPr="002D22C2" w:rsidRDefault="00013A14" w:rsidP="00013A14">
      <w:pPr>
        <w:spacing w:line="360" w:lineRule="auto"/>
        <w:ind w:firstLine="284"/>
      </w:pPr>
      <w:r>
        <w:lastRenderedPageBreak/>
        <w:t xml:space="preserve">PS modified GFP dsRNA was also analysed to determine whether PS modifications were toxic to SGSB, which might explain the high levels of early mortality for PS dsRNAs in the feeding assay. Survival for insects injected with PS GFP </w:t>
      </w:r>
      <w:r w:rsidRPr="002D22C2">
        <w:t>dsRNA was above 80 % and therefore considered to be in the range of control mortality, suggesting PS modifications are not toxic to stink bugs (figure 6.9 f).</w:t>
      </w:r>
    </w:p>
    <w:p w:rsidR="00013A14" w:rsidRPr="002D22C2" w:rsidRDefault="00013A14" w:rsidP="00013A14">
      <w:pPr>
        <w:spacing w:line="360" w:lineRule="auto"/>
        <w:ind w:firstLine="284"/>
      </w:pPr>
      <w:r w:rsidRPr="002D22C2">
        <w:t xml:space="preserve">The plates used for the feeding assay were also examined. The dye in the dsRNA-sucrose solution was excreted by insects during their time feeding in the plate. The number of dye dots in each well as a result of feeding was counted as an estimate of the amount of feeding by insects in each condition. The feeding data is presented in figures 6.9 c-e. </w:t>
      </w:r>
    </w:p>
    <w:p w:rsidR="00013A14" w:rsidRPr="002D22C2" w:rsidRDefault="00013A14" w:rsidP="00013A14">
      <w:pPr>
        <w:spacing w:line="360" w:lineRule="auto"/>
        <w:ind w:firstLine="284"/>
      </w:pPr>
      <w:r w:rsidRPr="002D22C2">
        <w:t>The number of insects showing evidence of feeding is plotted alongside day four percentage survival in figure 6.9 c. The results show that for conditions with high levels of mortality, the percentage of insects showing evidence of feeding is higher than the percentage survival, suggesting many of the insects fed and the mortality is not due to starvation.</w:t>
      </w:r>
    </w:p>
    <w:p w:rsidR="00013A14" w:rsidRDefault="00013A14" w:rsidP="00013A14">
      <w:pPr>
        <w:spacing w:line="360" w:lineRule="auto"/>
        <w:ind w:firstLine="284"/>
      </w:pPr>
      <w:r w:rsidRPr="002D22C2">
        <w:t xml:space="preserve">The data was also plotted as a “feeding voracity score” which represents the </w:t>
      </w:r>
      <w:r w:rsidR="000137D8">
        <w:t xml:space="preserve">average </w:t>
      </w:r>
      <w:r w:rsidRPr="002D22C2">
        <w:t xml:space="preserve">number of dye dots per insect and is therefore an estimate of how much each insect fed. The number of insects showing evidence of feeding and the amount of feeding per insect positively correlate, as shown in figure 6.9 d.  The insects also cluster together in their feeding behaviour, with insects fed on control dsRNA, no dsRNA or 2PS-2PS dsRNA (which was shown to have low insecticidal activity in the WCR plate feeding assay) showing higher amounts of feeding than the insects fed on targeting dsRNA (see figure 6.9 e). This may be a result of insects feeding on dsRNAs that exhibit high RNAi activity eating </w:t>
      </w:r>
      <w:r>
        <w:t>less as the RNAi effect begins to occur in the first few days and their health declines.</w:t>
      </w:r>
    </w:p>
    <w:p w:rsidR="00013A14" w:rsidRDefault="00013A14" w:rsidP="00013A14">
      <w:pPr>
        <w:spacing w:line="360" w:lineRule="auto"/>
        <w:ind w:firstLine="284"/>
      </w:pPr>
    </w:p>
    <w:p w:rsidR="00013A14" w:rsidRDefault="00013A14">
      <w:pPr>
        <w:spacing w:after="200"/>
        <w:jc w:val="left"/>
      </w:pPr>
      <w:r>
        <w:br w:type="page"/>
      </w:r>
    </w:p>
    <w:p w:rsidR="00013A14" w:rsidRDefault="00013A14" w:rsidP="007F1EED">
      <w:pPr>
        <w:pStyle w:val="Heading2"/>
        <w:spacing w:before="0" w:line="360" w:lineRule="auto"/>
        <w:ind w:left="567" w:hanging="578"/>
      </w:pPr>
      <w:bookmarkStart w:id="266" w:name="_Toc15562902"/>
      <w:bookmarkStart w:id="267" w:name="_Toc35334014"/>
      <w:r>
        <w:lastRenderedPageBreak/>
        <w:t>Conclusions</w:t>
      </w:r>
      <w:bookmarkEnd w:id="266"/>
      <w:bookmarkEnd w:id="267"/>
    </w:p>
    <w:p w:rsidR="00013A14" w:rsidRDefault="00013A14" w:rsidP="00013A14">
      <w:pPr>
        <w:spacing w:line="360" w:lineRule="auto"/>
        <w:ind w:firstLine="284"/>
        <w:rPr>
          <w:b/>
          <w:color w:val="FF0000"/>
        </w:rPr>
      </w:pPr>
      <w:r>
        <w:t xml:space="preserve">In this Chapter I have used a range of chemically modified dsRNAs in conjunction with live insect feeding and injection assays to study their RNAi efficacy </w:t>
      </w:r>
      <w:r w:rsidRPr="00EE79C0">
        <w:rPr>
          <w:i/>
        </w:rPr>
        <w:t>in vivo</w:t>
      </w:r>
      <w:r>
        <w:t xml:space="preserve">. </w:t>
      </w:r>
      <w:r w:rsidRPr="000F3DEE">
        <w:t>The results from</w:t>
      </w:r>
      <w:r>
        <w:t xml:space="preserve"> this chapter demonstrate that a wide range of chemically modified dsRNAs are active for RNAi in both western corn rootworm and stink bugs. Different levels of RNAi as measured by insect mortality were observed depending on the type of chemical modification, the number of chemical modifications in the dsRNA, and whether the modifications were present in the passenger strand, guide strand or in both strands of the dsRNA.</w:t>
      </w:r>
    </w:p>
    <w:p w:rsidR="00013A14" w:rsidRDefault="00013A14" w:rsidP="00013A14">
      <w:pPr>
        <w:spacing w:line="360" w:lineRule="auto"/>
        <w:ind w:firstLine="284"/>
      </w:pPr>
      <w:r>
        <w:t xml:space="preserve"> The first two WCR diet plate assay screens demonstrated that 1HMr dsRNA has equivalent RNAi efficacy to unmodified dsRNA. These results are in agreement </w:t>
      </w:r>
      <w:r w:rsidRPr="002D22C2">
        <w:t>with luciferase assay data (see section</w:t>
      </w:r>
      <w:r w:rsidR="002D22C2" w:rsidRPr="002D22C2">
        <w:t xml:space="preserve"> 5.3.4</w:t>
      </w:r>
      <w:r w:rsidRPr="002D22C2">
        <w:t xml:space="preserve">), which demonstrated 1HMr dsRNA had equivalent RNAi efficacy to unmodified dsRNA </w:t>
      </w:r>
      <w:r w:rsidRPr="002D22C2">
        <w:rPr>
          <w:i/>
        </w:rPr>
        <w:t>in vitro</w:t>
      </w:r>
      <w:r w:rsidRPr="002D22C2">
        <w:t xml:space="preserve"> in </w:t>
      </w:r>
      <w:r w:rsidRPr="002D22C2">
        <w:rPr>
          <w:i/>
        </w:rPr>
        <w:t>Drosophila</w:t>
      </w:r>
      <w:r w:rsidRPr="002D22C2">
        <w:t xml:space="preserve"> cells. This suggests that when only one base is replaced</w:t>
      </w:r>
      <w:r>
        <w:t xml:space="preserve"> with a 5-hydroxymethyl analogue, the modification has no </w:t>
      </w:r>
      <w:r w:rsidR="002D22C2">
        <w:t xml:space="preserve">significant </w:t>
      </w:r>
      <w:r>
        <w:t xml:space="preserve">effect on dsRNA uptake or processing in insects. </w:t>
      </w:r>
    </w:p>
    <w:p w:rsidR="00013A14" w:rsidRDefault="00013A14" w:rsidP="00013A14">
      <w:pPr>
        <w:spacing w:line="360" w:lineRule="auto"/>
        <w:ind w:firstLine="284"/>
      </w:pPr>
      <w:r>
        <w:t>2’-fluoro dsRNA with modifications in only one of the two strands was approximately equivalent in RNAi activity to unmodified dsRNA for both the WCR diet plate feeding assay and the stink bug injection assay. At certain concentrations, dsRNA with 2’F modifications in the passenger strand demonstrated a slight reduction in efficacy, though this was not consistent between experiments and at other concentrations. However</w:t>
      </w:r>
      <w:r w:rsidR="002D22C2">
        <w:t>,</w:t>
      </w:r>
      <w:r>
        <w:t xml:space="preserve"> dsRNA with 2’F modifications in both strands demonstrated a</w:t>
      </w:r>
      <w:r w:rsidR="000137D8">
        <w:t xml:space="preserve"> consistent</w:t>
      </w:r>
      <w:r>
        <w:t xml:space="preserve"> reduction in RNAi efficacy. This suggests that insect dsRNA uptake and RNAi machinery can compensate for changes in dsRNA shape or duplex stability caused by 2’F modifications when modifications are in only one strand, but cannot contend with 2’F modifications in both strands.  </w:t>
      </w:r>
    </w:p>
    <w:p w:rsidR="00013A14" w:rsidRDefault="00013A14" w:rsidP="00013A14">
      <w:pPr>
        <w:spacing w:line="360" w:lineRule="auto"/>
        <w:ind w:firstLine="284"/>
      </w:pPr>
      <w:r>
        <w:t xml:space="preserve">Phosphorothioate dsRNA showed a progressive loss of activity in WCR feeding assays when the modification content was increased from 1PS in one strand, through 1PS in both strands, to 2PS in one strand and finally 2PS in both strands, at which point almost all RNAi activity was lost. dsRNA with PS modifications in the guide strand was less effective for RNAi than dsRNA with PS modifications in the passenger strand. This rule held for 1PS and 2PS dsRNA. As the guide strand is the part of the dsRNA that eventually remains bound to Argonaute-2 to facilitate target mRNA recognition and binding, whereas the passenger strand is discarded, this result is not surprising. PS modifications in this strand may interfere to a greater extent with RISC assembly or mRNA binding than PS modifications in the passenger strand. dsRNAs with PS modifications in both strands were less effective again for RNAi. These rules were true for both the diet plate assay and the soil assay week 0 time point. dsRNA with 2PS modifications in either strand elicited equivalent RNAi knockdown to unmodified dsRNA in stink bugs when the dsRNA was injected, though the injection </w:t>
      </w:r>
      <w:r>
        <w:lastRenderedPageBreak/>
        <w:t>assay delivered a large overdose, and therefore at lower doses a difference in RNAi efficacy between the two dsRNAs may have been detected.</w:t>
      </w:r>
    </w:p>
    <w:p w:rsidR="00013A14" w:rsidRDefault="00013A14" w:rsidP="00013A14">
      <w:pPr>
        <w:spacing w:line="360" w:lineRule="auto"/>
        <w:ind w:firstLine="284"/>
      </w:pPr>
      <w:r>
        <w:t>PS and 2’F modifications are located at different positions on the dsRNA backbone. 2’-fluoro groups are part of the ribose groups, whereas phosphorothioate modifications are part of the phosphate groups. Ribose and phosphate groups have different interactions with dsRNA uptake and processing machinery. Therefore, it is not altogether surprising that a dsRNA with PS modifications in one strand, and a dsRNA with 2’F modifications in the same strand will have different RNAi efficacies.</w:t>
      </w:r>
      <w:r w:rsidR="002D22C2">
        <w:t xml:space="preserve"> For example, the RNase III domains of Dicer-2 cleave in a mechanism only involving the phosphate group, not the 2’-OH (or 2’F) group.</w:t>
      </w:r>
    </w:p>
    <w:p w:rsidR="00013A14" w:rsidRDefault="00013A14" w:rsidP="00013A14">
      <w:pPr>
        <w:spacing w:line="360" w:lineRule="auto"/>
        <w:ind w:firstLine="284"/>
      </w:pPr>
      <w:r>
        <w:t xml:space="preserve">Some dsRNAs containing PS modifications were demonstrated to be effective for RNAi in insects by the WCR feeding and stink bug injection assays. It was also demonstrated that PS modifications were the only </w:t>
      </w:r>
      <w:r w:rsidRPr="002D22C2">
        <w:t>modification tested that increased dsRNA nuclease stability compared to unmodified dsRNA (see section</w:t>
      </w:r>
      <w:r w:rsidR="002D22C2" w:rsidRPr="002D22C2">
        <w:t xml:space="preserve"> 4.3.2.2</w:t>
      </w:r>
      <w:r w:rsidRPr="002D22C2">
        <w:t>). The dsRNAs containing PS modifications were therefore tested in a WCR soil feeding assay which deliberately</w:t>
      </w:r>
      <w:r>
        <w:t xml:space="preserve"> introduced environmental degradation by soil nucleases as a factor in determining how effective the dsRNAs tested </w:t>
      </w:r>
      <w:r w:rsidR="002D22C2">
        <w:t>would</w:t>
      </w:r>
      <w:r>
        <w:t xml:space="preserve"> be at inducing RNAi in insects. Previous studies have demonstrated that in various soil types, the majority of dsRNA is lost between 12 and 24 hours after application </w:t>
      </w:r>
      <w:r w:rsidR="005C0E76">
        <w:fldChar w:fldCharType="begin" w:fldLock="1"/>
      </w:r>
      <w:r>
        <w:instrText>ADDIN CSL_CITATION {"citationItems":[{"id":"ITEM-1","itemData":{"DOI":"10.1371/journal.pone.0093155","ISSN":"1932-6203","abstract":"A laboratory soil degradation study was conducted to determine the biodegradation potential of a DvSnf7 dsRNA transcript derived from a Monsanto genetically modified (GM) maize product that confers resistance to corn rootworm (CRW; Diabrotica spp.). This study provides new information to improve the environmental assessment of dsRNAs that become pesticidal through an RNAi process. Three agricultural soils differing in their physicochemical characteristics were obtained from the U.S., Illinois (IL; silt loam), Missouri (MO; loamy sand) and North Dakota (ND; clay loam), and exposed to the target dsRNA by incorporating insect-protected maize biomass and purified (in vitro-transcribed) DvSnf7 RNA into soil. The GM and control (non-GM maize) materials were added to each soil and incubated at ca. 22°C for 48 hours (h). Samples were collected at 12 time intervals during the incubation period, extracted, and analyzed using QuantiGene molecular analysis and insect bioassay methods. The DT50 (half-life) values for DvSnf7 RNA in IL, MO, and ND soils were 19, 28, and 15 h based on QuantiGene, and 18, 29, and 14 h based on insect bioassay, respectively. Furthermore, the DT90 (time to 90% degradation) values for DvSnf7 RNA in all three soils were &lt;35 h. These results indicate that DvSnf7 RNA was degraded and biological activity was undetectable within approximately 2 days after application to soil, regardless of texture, pH, clay content and other soil differences. Furthermore, soil-incorporated DvSnf7 RNA was non-detectable in soil after 48 h, as measured by QuantiGene, at levels ranging more than two orders of magnitude (0.3, 1.5, 7.5 and 37.5 µg RNA/g soil). Results from this study indicate that the DvSnf7 dsRNA is unlikely to persist or accumulate in the environment. Furthermore, the rapid degradation of DvSnf7 dsRNA provides a basis to define relevant exposure scenarios for future RNA-based agricultural products.","author":[{"dropping-particle":"","family":"Dubelman","given":"Samuel","non-dropping-particle":"","parse-names":false,"suffix":""},{"dropping-particle":"","family":"Fischer","given":"Joshua","non-dropping-particle":"","parse-names":false,"suffix":""},{"dropping-particle":"","family":"Zapata","given":"Fatima","non-dropping-particle":"","parse-names":false,"suffix":""},{"dropping-particle":"","family":"Huizinga","given":"Kristin","non-dropping-particle":"","parse-names":false,"suffix":""},{"dropping-particle":"","family":"Jiang","given":"Changjian","non-dropping-particle":"","parse-names":false,"suffix":""},{"dropping-particle":"","family":"Uffman","given":"Joshua","non-dropping-particle":"","parse-names":false,"suffix":""},{"dropping-particle":"","family":"Levine","given":"Steven","non-dropping-particle":"","parse-names":false,"suffix":""},{"dropping-particle":"","family":"Carson","given":"David","non-dropping-particle":"","parse-names":false,"suffix":""}],"container-title":"PLoS ONE","editor":[{"dropping-particle":"","family":"Smagghe","given":"Guy","non-dropping-particle":"","parse-names":false,"suffix":""}],"id":"ITEM-1","issue":"3","issued":{"date-parts":[["2014","3","27"]]},"page":"e93155","publisher":"Public Library of Science","title":"Environmental Fate of Double-Stranded RNA in Agricultural Soils","type":"article-journal","volume":"9"},"uris":["http://www.mendeley.com/documents/?uuid=b3479b3f-460c-3c05-9dbb-56814777b613"]}],"mendeley":{"formattedCitation":"(Dubelman &lt;i&gt;et al.&lt;/i&gt;, 2014)","plainTextFormattedCitation":"(Dubelman et al., 2014)","previouslyFormattedCitation":"(Dubelman &lt;i&gt;et al.&lt;/i&gt;, 2014)"},"properties":{"noteIndex":0},"schema":"https://github.com/citation-style-language/schema/raw/master/csl-citation.json"}</w:instrText>
      </w:r>
      <w:r w:rsidR="005C0E76">
        <w:fldChar w:fldCharType="separate"/>
      </w:r>
      <w:r w:rsidRPr="00650944">
        <w:rPr>
          <w:noProof/>
        </w:rPr>
        <w:t xml:space="preserve">(Dubelman </w:t>
      </w:r>
      <w:r w:rsidRPr="00650944">
        <w:rPr>
          <w:i/>
          <w:noProof/>
        </w:rPr>
        <w:t>et al.</w:t>
      </w:r>
      <w:r w:rsidRPr="00650944">
        <w:rPr>
          <w:noProof/>
        </w:rPr>
        <w:t>, 2014)</w:t>
      </w:r>
      <w:r w:rsidR="005C0E76">
        <w:fldChar w:fldCharType="end"/>
      </w:r>
      <w:r>
        <w:t>. None of the phosphorothioate modified dsRNAs tested managed to extend the active life span of the dsRNA as an insecticide to 1 week, whereas current formulations under development are capable of extending the life span to this time point. It is possible that modified dsRNA might have greater stability to soil nucleases over a shorter time period, however this needs to be investigated further.</w:t>
      </w:r>
      <w:r w:rsidR="00F4503A">
        <w:t xml:space="preserve"> </w:t>
      </w:r>
      <w:r>
        <w:t xml:space="preserve">The possible mild increase in stability due to the presence of RNA modifications might translate into a greater increase in stability when combined with an anti-nuclease formulation, though this would also require further experimentation to confirm or deny. If this could be demonstrated it would suggest insecticidal phosphorothioate dsRNA would remain intact and active in the soil for a greater length of time compared to unmodified dsRNA, thereby reducing the regularity of application required to maintain insecticidal activity in the treated plot. This would naturally be of great economic benefit to agriculturists. </w:t>
      </w:r>
    </w:p>
    <w:p w:rsidR="00013A14" w:rsidRDefault="00013A14" w:rsidP="007F1EED">
      <w:pPr>
        <w:spacing w:line="336" w:lineRule="auto"/>
        <w:ind w:firstLine="284"/>
      </w:pPr>
      <w:r w:rsidRPr="007720A8">
        <w:t>In conclusion, the results show that a range of different chemically modified dsRNA resulted in efficient RNAi in southern green stink bugs and western corn rootworm using insect mortality assays</w:t>
      </w:r>
      <w:r>
        <w:t>.</w:t>
      </w:r>
      <w:r w:rsidRPr="007720A8">
        <w:t xml:space="preserve"> </w:t>
      </w:r>
      <w:r>
        <w:t xml:space="preserve">However, none of the chemically modified dsRNAs analysed showed an improvement in RNAi activity compared to unmodified dsRNA in the assays used. Clear distinctions in RNAi efficacy were observed depending on type, location, and quantity of chemical modifications present within the dsRNA. </w:t>
      </w:r>
      <w:r w:rsidRPr="007720A8">
        <w:t>Therefore these results provide further mechanistic insight into the potential use of chemically modified dsRNA biopesticides</w:t>
      </w:r>
      <w:r>
        <w:t>.</w:t>
      </w:r>
    </w:p>
    <w:p w:rsidR="00F4503A" w:rsidRDefault="00F4503A" w:rsidP="00F4503A">
      <w:pPr>
        <w:spacing w:after="200"/>
        <w:jc w:val="center"/>
        <w:rPr>
          <w:sz w:val="72"/>
          <w:szCs w:val="72"/>
        </w:rPr>
      </w:pPr>
      <w:r>
        <w:rPr>
          <w:sz w:val="72"/>
          <w:szCs w:val="72"/>
        </w:rPr>
        <w:lastRenderedPageBreak/>
        <w:t>Chapter 7</w:t>
      </w:r>
    </w:p>
    <w:p w:rsidR="00F4503A" w:rsidRDefault="00F4503A" w:rsidP="00F4503A">
      <w:pPr>
        <w:spacing w:after="200"/>
        <w:jc w:val="center"/>
        <w:rPr>
          <w:sz w:val="72"/>
          <w:szCs w:val="72"/>
        </w:rPr>
      </w:pPr>
    </w:p>
    <w:p w:rsidR="00F4503A" w:rsidRPr="00F4503A" w:rsidRDefault="00F4503A" w:rsidP="00F4503A">
      <w:pPr>
        <w:jc w:val="center"/>
      </w:pPr>
      <w:r>
        <w:rPr>
          <w:sz w:val="52"/>
          <w:szCs w:val="52"/>
        </w:rPr>
        <w:t>Conclusions and Further Work</w:t>
      </w:r>
    </w:p>
    <w:p w:rsidR="00F4503A" w:rsidRDefault="00F4503A" w:rsidP="00F4503A">
      <w:pPr>
        <w:spacing w:after="200"/>
        <w:jc w:val="left"/>
      </w:pPr>
    </w:p>
    <w:p w:rsidR="00F4503A" w:rsidRDefault="00F4503A">
      <w:pPr>
        <w:spacing w:after="200"/>
        <w:jc w:val="left"/>
      </w:pPr>
      <w:r>
        <w:br w:type="page"/>
      </w:r>
    </w:p>
    <w:p w:rsidR="00F4503A" w:rsidRDefault="00F4503A" w:rsidP="00F4503A">
      <w:pPr>
        <w:pStyle w:val="Heading1"/>
      </w:pPr>
      <w:bookmarkStart w:id="268" w:name="_Toc35334015"/>
      <w:r>
        <w:lastRenderedPageBreak/>
        <w:t>Conclusions and Future Work</w:t>
      </w:r>
      <w:bookmarkEnd w:id="268"/>
    </w:p>
    <w:p w:rsidR="00F4503A" w:rsidRDefault="00F4503A" w:rsidP="00F4503A"/>
    <w:p w:rsidR="00F4503A" w:rsidRPr="00F4503A" w:rsidRDefault="00F4503A" w:rsidP="00F4503A">
      <w:pPr>
        <w:spacing w:after="120"/>
        <w:rPr>
          <w:b/>
        </w:rPr>
      </w:pPr>
      <w:r>
        <w:rPr>
          <w:b/>
        </w:rPr>
        <w:t>Conclusions</w:t>
      </w:r>
    </w:p>
    <w:p w:rsidR="00F4503A" w:rsidRDefault="00F4503A" w:rsidP="00F4503A">
      <w:pPr>
        <w:spacing w:line="360" w:lineRule="auto"/>
        <w:ind w:firstLine="284"/>
      </w:pPr>
      <w:r>
        <w:t>ds</w:t>
      </w:r>
      <w:r w:rsidRPr="001E7D7F">
        <w:t>RNA based bio</w:t>
      </w:r>
      <w:r>
        <w:t xml:space="preserve">controls are emerging as a novel </w:t>
      </w:r>
      <w:r w:rsidRPr="001E7D7F">
        <w:t xml:space="preserve">alternative to chemical pesticides for the </w:t>
      </w:r>
      <w:r>
        <w:t xml:space="preserve">control of crop pest insects </w:t>
      </w:r>
      <w:r w:rsidR="005C0E76">
        <w:fldChar w:fldCharType="begin" w:fldLock="1"/>
      </w:r>
      <w:r>
        <w:instrText>ADDIN CSL_CITATION {"citationItems":[{"id":"ITEM-1","itemData":{"DOI":"10.1038/nbt1359","ISBN":"1087-0156 (Print)\\r1087-0156 (Linking)","ISSN":"10870156","PMID":"17982443","abstract":"Commercial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Biotechnology","id":"ITEM-1","issue":"11","issued":{"date-parts":[["2007"]]},"page":"1322-1326","title":"Control of coleopteran insect pests through RNA interference","type":"article-journal","volume":"25"},"uris":["http://www.mendeley.com/documents/?uuid=f36b1865-baf2-4cfb-bf8c-3a0a3c4b563c"]},{"id":"ITEM-2","itemData":{"DOI":"10.1038/nbt1352","ISBN":"1087-0156","ISSN":"10870156","PMID":"17982444","abstract":"We identify a cytochrome P450 gene (CYP6AE14) from cotton bollworm (Helicoverpa armigera), which permits this herbivore to tolerate otherwise inhibitory concentrations of the cotton metabolite, gossypol. CYP6AE14 is highly expressed in the midgut and its expression correlates with larval growth when gossypol is included in the diet. When larvae are fed plant material expressing double-stranded RNA (dsRNA) specific to CYP6AE14, levels of this transcript in the midgut decrease and larval growth is retarded. Both effects are more dramatic in the presence of gossypol. As a glutathione-S-transferase gene (GST1) is silenced in GST1 dsRNA-expressing plants, feeding insects plant material expressing dsRNA may be a general strategy to trigger RNA interference and could find applications in entomological research and field control of insect pests.","author":[{"dropping-particle":"","family":"Mao","given":"Ying Bo","non-dropping-particle":"","parse-names":false,"suffix":""},{"dropping-particle":"","family":"Cai","given":"Wen Juan","non-dropping-particle":"","parse-names":false,"suffix":""},{"dropping-particle":"","family":"Wang","given":"Jia Wei","non-dropping-particle":"","parse-names":false,"suffix":""},{"dropping-particle":"","family":"Hong","given":"Gao Jie","non-dropping-particle":"","parse-names":false,"suffix":""},{"dropping-particle":"","family":"Tao","given":"Xiao Yuan","non-dropping-particle":"","parse-names":false,"suffix":""},{"dropping-particle":"","family":"Wang","given":"Ling Jian","non-dropping-particle":"","parse-names":false,"suffix":""},{"dropping-particle":"","family":"Huang","given":"Yong Ping","non-dropping-particle":"","parse-names":false,"suffix":""},{"dropping-particle":"","family":"Chen","given":"Xiao Ya","non-dropping-particle":"","parse-names":false,"suffix":""}],"container-title":"Nature Biotechnology","id":"ITEM-2","issue":"11","issued":{"date-parts":[["2007"]]},"page":"1307-1313","title":"Silencing a cotton bollworm P450 monooxygenase gene by plant-mediated RNAi impairs larval tolerance of gossypol","type":"article-journal","volume":"25"},"uris":["http://www.mendeley.com/documents/?uuid=30f4c137-f223-4428-b6ca-02cdb2aba4ea"]},{"id":"ITEM-3","itemData":{"DOI":"10.1016/j.yrtph.2016.09.001","ISSN":"10960295","PMID":"27436086","abstract":"On behalf of the authors of Petrick et al. (2016), the following are corrections to Table 8 in our paper entitled, “Corn Rootworm-Active RNA DvSnf7: Repeat Dose Oral Toxicology Assessment in Support of Human and Mammalian Safety” (Petrick et al., 2016). Maize consumption data for the United States were inadvertently provided as acute 95th percentile consumption data from the Dietary Exposure Evaluation Model - Food Commodity Intake Database (DEEM FCID/Calendex version 4.02, 05-10-c, https://www.epa.gov/pesticide-science-and-assessing-pesticide-risks/models-pesticide-risk-assessment#deem) using food consumption data from the National Health and Nutrition Examination Survey/“What We Eat in America” dietary survey for the years 2005–2010. Commodities included: corn flour, corn flour-baby food, corn meal, corn meal-baby food, corn bran, corn starch, corn starch-baby food, popcorn, sweet corn, and sweet corn-baby food. However, these data should have been chronic mean per capita consumption data for the total US population derived from this same database. Mean per capita maize consumption for the United States (US) should therefore be cited in Table 8 as 23.8 g/person/day and 0.4 g/kg/day on a body weight basis. Based on a mean expression level of 0.000091 μg/g (ppm) fresh weight of DvSnf7 RNA in maize grain from MON 87411 (Urquhart et al., 2015) and the consumption values above, DvSnf7 RNA intake is calculated to be 3.8 × 10−5μg/kg/day and this value should appear in Table 8 for US intake. Based on the No Observable Adverse Effect Level (NOAEL) for DvSnf7 RNA in the mouse 28-day study data provided by Petrick et al., 2016 of 100 mg/kg, the margin of exposure (MOE) for the total US population should be listed in Table 8 as 2.6 × 109.","author":[{"dropping-particle":"","family":"Petrick","given":"J. S.","non-dropping-particle":"","parse-names":false,"suffix":""},{"dropping-particle":"","family":"Frierdich","given":"G. E.","non-dropping-particle":"","parse-names":false,"suffix":""},{"dropping-particle":"","family":"Carleton","given":"S. M.","non-dropping-particle":"","parse-names":false,"suffix":""},{"dropping-particle":"","family":"Kessenich","given":"C. R.","non-dropping-particle":"","parse-names":false,"suffix":""},{"dropping-particle":"","family":"Silvanovich","given":"A.","non-dropping-particle":"","parse-names":false,"suffix":""},{"dropping-particle":"","family":"Zhang","given":"Y.","non-dropping-particle":"","parse-names":false,"suffix":""},{"dropping-particle":"","family":"Koch","given":"M. S.","non-dropping-particle":"","parse-names":false,"suffix":""}],"container-title":"Regulatory Toxicology and Pharmacology","id":"ITEM-3","issued":{"date-parts":[["2016"]]},"page":"191","publisher":"Elsevier Ltd","title":"Corrigendum to “Corn rootworm-active RNA DvSnf7: Repeat dose oral toxicology assessment in support of human and mammalian safety” (Regulatory Toxicology and Pharmacology (2016) 81 (57–68) (S0273230016301921) (10.1016/j.yrtph.2016.07.009))","type":"article-journal","volume":"82"},"uris":["http://www.mendeley.com/documents/?uuid=a05a7f86-91e4-4715-91bd-4e51b56b600a"]}],"mendeley":{"formattedCitation":"(Baum &lt;i&gt;et al.&lt;/i&gt;, 2007; Mao &lt;i&gt;et al.&lt;/i&gt;, 2007; Petrick &lt;i&gt;et al.&lt;/i&gt;, 2016)","plainTextFormattedCitation":"(Baum et al., 2007; Mao et al., 2007; Petrick et al., 2016)","previouslyFormattedCitation":"(Baum &lt;i&gt;et al.&lt;/i&gt;, 2007; Mao &lt;i&gt;et al.&lt;/i&gt;, 2007; Petrick &lt;i&gt;et al.&lt;/i&gt;, 2016)"},"properties":{"noteIndex":0},"schema":"https://github.com/citation-style-language/schema/raw/master/csl-citation.json"}</w:instrText>
      </w:r>
      <w:r w:rsidR="005C0E76">
        <w:fldChar w:fldCharType="separate"/>
      </w:r>
      <w:r w:rsidRPr="0055481A">
        <w:rPr>
          <w:noProof/>
        </w:rPr>
        <w:t xml:space="preserve">(Baum </w:t>
      </w:r>
      <w:r w:rsidRPr="0055481A">
        <w:rPr>
          <w:i/>
          <w:noProof/>
        </w:rPr>
        <w:t>et al.</w:t>
      </w:r>
      <w:r w:rsidRPr="0055481A">
        <w:rPr>
          <w:noProof/>
        </w:rPr>
        <w:t xml:space="preserve">, 2007; Mao </w:t>
      </w:r>
      <w:r w:rsidRPr="0055481A">
        <w:rPr>
          <w:i/>
          <w:noProof/>
        </w:rPr>
        <w:t>et al.</w:t>
      </w:r>
      <w:r w:rsidRPr="0055481A">
        <w:rPr>
          <w:noProof/>
        </w:rPr>
        <w:t xml:space="preserve">, 2007; Petrick </w:t>
      </w:r>
      <w:r w:rsidRPr="0055481A">
        <w:rPr>
          <w:i/>
          <w:noProof/>
        </w:rPr>
        <w:t>et al.</w:t>
      </w:r>
      <w:r w:rsidRPr="0055481A">
        <w:rPr>
          <w:noProof/>
        </w:rPr>
        <w:t>, 2016)</w:t>
      </w:r>
      <w:r w:rsidR="005C0E76">
        <w:fldChar w:fldCharType="end"/>
      </w:r>
      <w:r>
        <w:t xml:space="preserve">. However, there are differences in RNAi efficacy between different insect orders and species due to variation in factors such as insect nuclease potency and upregulation </w:t>
      </w:r>
      <w:r w:rsidR="005C0E76">
        <w:fldChar w:fldCharType="begin" w:fldLock="1"/>
      </w:r>
      <w:r>
        <w:instrText>ADDIN CSL_CITATION {"citationItems":[{"id":"ITEM-1","itemData":{"DOI":"10.1074/jbc.RA117.001553","ISSN":"0021-9258","PMID":"29500196","abstract":"More than 70% of all agricultural pests are insects in the order Lepidoptera, which, unlike other related insect orders, are not very sensitive to RNAi, limiting genetic studies of this insect group. However, the reason for this distinct lepidopteran characteristic is unknown. Previously, using transcriptome analysis of the Asian corn borer Ostrinia furnacalis, we identified a gene, termed up56, that is up-regulated in response to dsRNA. Here we report that this Lepidoptera-specific gene encodes a nuclease that contributes to RNAi insensitivity in this insect order. Its identity was experimentally validated, and sequence analysis indicated that up56 encodes a previously uncharacterized protein with homologous sequences in seven other lepidopteran species. Its computationally predicted three-dimensional structure revealed a high structural similarity to human exonuclease I. Exposure to dsRNA in O. furnacalis strongly up-regulated this gene's expression, and the protein could digest single-stranded RNA (ssRNA), dsRNA, and dsDNA both in vitro and in vivo Of note, we found that this up-regulation of up56 expression is faster than that of the gene encoding the key RNAi-associated nuclease Dicer. up56 knockdown in O. furnacalis significantly enhanced RNAi efficiency. Moreover, up56 overexpression in Drosophila melanogaster suppressed RNAi efficiency. Finally, up56 knockdown significantly increased the amount and diversity of small RNAs. Therefore, we renamed this protein RNAi efficiency-related nuclease (REase). In conclusion, we propose that REase may explain why lepidopterans are refractory to RNAi and that it represents a target for further research of RNAi efficiency in this insect order.","author":[{"dropping-particle":"","family":"Guan","given":"Ruo-Bing","non-dropping-particle":"","parse-names":false,"suffix":""},{"dropping-particle":"","family":"Li","given":"Hai-Chao","non-dropping-particle":"","parse-names":false,"suffix":""},{"dropping-particle":"","family":"Fan","given":"Yu-Jie","non-dropping-particle":"","parse-names":false,"suffix":""},{"dropping-particle":"","family":"Hu","given":"Shao-Ru","non-dropping-particle":"","parse-names":false,"suffix":""},{"dropping-particle":"","family":"Christiaens","given":"Olivier","non-dropping-particle":"","parse-names":false,"suffix":""},{"dropping-particle":"","family":"Smagghe","given":"Guy","non-dropping-particle":"","parse-names":false,"suffix":""},{"dropping-particle":"","family":"Miao","given":"Xue-Xia","non-dropping-particle":"","parse-names":false,"suffix":""}],"container-title":"Journal of Biological Chemistry","id":"ITEM-1","issue":"16","issued":{"date-parts":[["2018","4","20"]]},"page":"6011-6021","title":"A nuclease specific to lepidopteran insects suppresses RNAi","type":"article-journal","volume":"293"},"uris":["http://www.mendeley.com/documents/?uuid=a04f10d0-590a-3291-a879-f890d7289d7b"]}],"mendeley":{"formattedCitation":"(Guan &lt;i&gt;et al.&lt;/i&gt;, 2018)","plainTextFormattedCitation":"(Guan et al., 2018)","previouslyFormattedCitation":"(Guan &lt;i&gt;et al.&lt;/i&gt;, 2018)"},"properties":{"noteIndex":0},"schema":"https://github.com/citation-style-language/schema/raw/master/csl-citation.json"}</w:instrText>
      </w:r>
      <w:r w:rsidR="005C0E76">
        <w:fldChar w:fldCharType="separate"/>
      </w:r>
      <w:r w:rsidRPr="006C410A">
        <w:rPr>
          <w:noProof/>
        </w:rPr>
        <w:t xml:space="preserve">(Guan </w:t>
      </w:r>
      <w:r w:rsidRPr="006C410A">
        <w:rPr>
          <w:i/>
          <w:noProof/>
        </w:rPr>
        <w:t>et al.</w:t>
      </w:r>
      <w:r w:rsidRPr="006C410A">
        <w:rPr>
          <w:noProof/>
        </w:rPr>
        <w:t>, 2018)</w:t>
      </w:r>
      <w:r w:rsidR="005C0E76">
        <w:fldChar w:fldCharType="end"/>
      </w:r>
      <w:r>
        <w:t xml:space="preserve">, physiological pH </w:t>
      </w:r>
      <w:r w:rsidR="005C0E76">
        <w:fldChar w:fldCharType="begin" w:fldLock="1"/>
      </w:r>
      <w:r w:rsidR="00C57A7E">
        <w:instrText>ADDIN CSL_CITATION {"citationItems":[{"id":"ITEM-1","itemData":{"DOI":"10.1080/15476286.2016.1191728","ISSN":"15558584","PMID":"27245473","abstract":"RNA interference (RNAi) has become a widely used reverse genetic tool to study gene function in eukaryotic organisms and is being developed as a technology for insect pest management. The efficiency of RNAi varies among organisms. Insects from different orders also display differential efficiency of RNAi, ranging from highly efficient (coleopterans) to very low efficient (lepidopterans). We investigated the reasons for varying RNAi efficiency between lepidopteran and coleopteran cell lines and also","author":[{"dropping-particle":"","family":"Shukla","given":"Jayendra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Biology","id":"ITEM-1","issue":"7","issued":{"date-parts":[["2016"]]},"page":"656-669","publisher":"Taylor &amp; Francis","title":"Reduced stability and intracellular transport of dsRNA contribute to poor RNAi response in lepidopteran insects","type":"article-journal","volume":"13"},"uris":["http://www.mendeley.com/documents/?uuid=41e3944d-18a5-4de6-b4a1-6a8db6feeca6"]}],"mendeley":{"formattedCitation":"(Shukla &lt;i&gt;et al.&lt;/i&gt;, 2016b)","plainTextFormattedCitation":"(Shukla et al., 2016b)","previouslyFormattedCitation":"(Shukla &lt;i&gt;et al.&lt;/i&gt;, 2016)"},"properties":{"noteIndex":0},"schema":"https://github.com/citation-style-language/schema/raw/master/csl-citation.json"}</w:instrText>
      </w:r>
      <w:r w:rsidR="005C0E76">
        <w:fldChar w:fldCharType="separate"/>
      </w:r>
      <w:r w:rsidR="00C57A7E" w:rsidRPr="00C57A7E">
        <w:rPr>
          <w:noProof/>
        </w:rPr>
        <w:t xml:space="preserve">(Shukla </w:t>
      </w:r>
      <w:r w:rsidR="00C57A7E" w:rsidRPr="00C57A7E">
        <w:rPr>
          <w:i/>
          <w:noProof/>
        </w:rPr>
        <w:t>et al.</w:t>
      </w:r>
      <w:r w:rsidR="00C57A7E" w:rsidRPr="00C57A7E">
        <w:rPr>
          <w:noProof/>
        </w:rPr>
        <w:t>, 2016b)</w:t>
      </w:r>
      <w:r w:rsidR="005C0E76">
        <w:fldChar w:fldCharType="end"/>
      </w:r>
      <w:r>
        <w:t xml:space="preserve">, and dsRNA uptake and subsequent intracellular transport </w:t>
      </w:r>
      <w:r w:rsidR="005C0E76">
        <w:fldChar w:fldCharType="begin" w:fldLock="1"/>
      </w:r>
      <w:r w:rsidR="00C57A7E">
        <w:instrText>ADDIN CSL_CITATION {"citationItems":[{"id":"ITEM-1","itemData":{"DOI":"10.1080/15476286.2016.1191728","ISSN":"15558584","PMID":"27245473","abstract":"RNA interference (RNAi) has become a widely used reverse genetic tool to study gene function in eukaryotic organisms and is being developed as a technology for insect pest management. The efficiency of RNAi varies among organisms. Insects from different orders also display differential efficiency of RNAi, ranging from highly efficient (coleopterans) to very low efficient (lepidopterans). We investigated the reasons for varying RNAi efficiency between lepidopteran and coleopteran cell lines and also","author":[{"dropping-particle":"","family":"Shukla","given":"Jayendra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Biology","id":"ITEM-1","issue":"7","issued":{"date-parts":[["2016"]]},"page":"656-669","publisher":"Taylor &amp; Francis","title":"Reduced stability and intracellular transport of dsRNA contribute to poor RNAi response in lepidopteran insects","type":"article-journal","volume":"13"},"uris":["http://www.mendeley.com/documents/?uuid=41e3944d-18a5-4de6-b4a1-6a8db6feeca6"]}],"mendeley":{"formattedCitation":"(Shukla &lt;i&gt;et al.&lt;/i&gt;, 2016b)","plainTextFormattedCitation":"(Shukla et al., 2016b)","previouslyFormattedCitation":"(Shukla &lt;i&gt;et al.&lt;/i&gt;, 2016)"},"properties":{"noteIndex":0},"schema":"https://github.com/citation-style-language/schema/raw/master/csl-citation.json"}</w:instrText>
      </w:r>
      <w:r w:rsidR="005C0E76">
        <w:fldChar w:fldCharType="separate"/>
      </w:r>
      <w:r w:rsidR="00C57A7E" w:rsidRPr="00C57A7E">
        <w:rPr>
          <w:noProof/>
        </w:rPr>
        <w:t xml:space="preserve">(Shukla </w:t>
      </w:r>
      <w:r w:rsidR="00C57A7E" w:rsidRPr="00C57A7E">
        <w:rPr>
          <w:i/>
          <w:noProof/>
        </w:rPr>
        <w:t>et al.</w:t>
      </w:r>
      <w:r w:rsidR="00C57A7E" w:rsidRPr="00C57A7E">
        <w:rPr>
          <w:noProof/>
        </w:rPr>
        <w:t>, 2016b)</w:t>
      </w:r>
      <w:r w:rsidR="005C0E76">
        <w:fldChar w:fldCharType="end"/>
      </w:r>
      <w:r>
        <w:t xml:space="preserve">. Resistance of dsRNA to degrading nucleases </w:t>
      </w:r>
      <w:r w:rsidR="005C0E76">
        <w:fldChar w:fldCharType="begin" w:fldLock="1"/>
      </w:r>
      <w:r w:rsidR="00C57A7E">
        <w:instrText>ADDIN CSL_CITATION {"citationItems":[{"id":"ITEM-1","itemData":{"DOI":"10.1016/j.ibmb.2017.01.004","ISSN":"09651748","PMID":"28093313","abstract":"The responsiveness towards orally delivered dsRNA and the potency of a subsequent environmental RNA interference (RNAi) response strongly differs between different insect species. While some species are very sensitive to dsRNA delivery through the diet, others are not. The underlying reasons for this may vary, but degradation of dsRNA by nucleases in the gut lumen is believed to play a crucial role. The Colorado potato beetle, Leptinotarsa decemlineata, is a voracious defoliator of potato crops worldwide, and is currently under investigation for novel control methods based on dsRNA treatments. Here we describe the identification and characterization of two nuclease genes exclusively expressed in the gut of this pest species. Removal of nuclease activity in adults increased the sensitivity towards dsRNA and resulted in improved protection of potato plants. A similar strategy in the desert locust, Schistocerca gregaria, for which we show a far more potent nuclease activity in the gut juice, did however not lead to an improvement of the RNAi response. Possible reasons for this are discussed. Taken together, the present data confirm a negative effect of nucleases in the gut on the environmental RNAi response, and further suggest that interfering with this activity is a strategy worth pursuing for improving RNAi efficacy in insect pest control applications.","author":[{"dropping-particle":"","family":"Spit","given":"Jornt","non-dropping-particle":"","parse-names":false,"suffix":""},{"dropping-particle":"","family":"Philips","given":"Annelies","non-dropping-particle":"","parse-names":false,"suffix":""},{"dropping-particle":"","family":"Wynant","given":"Niels","non-dropping-particle":"","parse-names":false,"suffix":""},{"dropping-particle":"","family":"Santos","given":"Dulce","non-dropping-particle":"","parse-names":false,"suffix":""},{"dropping-particle":"","family":"Plaetinck","given":"Geert","non-dropping-particle":"","parse-names":false,"suffix":""},{"dropping-particle":"","family":"Broeck","given":"Jozef","non-dropping-particle":"Vanden","parse-names":false,"suffix":""}],"container-title":"Insect Biochemistry and Molecular Biology","id":"ITEM-1","issued":{"date-parts":[["2017","2"]]},"page":"103-116","title":"Knockdown of nuclease activity in the gut enhances RNAi efficiency in the Colorado potato beetle, Leptinotarsa decemlineata , but not in the desert locust, Schistocerca gregaria","type":"article-journal","volume":"81"},"uris":["http://www.mendeley.com/documents/?uuid=b5fb000c-18a6-3dd1-9463-69446c63cccb"]},{"id":"ITEM-2","itemData":{"DOI":"10.3389/fphys.2018.00624","ISSN":"1664-042X","abstract":"dsRNA degrading nuclease is responsible for the rapid degradation of dsRNA molecules, and thus accounts for variations in RNAi efficacy among insect species. Here, the biochemical properties and tissue-specific activities of dsRNA degrading nucleases in four insects (Spodoptera litura, Locusta migratoria, Periplaneta americana, and Zophobas atratus) from different orders were characterized using a modified assay method. The results revealed that all insect dsRNA degrading nucleases tested showed high activity in alkaline environments at optimal Mg2+ concentrations and elevated temperatures. We also found that enzymes from different insects varied in terms of their optimal reaction conditions and kinetic parameters. Whole body enzyme activity differed dramatically between insect species, although enzymes with higher substrate affinities (lower Km) were usually balanced by a smaller Vmax to maintain a proper level of degradative capacity. Furthermore, enzyme activities varied significantly between the four tested tissues (whole body, gut, hemolymph, and carcass) of the insect species. All the insects tested showed several hundred-fold higher dsRNA degrading activity in their gut than in other tissues. Reaction environment analysis demonstrated that physiological conditions in the prepared gut fluid and serum of different insects were not necessarily optimal for dsRNA degrading nuclease activity. Our data describe the biochemical characteristics and tissue distributions of dsRNA degrading activities in various insects, not only explaining why oral delivery of dsRNA often produces lower RNAi effects than injection of dsRNA, but also suggesting that dsRNA-degrading activities are regulated by physiological conditions. These results allow for a better understanding of the properties of dsRNA degrading nucleases, and will aid in the development of successful RNAi strategies in insects.","author":[{"dropping-particle":"","family":"Peng","given":"Yingchuan","non-dropping-particle":"","parse-names":false,"suffix":""},{"dropping-particle":"","family":"Wang","given":"Kangxu","non-dropping-particle":"","parse-names":false,"suffix":""},{"dropping-particle":"","family":"Fu","given":"Wenxi","non-dropping-particle":"","parse-names":false,"suffix":""},{"dropping-particle":"","family":"Sheng","given":"Chengwang","non-dropping-particle":"","parse-names":false,"suffix":""},{"dropping-particle":"","family":"Han","given":"Zhaojun","non-dropping-particle":"","parse-names":false,"suffix":""}],"container-title":"Frontiers in Physiology","id":"ITEM-2","issued":{"date-parts":[["2018","5","28"]]},"page":"624","publisher":"Frontiers","title":"Biochemical Comparison of dsRNA Degrading Nucleases in Four Different Insects","type":"article-journal","volume":"9"},"uris":["http://www.mendeley.com/documents/?uuid=085a2f8f-2e23-3b89-b9fe-2eeb3f9904f2"]}],"mendeley":{"formattedCitation":"(Spit &lt;i&gt;et al.&lt;/i&gt;, 2017b; Peng &lt;i&gt;et al.&lt;/i&gt;, 2018)","plainTextFormattedCitation":"(Spit et al., 2017b; Peng et al., 2018)","previouslyFormattedCitation":"(Spit &lt;i&gt;et al.&lt;/i&gt;, 2017; Peng &lt;i&gt;et al.&lt;/i&gt;, 2018)"},"properties":{"noteIndex":0},"schema":"https://github.com/citation-style-language/schema/raw/master/csl-citation.json"}</w:instrText>
      </w:r>
      <w:r w:rsidR="005C0E76">
        <w:fldChar w:fldCharType="separate"/>
      </w:r>
      <w:r w:rsidR="00C57A7E" w:rsidRPr="00C57A7E">
        <w:rPr>
          <w:noProof/>
        </w:rPr>
        <w:t xml:space="preserve">(Spit </w:t>
      </w:r>
      <w:r w:rsidR="00C57A7E" w:rsidRPr="00C57A7E">
        <w:rPr>
          <w:i/>
          <w:noProof/>
        </w:rPr>
        <w:t>et al.</w:t>
      </w:r>
      <w:r w:rsidR="00C57A7E" w:rsidRPr="00C57A7E">
        <w:rPr>
          <w:noProof/>
        </w:rPr>
        <w:t xml:space="preserve">, 2017b; Peng </w:t>
      </w:r>
      <w:r w:rsidR="00C57A7E" w:rsidRPr="00C57A7E">
        <w:rPr>
          <w:i/>
          <w:noProof/>
        </w:rPr>
        <w:t>et al.</w:t>
      </w:r>
      <w:r w:rsidR="00C57A7E" w:rsidRPr="00C57A7E">
        <w:rPr>
          <w:noProof/>
        </w:rPr>
        <w:t>, 2018)</w:t>
      </w:r>
      <w:r w:rsidR="005C0E76">
        <w:fldChar w:fldCharType="end"/>
      </w:r>
      <w:r>
        <w:t xml:space="preserve">, and successful processing of dsRNA by the insect Dicer-2 nuclease </w:t>
      </w:r>
      <w:r w:rsidR="005C0E76">
        <w:fldChar w:fldCharType="begin" w:fldLock="1"/>
      </w:r>
      <w:r w:rsidR="00C57A7E">
        <w:instrText>ADDIN CSL_CITATION {"citationItems":[{"id":"ITEM-1","itemData":{"DOI":"10.1016/S0092-8674(04)00261-2","ISBN":"0092-8674","ISSN":"00928674","PMID":"15066283","abstract":"The RNase III enzyme Dicer processes RNA into siRNAs and miRNAs, which direct a RNA-induced silencing complex (RISC) to cleave mRNA or block its translation (RNAi). We have characterized mutations in the Drosophila dicer-1 and dicer-2 genes. Mutation in dicer-1 blocks processing of miRNA precursors, whereas dicer-2 mutants are defective for processing siRNA precursors. It has been recently found that Drosophila Dicer-1 and Dicer-2 are also components of siRNA-dependent RISC (siRISC). We find that Dicer-1 and Dicer-2 are required for siRNA-directed mRNA cleavage, though the RNase III activity of Dicer-2 is not required. Dicer-1 and Dicer-2 facilitate distinct steps in the assembly of siRISC. However, Dicer-1 but not Dicer-2 is essential for miRISC-directed translation repression. Thus, siRISCs and miRISCs are different with respect to Dicers in Drosophila.","author":[{"dropping-particle":"","family":"Lee","given":"Young Sik","non-dropping-particle":"","parse-names":false,"suffix":""},{"dropping-particle":"","family":"Nakahara","given":"Kenji","non-dropping-particle":"","parse-names":false,"suffix":""},{"dropping-particle":"","family":"Pham","given":"John W.","non-dropping-particle":"","parse-names":false,"suffix":""},{"dropping-particle":"","family":"Kim","given":"Kevin","non-dropping-particle":"","parse-names":false,"suffix":""},{"dropping-particle":"","family":"He","given":"Zhengying","non-dropping-particle":"","parse-names":false,"suffix":""},{"dropping-particle":"","family":"Sontheimer","given":"Erik J.","non-dropping-particle":"","parse-names":false,"suffix":""},{"dropping-particle":"","family":"Carthew","given":"Richard W.","non-dropping-particle":"","parse-names":false,"suffix":""}],"container-title":"Cell","id":"ITEM-1","issue":"1","issued":{"date-parts":[["2004"]]},"page":"69-81","title":"Distinct roles for Drosophila Dicer-1 and Dicer-2 in the siRNA/miRNA silencing pathways","type":"article-journal","volume":"117"},"uris":["http://www.mendeley.com/documents/?uuid=3d5d99e0-690d-4d71-b932-135e3931f190"]}],"mendeley":{"formattedCitation":"(Lee, Nakahara, John W. Pham, &lt;i&gt;et al.&lt;/i&gt;, 2004)","plainTextFormattedCitation":"(Lee, Nakahara, John W. Pham, et al., 2004)","previouslyFormattedCitation":"(Lee &lt;i&gt;et al.&lt;/i&gt;, 2004)"},"properties":{"noteIndex":0},"schema":"https://github.com/citation-style-language/schema/raw/master/csl-citation.json"}</w:instrText>
      </w:r>
      <w:r w:rsidR="005C0E76">
        <w:fldChar w:fldCharType="separate"/>
      </w:r>
      <w:r w:rsidR="00C57A7E" w:rsidRPr="00C57A7E">
        <w:rPr>
          <w:noProof/>
        </w:rPr>
        <w:t xml:space="preserve">(Lee, Nakahara, John W. Pham, </w:t>
      </w:r>
      <w:r w:rsidR="00C57A7E" w:rsidRPr="00C57A7E">
        <w:rPr>
          <w:i/>
          <w:noProof/>
        </w:rPr>
        <w:t>et al.</w:t>
      </w:r>
      <w:r w:rsidR="00C57A7E" w:rsidRPr="00C57A7E">
        <w:rPr>
          <w:noProof/>
        </w:rPr>
        <w:t>, 2004)</w:t>
      </w:r>
      <w:r w:rsidR="005C0E76">
        <w:fldChar w:fldCharType="end"/>
      </w:r>
      <w:r>
        <w:t xml:space="preserve"> are key factors that also affect the efficacy of dsRNA based biocontrols.     </w:t>
      </w:r>
    </w:p>
    <w:p w:rsidR="00F4503A" w:rsidRDefault="00F4503A" w:rsidP="00F4503A">
      <w:pPr>
        <w:spacing w:line="360" w:lineRule="auto"/>
        <w:ind w:firstLine="284"/>
      </w:pPr>
      <w:r>
        <w:t xml:space="preserve">The aim of this project was to synthesise a range of chemically modified dsRNAs and study the effects of these chemical modifications on nuclease activity and the RNAi efficacy both </w:t>
      </w:r>
      <w:r w:rsidRPr="00CE3824">
        <w:rPr>
          <w:i/>
        </w:rPr>
        <w:t>in vitro</w:t>
      </w:r>
      <w:r>
        <w:t xml:space="preserve"> and </w:t>
      </w:r>
      <w:r w:rsidRPr="00CE3824">
        <w:rPr>
          <w:i/>
        </w:rPr>
        <w:t>in vivo</w:t>
      </w:r>
      <w:r>
        <w:t xml:space="preserve"> in insects. This was with a view to using chemical modifications to improve the efficacy of dsRNA biocontrols. The results obtained during this project have demonstrated that long chemically modified dsRNAs which target insect mRNAs were successfully synthesised </w:t>
      </w:r>
      <w:r w:rsidRPr="00E559C9">
        <w:rPr>
          <w:i/>
        </w:rPr>
        <w:t>in vitro</w:t>
      </w:r>
      <w:r>
        <w:rPr>
          <w:i/>
        </w:rPr>
        <w:t xml:space="preserve"> </w:t>
      </w:r>
      <w:r>
        <w:t xml:space="preserve">and purified  (chapter 3). Furthermore, a number of the chemically modified dsRNAs resulted in altered resistance of the dsRNA to insect nucleases and altered ability to act as substrates for RNase III/Dicer enzymes compared to unmodified dsRNA (chapter 4). For the first time I have demonstrated that chemically modified dsRNAs are effective triggers for RNAi in a </w:t>
      </w:r>
      <w:r w:rsidRPr="00BB58C0">
        <w:rPr>
          <w:i/>
        </w:rPr>
        <w:t>Drosophila</w:t>
      </w:r>
      <w:r w:rsidR="000137D8">
        <w:t xml:space="preserve"> (D</w:t>
      </w:r>
      <w:r>
        <w:t>iptera) insect cell line (Kc167 cells) (chapter 5), live so</w:t>
      </w:r>
      <w:r w:rsidR="000137D8">
        <w:t>uthern green stink bug nymphs (H</w:t>
      </w:r>
      <w:r>
        <w:t>emiptera) (chapter</w:t>
      </w:r>
      <w:r w:rsidR="000137D8">
        <w:t xml:space="preserve"> </w:t>
      </w:r>
      <w:r>
        <w:t xml:space="preserve">6), and live western corn rootworm (WCR) </w:t>
      </w:r>
      <w:r w:rsidR="000137D8">
        <w:t>larvae (C</w:t>
      </w:r>
      <w:r>
        <w:t>oleoptera</w:t>
      </w:r>
      <w:r w:rsidR="000137D8">
        <w:t>)</w:t>
      </w:r>
      <w:r>
        <w:t xml:space="preserve"> (chapter 6). The results also demonstrate that in the cell based assay, several of the chemically modified dsRNAs demonstrated improved RNAi activity compared to unmodified dsRNA, including 1PS, 2PS and 1 2’F modified dsRNAs. In addition, I have demonstrated for the first time the successful application of chemically modified dsRNA in live insect assays, where chemically modified dsRNAs induced RNAi, resulting in the mortality of the insects. </w:t>
      </w:r>
    </w:p>
    <w:p w:rsidR="00F4503A" w:rsidRDefault="00F4503A" w:rsidP="00F4503A">
      <w:pPr>
        <w:spacing w:line="360" w:lineRule="auto"/>
        <w:ind w:firstLine="284"/>
      </w:pPr>
    </w:p>
    <w:p w:rsidR="00F4503A" w:rsidRDefault="00F4503A" w:rsidP="00F4503A">
      <w:pPr>
        <w:spacing w:line="360" w:lineRule="auto"/>
        <w:ind w:firstLine="284"/>
      </w:pPr>
      <w:r>
        <w:t xml:space="preserve">A range of phosphorothioate-containing dsRNAs were synthesised successfully by </w:t>
      </w:r>
      <w:r w:rsidRPr="00B134AA">
        <w:rPr>
          <w:i/>
        </w:rPr>
        <w:t>in vitro</w:t>
      </w:r>
      <w:r>
        <w:t xml:space="preserve"> transcription (IVT) using T7 RNA polymerase</w:t>
      </w:r>
      <w:r w:rsidR="000137D8">
        <w:t>,</w:t>
      </w:r>
      <w:r>
        <w:t xml:space="preserve"> in sufficient quantities to use for a range of RNAi assays in insect cells and live insects. Initial studies demonstrated that phosphorothioate dsRNA demonstrated increased resistance against stink bug salival nucleases compared to unmodified dsRNA. These results for the first time demonstrate the ability to improve the stability of dsRNA biocontrols towards insect nucleases using phosphorothioate modifications. These results are in agreement with literature demonstrating increased resistance of phosphorothioate siRNAs to degradation by mammalian nucleases </w:t>
      </w:r>
      <w:r w:rsidR="005C0E76">
        <w:fldChar w:fldCharType="begin" w:fldLock="1"/>
      </w:r>
      <w:r>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analysis","type":"article-journal","volume":"9"},"uris":["http://www.mendeley.com/documents/?uuid=b575ef29-2702-31fc-b85c-c66c1af1e55b"]}],"mendeley":{"formattedCitation":"(Chiu and Rana, 2003)","plainTextFormattedCitation":"(Chiu and Rana, 2003)","previouslyFormattedCitation":"(Chiu and Rana, 2003)"},"properties":{"noteIndex":0},"schema":"https://github.com/citation-style-language/schema/raw/master/csl-citation.json"}</w:instrText>
      </w:r>
      <w:r w:rsidR="005C0E76">
        <w:fldChar w:fldCharType="separate"/>
      </w:r>
      <w:r w:rsidRPr="0036363C">
        <w:rPr>
          <w:noProof/>
        </w:rPr>
        <w:t>(Chiu and Rana, 2003)</w:t>
      </w:r>
      <w:r w:rsidR="005C0E76">
        <w:fldChar w:fldCharType="end"/>
      </w:r>
      <w:r>
        <w:t xml:space="preserve">.  </w:t>
      </w:r>
    </w:p>
    <w:p w:rsidR="00F4503A" w:rsidRDefault="00F4503A" w:rsidP="00F4503A">
      <w:pPr>
        <w:spacing w:line="360" w:lineRule="auto"/>
        <w:ind w:firstLine="284"/>
      </w:pPr>
      <w:r>
        <w:lastRenderedPageBreak/>
        <w:t xml:space="preserve">The dsRNAs with either one (1PS) or two (2PS) of the four nucleotides replaced throughout both strands by a phosphorothioate analogue demonstrated improved mRNA knockdown compared to unmodified dsRNA in insect cells. In a live WCR larvae system, RNAi activity of 1PS dsRNA was approximately equal to that of unmodified dsRNA. However, 2PS dsRNA demonstrated a reduction in RNAi activity, resulting in almost total loss of observable RNAi-related mortality in WCR. This was despite 2PS dsRNA demonstrating increased resistance to insect nucleases. These findings were unexpected given the improved RNAi efficacy observed in </w:t>
      </w:r>
      <w:r>
        <w:rPr>
          <w:i/>
        </w:rPr>
        <w:t>Drosophil</w:t>
      </w:r>
      <w:r w:rsidRPr="009A70EA">
        <w:rPr>
          <w:i/>
        </w:rPr>
        <w:t>a</w:t>
      </w:r>
      <w:r>
        <w:t xml:space="preserve"> Kc167 cells and the increased resistance observed to insect nucleases as shown with the stink bug salival nucleases.  Slightly higher activity was retained by 2PS dsRNA in assays where larvae and the dsRNA were incubated in soil, possibly as a result of increased nuclease resistance of the dsRNA to nucleases in the soil resulting in a higher final dose of 2PS dsRNA in the cells of the insect than unmodified dsRNAs or other dsRNAs with lower phosphorothioate contents. </w:t>
      </w:r>
    </w:p>
    <w:p w:rsidR="00F4503A" w:rsidRDefault="00F4503A" w:rsidP="00F4503A">
      <w:pPr>
        <w:spacing w:line="360" w:lineRule="auto"/>
        <w:ind w:firstLine="284"/>
      </w:pPr>
      <w:r>
        <w:t xml:space="preserve">However the results obtained also showed that phosphorothioate dsRNA (2PS) also acted as a poor substrate for </w:t>
      </w:r>
      <w:r w:rsidR="002B585B">
        <w:t>a</w:t>
      </w:r>
      <w:r>
        <w:t xml:space="preserve"> model </w:t>
      </w:r>
      <w:r w:rsidRPr="007679AF">
        <w:rPr>
          <w:i/>
        </w:rPr>
        <w:t>Giardia</w:t>
      </w:r>
      <w:r>
        <w:t xml:space="preserve"> Dicer</w:t>
      </w:r>
      <w:r w:rsidR="002B585B">
        <w:t>, and may or may not also be a poor substrate for bacterial RNase III, which belongs to the same family of enzymes as Dicer</w:t>
      </w:r>
      <w:r>
        <w:t xml:space="preserve">. In contrast, the results from insect cell RNAi assays suggest that 2PS dsRNA is a good substrate for </w:t>
      </w:r>
      <w:r w:rsidRPr="007679AF">
        <w:rPr>
          <w:i/>
        </w:rPr>
        <w:t>Drosophila</w:t>
      </w:r>
      <w:r>
        <w:t xml:space="preserve"> Dicer-2, though this needs confirming experimentally.</w:t>
      </w:r>
    </w:p>
    <w:p w:rsidR="00F4503A" w:rsidRPr="0076624E" w:rsidRDefault="00F4503A" w:rsidP="00F4503A">
      <w:pPr>
        <w:spacing w:line="360" w:lineRule="auto"/>
        <w:ind w:firstLine="284"/>
      </w:pPr>
      <w:r>
        <w:t xml:space="preserve"> The reduced RNAi efficacy of 2PS dsRNA in live insects may be due to the phosphorothioate modifications affecting a variety of factors such as cellular uptake, endosomal escape, Dicer-2 processing, or RISC assembly. It is unlikely to be related to background nuclease degradation as phosphorothioate dsRNA demonstrated increased resistance to degradation by insect nucleases. </w:t>
      </w:r>
      <w:r w:rsidRPr="009A70EA">
        <w:t xml:space="preserve">The most obvious explanation in conjunction with the </w:t>
      </w:r>
      <w:r w:rsidRPr="009A70EA">
        <w:rPr>
          <w:i/>
        </w:rPr>
        <w:t>in vitro</w:t>
      </w:r>
      <w:r w:rsidRPr="009A70EA">
        <w:t xml:space="preserve"> RNase III/Dicer assays</w:t>
      </w:r>
      <w:r>
        <w:t>,</w:t>
      </w:r>
      <w:r w:rsidRPr="009A70EA">
        <w:t xml:space="preserve"> which showed that the 2PS dsRNA is not processed efficiently to </w:t>
      </w:r>
      <w:r>
        <w:t>endoribonucleas-prepared siRNAs (</w:t>
      </w:r>
      <w:r w:rsidRPr="009A70EA">
        <w:t>esiRNAs</w:t>
      </w:r>
      <w:r>
        <w:t>) by some RNase III family enzymes,</w:t>
      </w:r>
      <w:r w:rsidRPr="009A70EA">
        <w:t xml:space="preserve"> would be that </w:t>
      </w:r>
      <w:r>
        <w:t xml:space="preserve">WCR </w:t>
      </w:r>
      <w:r w:rsidRPr="009A70EA">
        <w:t xml:space="preserve">Dicer-2 is unable to process the 2PS dsRNA to siRNAs </w:t>
      </w:r>
      <w:r w:rsidRPr="009A70EA">
        <w:rPr>
          <w:i/>
        </w:rPr>
        <w:t>in vivo</w:t>
      </w:r>
      <w:r w:rsidRPr="009A70EA">
        <w:t>. However</w:t>
      </w:r>
      <w:r>
        <w:t>,</w:t>
      </w:r>
      <w:r w:rsidRPr="009A70EA">
        <w:t xml:space="preserve"> results from insect cell RNAi assays suggest that 2PS dsRNA is a good substrate for </w:t>
      </w:r>
      <w:r w:rsidRPr="009A70EA">
        <w:rPr>
          <w:i/>
        </w:rPr>
        <w:t>Drosophila</w:t>
      </w:r>
      <w:r w:rsidRPr="009A70EA">
        <w:t xml:space="preserve"> Dicer-2,</w:t>
      </w:r>
      <w:r>
        <w:t xml:space="preserve"> though</w:t>
      </w:r>
      <w:r w:rsidRPr="009A70EA">
        <w:t xml:space="preserve"> further experiments need to be performed </w:t>
      </w:r>
      <w:r>
        <w:t xml:space="preserve">to </w:t>
      </w:r>
      <w:r w:rsidRPr="009A70EA">
        <w:t>confirm</w:t>
      </w:r>
      <w:r>
        <w:t xml:space="preserve"> this. While all insect Dicer-2 enzymes have the same basic domain architecture and many key residues are conserved, structural sections of Dicer proteins vary between different insect species </w:t>
      </w:r>
      <w:r w:rsidR="005C0E76">
        <w:fldChar w:fldCharType="begin" w:fldLock="1"/>
      </w:r>
      <w:r>
        <w:instrText>ADDIN CSL_CITATION {"citationItems":[{"id":"ITEM-1","itemData":{"DOI":"10.1371/journal.pone.0203160","ISSN":"1932-6203","PMID":"30183751","abstract":"RNA interference (RNAi)-based technology shows great potential for use in agriculture, particularly for management of costly insect pests. In the decade since the insecticidal effects of environmentally-introduced RNA were first reported, this treatment has been applied to several types of insect pests. Through the course of those efforts, it has become apparent that different insects exhibit a range of sensitivity to environmentally-introduced RNAs. The variation in responses across insect is not well-understood, with differences in the underlying RNAi mechanisms being one explanation. This study evaluates eight proteins among three agricultural pests whose responses to environmental RNAi are known to differ: western corn rootworm (Diabrotica virgifera virgifera), fall armyworm (Spodoptera frugiperda), and southern green stink bug (Nezara viridula). These proteins have been identified in various organisms as centrally involved in facilitating the microRNA- and small interfering-RNA-mediated interference responses. Various bioinformatics tools, as well as gene expression profiling, were used to identify and evaluate putative homologues for characteristics that may contribute to the differing responses of these insects, such as the absence of critical functional domains within expressed sequences, the absence of entire gene sequences, or unusually low or undetectable expression of critical genes. Though many similarities were observed, the number of isoforms and expression levels of double-stranded RNA-binding and argonaute proteins varied across insect. Differences among key RNAi machinery genes of these three pests may impact the function of their RNAi pathways, and therefore, their respective responses to exogenous RNAs.","author":[{"dropping-particle":"","family":"Davis-Vogel","given":"Courtney","non-dropping-particle":"","parse-names":false,"suffix":""},{"dropping-particle":"","family":"Allen","given":"Brandon","non-dropping-particle":"Van","parse-names":false,"suffix":""},{"dropping-particle":"","family":"Hemert","given":"John L.","non-dropping-particle":"Van","parse-names":false,"suffix":""},{"dropping-particle":"","family":"Sethi","given":"Amit","non-dropping-particle":"","parse-names":false,"suffix":""},{"dropping-particle":"","family":"Nelson","given":"Mark E.","non-dropping-particle":"","parse-names":false,"suffix":""},{"dropping-particle":"","family":"Sashital","given":"Dipali G.","non-dropping-particle":"","parse-names":false,"suffix":""}],"container-title":"PLOS ONE","editor":[{"dropping-particle":"","family":"Jurat-Fuentes","given":"Juan Luis","non-dropping-particle":"","parse-names":false,"suffix":""}],"id":"ITEM-1","issue":"9","issued":{"date-parts":[["2018","9","5"]]},"page":"e0203160","title":"Identification and comparison of key RNA interference machinery from western corn rootworm, fall armyworm, and southern green stink bug","type":"article-journal","volume":"13"},"uris":["http://www.mendeley.com/documents/?uuid=0380d0a0-2876-3035-99a3-5e0e13f24f94"]},{"id":"ITEM-2","itemData":{"DOI":"10.1038/s41598-017-17134-2","ISSN":"2045-2322","abstract":"RNA interference (RNAi) based methods are being developed for pest management. A few products for control of coleopteran pests are expected to be commercialized soon. However, variability in RNAi efficiency among insects is preventing the widespread use of this technology. In this study, we conducted research to identify reasons for variability in RNAi efficiency among thirty-seven (37) insects belonging to five orders. Studies on double-stranded RNA (dsRNA) degradation by dsRNases and processing of labeled dsRNA to siRNA showed that both dsRNA degradation and processing are variable among insects belonging to different orders as well as among different insect species within the same order. We identified homologs of key RNAi genes in the genomes of some of these insects and studied their domain architecture. These data suggest that dsRNA digestion by dsRNases and its processing to siRNAs in the cells are among the major factors contributing to differential RNAi efficiency reported among insects.","author":[{"dropping-particle":"","family":"Singh","given":"Indrakant K.","non-dropping-particle":"","parse-names":false,"suffix":""},{"dropping-particle":"","family":"Singh","given":"Satnam","non-dropping-particle":"","parse-names":false,"suffix":""},{"dropping-particle":"","family":"Mogilicherla","given":"Kanakachari","non-dropping-particle":"","parse-names":false,"suffix":""},{"dropping-particle":"","family":"Shukla","given":"Jayendra Nath","non-dropping-particle":"","parse-names":false,"suffix":""},{"dropping-particle":"","family":"Palli","given":"Subba Reddy","non-dropping-particle":"","parse-names":false,"suffix":""}],"container-title":"Scientific Reports","id":"ITEM-2","issue":"1","issued":{"date-parts":[["2017","12","6"]]},"page":"17059","publisher":"Nature Publishing Group","title":"Comparative analysis of double-stranded RNA degradation and processing in insects","type":"article-journal","volume":"7"},"uris":["http://www.mendeley.com/documents/?uuid=0afa0a78-2f2e-3209-bf0d-0c0dabcd9e3a"]}],"mendeley":{"formattedCitation":"(Singh &lt;i&gt;et al.&lt;/i&gt;, 2017; Davis-Vogel &lt;i&gt;et al.&lt;/i&gt;, 2018)","plainTextFormattedCitation":"(Singh et al., 2017; Davis-Vogel et al., 2018)","previouslyFormattedCitation":"(Singh &lt;i&gt;et al.&lt;/i&gt;, 2017; Davis-Vogel &lt;i&gt;et al.&lt;/i&gt;, 2018)"},"properties":{"noteIndex":0},"schema":"https://github.com/citation-style-language/schema/raw/master/csl-citation.json"}</w:instrText>
      </w:r>
      <w:r w:rsidR="005C0E76">
        <w:fldChar w:fldCharType="separate"/>
      </w:r>
      <w:r w:rsidRPr="009A70EA">
        <w:rPr>
          <w:noProof/>
        </w:rPr>
        <w:t xml:space="preserve">(Singh </w:t>
      </w:r>
      <w:r w:rsidRPr="009A70EA">
        <w:rPr>
          <w:i/>
          <w:noProof/>
        </w:rPr>
        <w:t>et al.</w:t>
      </w:r>
      <w:r w:rsidRPr="009A70EA">
        <w:rPr>
          <w:noProof/>
        </w:rPr>
        <w:t xml:space="preserve">, 2017; Davis-Vogel </w:t>
      </w:r>
      <w:r w:rsidRPr="009A70EA">
        <w:rPr>
          <w:i/>
          <w:noProof/>
        </w:rPr>
        <w:t>et al.</w:t>
      </w:r>
      <w:r w:rsidRPr="009A70EA">
        <w:rPr>
          <w:noProof/>
        </w:rPr>
        <w:t>, 2018)</w:t>
      </w:r>
      <w:r w:rsidR="005C0E76">
        <w:fldChar w:fldCharType="end"/>
      </w:r>
      <w:r>
        <w:t>. WCR (</w:t>
      </w:r>
      <w:r w:rsidRPr="0076624E">
        <w:rPr>
          <w:i/>
        </w:rPr>
        <w:t>Diabrotica virgifera virgifera</w:t>
      </w:r>
      <w:r>
        <w:t>) Dicer-2 is shorter than</w:t>
      </w:r>
      <w:r w:rsidRPr="0076624E">
        <w:rPr>
          <w:i/>
        </w:rPr>
        <w:t xml:space="preserve"> Drosophila melanogaster</w:t>
      </w:r>
      <w:r>
        <w:t xml:space="preserve"> Dicer-2, and in particular has shorter RNase III domains and a shorter dsRNA binding domain (dsRBD) </w:t>
      </w:r>
      <w:r w:rsidR="005C0E76">
        <w:fldChar w:fldCharType="begin" w:fldLock="1"/>
      </w:r>
      <w:r>
        <w:instrText>ADDIN CSL_CITATION {"citationItems":[{"id":"ITEM-1","itemData":{"DOI":"10.1371/journal.pone.0203160","ISSN":"1932-6203","PMID":"30183751","abstract":"RNA interference (RNAi)-based technology shows great potential for use in agriculture, particularly for management of costly insect pests. In the decade since the insecticidal effects of environmentally-introduced RNA were first reported, this treatment has been applied to several types of insect pests. Through the course of those efforts, it has become apparent that different insects exhibit a range of sensitivity to environmentally-introduced RNAs. The variation in responses across insect is not well-understood, with differences in the underlying RNAi mechanisms being one explanation. This study evaluates eight proteins among three agricultural pests whose responses to environmental RNAi are known to differ: western corn rootworm (Diabrotica virgifera virgifera), fall armyworm (Spodoptera frugiperda), and southern green stink bug (Nezara viridula). These proteins have been identified in various organisms as centrally involved in facilitating the microRNA- and small interfering-RNA-mediated interference responses. Various bioinformatics tools, as well as gene expression profiling, were used to identify and evaluate putative homologues for characteristics that may contribute to the differing responses of these insects, such as the absence of critical functional domains within expressed sequences, the absence of entire gene sequences, or unusually low or undetectable expression of critical genes. Though many similarities were observed, the number of isoforms and expression levels of double-stranded RNA-binding and argonaute proteins varied across insect. Differences among key RNAi machinery genes of these three pests may impact the function of their RNAi pathways, and therefore, their respective responses to exogenous RNAs.","author":[{"dropping-particle":"","family":"Davis-Vogel","given":"Courtney","non-dropping-particle":"","parse-names":false,"suffix":""},{"dropping-particle":"","family":"Allen","given":"Brandon","non-dropping-particle":"Van","parse-names":false,"suffix":""},{"dropping-particle":"","family":"Hemert","given":"John L.","non-dropping-particle":"Van","parse-names":false,"suffix":""},{"dropping-particle":"","family":"Sethi","given":"Amit","non-dropping-particle":"","parse-names":false,"suffix":""},{"dropping-particle":"","family":"Nelson","given":"Mark E.","non-dropping-particle":"","parse-names":false,"suffix":""},{"dropping-particle":"","family":"Sashital","given":"Dipali G.","non-dropping-particle":"","parse-names":false,"suffix":""}],"container-title":"PLOS ONE","editor":[{"dropping-particle":"","family":"Jurat-Fuentes","given":"Juan Luis","non-dropping-particle":"","parse-names":false,"suffix":""}],"id":"ITEM-1","issue":"9","issued":{"date-parts":[["2018","9","5"]]},"page":"e0203160","title":"Identification and comparison of key RNA interference machinery from western corn rootworm, fall armyworm, and southern green stink bug","type":"article-journal","volume":"13"},"uris":["http://www.mendeley.com/documents/?uuid=0380d0a0-2876-3035-99a3-5e0e13f24f94"]}],"mendeley":{"formattedCitation":"(Davis-Vogel &lt;i&gt;et al.&lt;/i&gt;, 2018)","plainTextFormattedCitation":"(Davis-Vogel et al., 2018)","previouslyFormattedCitation":"(Davis-Vogel &lt;i&gt;et al.&lt;/i&gt;, 2018)"},"properties":{"noteIndex":0},"schema":"https://github.com/citation-style-language/schema/raw/master/csl-citation.json"}</w:instrText>
      </w:r>
      <w:r w:rsidR="005C0E76">
        <w:fldChar w:fldCharType="separate"/>
      </w:r>
      <w:r w:rsidRPr="0076624E">
        <w:rPr>
          <w:noProof/>
        </w:rPr>
        <w:t xml:space="preserve">(Davis-Vogel </w:t>
      </w:r>
      <w:r w:rsidRPr="0076624E">
        <w:rPr>
          <w:i/>
          <w:noProof/>
        </w:rPr>
        <w:t>et al.</w:t>
      </w:r>
      <w:r w:rsidRPr="0076624E">
        <w:rPr>
          <w:noProof/>
        </w:rPr>
        <w:t>, 2018)</w:t>
      </w:r>
      <w:r w:rsidR="005C0E76">
        <w:fldChar w:fldCharType="end"/>
      </w:r>
      <w:r>
        <w:t xml:space="preserve">. These differences could result </w:t>
      </w:r>
      <w:r w:rsidR="007F1EED">
        <w:t xml:space="preserve">in </w:t>
      </w:r>
      <w:r>
        <w:t xml:space="preserve">WCR Dicer-2 being incapable of processing chemically modified dsRNA substrates which </w:t>
      </w:r>
      <w:r w:rsidRPr="0076624E">
        <w:rPr>
          <w:i/>
        </w:rPr>
        <w:t>Drosophila</w:t>
      </w:r>
      <w:r>
        <w:t xml:space="preserve"> Dicer-2 is capable of processing.</w:t>
      </w:r>
    </w:p>
    <w:p w:rsidR="00F4503A" w:rsidRDefault="00F4503A" w:rsidP="00F4503A">
      <w:pPr>
        <w:spacing w:line="360" w:lineRule="auto"/>
        <w:ind w:firstLine="284"/>
      </w:pPr>
      <w:r w:rsidRPr="0076624E">
        <w:lastRenderedPageBreak/>
        <w:t>Further experiments using phosphorothioate modifications present in only the guide</w:t>
      </w:r>
      <w:r>
        <w:t xml:space="preserve"> strand</w:t>
      </w:r>
      <w:r w:rsidRPr="0076624E">
        <w:t xml:space="preserve"> or passenger strand have provided further mechanistic insight</w:t>
      </w:r>
      <w:r>
        <w:t xml:space="preserve"> into how insect RNAi machinery processes chemically modified dsRNAs. Phosphorothioate modifications in the guide strand alone (either 1PS-Un or 2PS-Un) also reduced RNAi efficacy in live insects compared to the equivalent level of chemical modification in the passenger strand alone (Un-1PS or Un-2PS). The reduction in RNAi efficacy for 2PS-Un dsRNA, for example, but not Un-2PS dsRNA in WCR suggests an issue related to RISC assembly, discarding of the passenger strand, and subsequent use of the guide strand to bind the mRNA target. This is in agreement with previous literature where mammalian RNAi machinery has demonstrated preferences for chemical modifications in one strand of an siRNA compared to the other, with siRNAs containing chemical modifications in the passenger strand usually demonstrating greater RNAi efficacy than those with chemical modifications in the guide strand </w:t>
      </w:r>
      <w:r w:rsidR="005C0E76">
        <w:fldChar w:fldCharType="begin" w:fldLock="1"/>
      </w:r>
      <w:r w:rsidR="00C57A7E">
        <w:instrText>ADDIN CSL_CITATION {"citationItems":[{"id":"ITEM-1","itemData":{"DOI":"10.1038/mtna.2013.36","ISSN":"2162-2531","PMID":"23820891","abstract":"Optimization of small interfering RNAs (siRNAs) is important in RNA interference (RNAi)-based therapeutic development. Some specific chemical modifications can control which siRNA strand is selected by the RNA-induced silencing complex (RISC) for gene silencing. Intended strand selection will increase potency and reduce off-target effects from the unintended strand. Sometimes, blocking RISC loading of the unintended strand leads to improved intended strand-silencing potency, but the generality of this phenomenon is unclear. Specifically, unlocked nucleic acid (UNA) modification of the 5' end of canonical (i.e., 19+2) siRNAs abrogates gene silencing of the modified strand, but the fate and potency of the unmodified strand has not been investigated. Here, we show that 5' UNA-modified siRNAs show improved silencing potency of the unmodified strand. We harness this advantageous property in a therapeutic context, where a limited target region in a conserved HIV 5' long terminal repeat U5 region would otherwise yield siRNAs with undesired strand selection properties and poor silencing. Applying 5' UNA modification to the unintended sense (S) strand of these otherwise poorly targeted siRNAs dramatically improves on-target silencing by the intended antisense (AS) strand in pNL4-3.luciferase studies. This study highlights the utility of 5' UNA siRNA modification in therapeutic contexts where siRNA sequence selection is constrained.Molecular Therapy-Nucleic Acids (2013) 2, e103; doi:10.1038/mtna.2013.36; published online 2 July 2013.","author":[{"dropping-particle":"","family":"Snead","given":"Nicholas M","non-dropping-particle":"","parse-names":false,"suffix":""},{"dropping-particle":"","family":"Escamilla-Powers","given":"Julie R","non-dropping-particle":"","parse-names":false,"suffix":""},{"dropping-particle":"","family":"Rossi","given":"John J","non-dropping-particle":"","parse-names":false,"suffix":""},{"dropping-particle":"","family":"McCaffrey","given":"Anton P","non-dropping-particle":"","parse-names":false,"suffix":""}],"container-title":"Molecular therapy. Nucleic acids","id":"ITEM-1","issue":"7","issued":{"date-parts":[["2013","7","2"]]},"page":"e103","publisher":"American Society of Gene &amp; Cell Therapy","title":"5' Unlocked Nucleic Acid Modification Improves siRNA Targeting.","type":"article-journal","volume":"2"},"uris":["http://www.mendeley.com/documents/?uuid=9ca78a0b-c47e-3522-a807-322965cbf323"]},{"id":"ITEM-2","itemData":{"DOI":"10.1261/rna.2150806","ISSN":"1355-8382","PMID":"16301602","abstract":"RNA interference (RNAi) is a process by which short interfering RNAs (siRNAs) direct the degradation of complementary single-strand RNAs. In this study, we investigated the effects of full-strand phosphorothioate (PS) backbone and 2'-O-methyl (2'-OMe) sugar modifications on RNAi-mediated silencing. In contrast to previous reports, we have identified active siRNA duplexes containing full 2'-OMe-modified sense strands that display comparable activity to the unmodified analog of similar sequence. The structure of these modified siRNAs is the predominant determinant of their activity, with sequence and backbone composition being secondary. We further show, by using biotin-tagged siRNAs and affinity-tagged hAgo2/eIF2C2, that activity of siRNA duplexes containing full 2'-OMe substitutions in the sense strand is mediated by the RNA-induced silencing complex (RISC) and that strand-specific loading (or binding) to hAgo2 may be modulated through selective incorporation of these modifications.","author":[{"dropping-particle":"","family":"Kraynack","given":"Bryan A","non-dropping-particle":"","parse-names":false,"suffix":""},{"dropping-particle":"","family":"Baker","given":"Brenda F","non-dropping-particle":"","parse-names":false,"suffix":""}],"container-title":"RNA (New York, N.Y.)","id":"ITEM-2","issue":"1","issued":{"date-parts":[["2006","1","1"]]},"page":"163-76","publisher":"Cold Spring Harbor Laboratory Press","title":"Small interfering RNAs containing full 2'-O-methylribonucleotide-modified sense strands display Argonaute2/eIF2C2-dependent activity.","type":"article-journal","volume":"12"},"uris":["http://www.mendeley.com/documents/?uuid=b5852482-24b0-3e94-81e0-f1425836370c"]}],"mendeley":{"formattedCitation":"(Kraynack and Baker, 2006; Nicholas M Snead &lt;i&gt;et al.&lt;/i&gt;, 2013)","plainTextFormattedCitation":"(Kraynack and Baker, 2006; Nicholas M Snead et al., 2013)","previouslyFormattedCitation":"(Kraynack and Baker, 2006; Snead &lt;i&gt;et al.&lt;/i&gt;, 2013)"},"properties":{"noteIndex":0},"schema":"https://github.com/citation-style-language/schema/raw/master/csl-citation.json"}</w:instrText>
      </w:r>
      <w:r w:rsidR="005C0E76">
        <w:fldChar w:fldCharType="separate"/>
      </w:r>
      <w:r w:rsidR="00C57A7E" w:rsidRPr="00C57A7E">
        <w:rPr>
          <w:noProof/>
        </w:rPr>
        <w:t xml:space="preserve">(Kraynack and Baker, 2006; Nicholas M Snead </w:t>
      </w:r>
      <w:r w:rsidR="00C57A7E" w:rsidRPr="00C57A7E">
        <w:rPr>
          <w:i/>
          <w:noProof/>
        </w:rPr>
        <w:t>et al.</w:t>
      </w:r>
      <w:r w:rsidR="00C57A7E" w:rsidRPr="00C57A7E">
        <w:rPr>
          <w:noProof/>
        </w:rPr>
        <w:t>, 2013)</w:t>
      </w:r>
      <w:r w:rsidR="005C0E76">
        <w:fldChar w:fldCharType="end"/>
      </w:r>
      <w:r>
        <w:t>. An issue with Dicer-2 processing of phosphorothioate dsRNA may also contribute to reduced RNAi efficacy, which may explain why – for example – 2PS dsRNA (2PS-2PS) is less efficacious then 2PS-Un dsRNA.</w:t>
      </w:r>
    </w:p>
    <w:p w:rsidR="00F4503A" w:rsidRPr="00F34015" w:rsidRDefault="00F4503A" w:rsidP="00F4503A">
      <w:pPr>
        <w:spacing w:line="360" w:lineRule="auto"/>
        <w:ind w:firstLine="284"/>
      </w:pPr>
      <w:r>
        <w:t>There is clearly a difference in how phosphorothioate dsRNA modification</w:t>
      </w:r>
      <w:r w:rsidR="000137D8">
        <w:t>s affect Dicer-2 processing and/</w:t>
      </w:r>
      <w:r>
        <w:t xml:space="preserve">or RISC assembly between insect orders as efficient RNAi is achieved using 2PS-2PS (2PS) dsRNA in </w:t>
      </w:r>
      <w:r w:rsidRPr="00F57C96">
        <w:rPr>
          <w:i/>
        </w:rPr>
        <w:t>Drosophila</w:t>
      </w:r>
      <w:r>
        <w:t xml:space="preserve"> cells. dsRNA uptake may also be affected in different ways by chemically modified dsRNA between insect orders, or between a cell-based system and a live insect system. Further work is required to establish the reason for the difference in RNAi efficacy of phosphorothioate dsRNA between </w:t>
      </w:r>
      <w:r w:rsidRPr="00F34015">
        <w:rPr>
          <w:i/>
        </w:rPr>
        <w:t>Drosophila</w:t>
      </w:r>
      <w:r>
        <w:t xml:space="preserve"> cells and WCR larvae. However, the results obtained here suggest examining Dicer-2 processing and RISC assembly of the two species with chemically modified dsRNA </w:t>
      </w:r>
      <w:r w:rsidRPr="00F34015">
        <w:rPr>
          <w:i/>
        </w:rPr>
        <w:t>in vitro</w:t>
      </w:r>
      <w:r>
        <w:t>, along with other additional assays may elucidate the mechanistic reason for the differences observed.</w:t>
      </w:r>
    </w:p>
    <w:p w:rsidR="00F4503A" w:rsidRDefault="00F4503A" w:rsidP="00F4503A">
      <w:pPr>
        <w:spacing w:line="360" w:lineRule="auto"/>
        <w:ind w:firstLine="284"/>
      </w:pPr>
    </w:p>
    <w:p w:rsidR="00F4503A" w:rsidRDefault="00F4503A" w:rsidP="00F4503A">
      <w:pPr>
        <w:spacing w:line="360" w:lineRule="auto"/>
        <w:ind w:firstLine="284"/>
      </w:pPr>
      <w:r>
        <w:t xml:space="preserve">Significant optimisation of the IVT reactions was performed to successfully synthesise a range of 2’-fluoro modified dsRNAs. This process required the use of a mutant T7 polymerase, and the separate production of the constituent ssRNAs followed by annealing to form dsRNA. In this study successful RNAi using 2’-fluoro modified dsRNA was demonstrated in an insect system for the first time. dsRNA with one (1 2’F) of the four nucleotides replaced throughout both strands by a 2’-fluoro analogue demonstrated improved mRNA knockdown compared to unmodified dsRNA in </w:t>
      </w:r>
      <w:r w:rsidRPr="00F34015">
        <w:rPr>
          <w:i/>
        </w:rPr>
        <w:t>Drosophila</w:t>
      </w:r>
      <w:r>
        <w:t xml:space="preserve"> cells. dsRNA with two (2 2’F) of the four nucleotides replaced throughout both strands by a 2’-fluoro analogue also successfully induced RNAi in </w:t>
      </w:r>
      <w:r w:rsidRPr="00F34015">
        <w:rPr>
          <w:i/>
        </w:rPr>
        <w:t>Drosophila</w:t>
      </w:r>
      <w:r>
        <w:t xml:space="preserve"> cells, though demonstrated no significant improvement in RNAi efficacy compared to unmodified dsRNA. </w:t>
      </w:r>
    </w:p>
    <w:p w:rsidR="00F4503A" w:rsidRDefault="00F4503A" w:rsidP="00F4503A">
      <w:pPr>
        <w:spacing w:line="360" w:lineRule="auto"/>
        <w:ind w:firstLine="284"/>
      </w:pPr>
      <w:r>
        <w:lastRenderedPageBreak/>
        <w:t xml:space="preserve">In contrast however, 2 2’F dsRNA demonstrated poor RNAi efficacy in WCR larvae. 2’-Fluoro dsRNA (both 2 2’F-2 2’F and Un-2 2’F) also demonstrated reduced resistance to degradation by insect nucleases compared to unmodified dsRNA. This was unexpected given the improved nuclease resistance observed for 2’-fluoro dsRNA against mammalian nucleases </w:t>
      </w:r>
      <w:r w:rsidR="005C0E76">
        <w:fldChar w:fldCharType="begin" w:fldLock="1"/>
      </w:r>
      <w:r>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analysis","type":"article-journal","volume":"9"},"uris":["http://www.mendeley.com/documents/?uuid=b575ef29-2702-31fc-b85c-c66c1af1e55b"]}],"mendeley":{"formattedCitation":"(Chiu and Rana, 2003)","plainTextFormattedCitation":"(Chiu and Rana, 2003)","previouslyFormattedCitation":"(Chiu and Rana, 2003)"},"properties":{"noteIndex":0},"schema":"https://github.com/citation-style-language/schema/raw/master/csl-citation.json"}</w:instrText>
      </w:r>
      <w:r w:rsidR="005C0E76">
        <w:fldChar w:fldCharType="separate"/>
      </w:r>
      <w:r w:rsidRPr="00A13A8C">
        <w:rPr>
          <w:noProof/>
        </w:rPr>
        <w:t>(Chiu and Rana, 2003)</w:t>
      </w:r>
      <w:r w:rsidR="005C0E76">
        <w:fldChar w:fldCharType="end"/>
      </w:r>
      <w:r>
        <w:t>. This suggested reduced nuclease activity may have contributed to loss of RNAi activity</w:t>
      </w:r>
      <w:r w:rsidR="007F1EED">
        <w:t>. However, previous results were obtained from the use of stink bug nucleases, not WCR nucleases, therefore variation in nuclease structure and activity between species might result in differences in resistance of the same chemically modified dsRNA to nucleases from different species.</w:t>
      </w:r>
      <w:r>
        <w:t xml:space="preserve"> However, further experiments with dsRNA containing 2’-fluoro modifications in only the passenger strand or the guide strand (Un-2 2’F and 2 2’F-Un) again offered further mechanistic insight, discounting this explanation.</w:t>
      </w:r>
    </w:p>
    <w:p w:rsidR="00F4503A" w:rsidRDefault="00F4503A" w:rsidP="00F4503A">
      <w:pPr>
        <w:spacing w:line="360" w:lineRule="auto"/>
        <w:ind w:firstLine="284"/>
      </w:pPr>
      <w:r>
        <w:t>Un-2 2’F and 2 2’F-Un dsRNAs both successfully induced RNAi in WCR larvae, with no significant difference in RNAi efficacy compared to unmodified dsRNA</w:t>
      </w:r>
      <w:r w:rsidRPr="002F0134">
        <w:t xml:space="preserve"> </w:t>
      </w:r>
      <w:r>
        <w:t xml:space="preserve">regardless of which strand the chemical modifications were in. This demonstrated that some 2’-fluoro-containing dsRNAs are capable of inducing RNAi in WCR, in agreement with literature for mammalian and </w:t>
      </w:r>
      <w:r w:rsidRPr="002F0134">
        <w:rPr>
          <w:i/>
        </w:rPr>
        <w:t>C. elegans</w:t>
      </w:r>
      <w:r>
        <w:t xml:space="preserve"> systems </w:t>
      </w:r>
      <w:r w:rsidR="005C0E76">
        <w:fldChar w:fldCharType="begin" w:fldLock="1"/>
      </w:r>
      <w:r>
        <w:instrText>ADDIN CSL_CITATION {"citationItems":[{"id":"ITEM-1","itemData":{"DOI":"10.1261/rna.5103703","ISSN":"1355-8382","PMID":"12923253","abstract":"Various chemical modifications were created in short-interfering RNAs (siRNAs) to determine the biochemical properties required for RNA interference (RNAi). Remarkably, modifications at the 2'-position of pentose sugars in siRNAs showed the 2'-OHs were not required for RNAi, indicating that RNAi machinery does not require the 2'-OH for recognition of siRNAs and catalytic ribonuclease activity of RNA-induced silencing complexes (RISCs) does not involve the 2'-OH of guide antisense RNA. In addition, 2' modifications predicted to stabilize siRNA increased the persistence of RNAi as compared with wild-type siRNAs. RNAi was also induced with chemical modifications that stabilized interactions between A-U base pairs, demonstrating that these types of modifications may enhance mRNA targeting efficiency in allele-specific RNAi. Modifications altering the structure of the A-form major groove of antisense siRNA-mRNA duplexes abolished RNAi, suggesting that the major groove of these duplexes was required for recognition by activated RISC*. Comparative analysis of the stability and RNAi activities of chemically modified single-stranded antisense RNA and duplex siRNA suggested that some catalytic mechanism(s) other than siRNA stability were linked to RNAi efficiency. Modified or mismatched ribonucleotides incorporated at internal positions in the 5' or 3' half of the siRNA duplex, as defined by the antisense strand, indicated that the integrity of the 5' and not the 3' half of the siRNA structure was important for RNAi, highlighting the asymmetric nature of siRNA recognition for initiation of unwinding. Collectively, this study defines the mechanisms of RNAi in human cells and provides new rules for designing effective and stable siRNAs for RNAi-mediated gene-silencing applications.","author":[{"dropping-particle":"","family":"Chiu","given":"Y.-L.","non-dropping-particle":"","parse-names":false,"suffix":""},{"dropping-particle":"","family":"Rana","given":"Tariq M","non-dropping-particle":"","parse-names":false,"suffix":""}],"container-title":"RNA","id":"ITEM-1","issue":"9","issued":{"date-parts":[["2003","9","1"]]},"page":"1034-1048","title":"siRNA function in RNAi: A chemical modification analysis","type":"article-journal","volume":"9"},"uris":["http://www.mendeley.com/documents/?uuid=b575ef29-2702-31fc-b85c-c66c1af1e55b"]},{"id":"ITEM-2","itemData":{"ISSN":"1097-2765","PMID":"11106747","abstract":"In RNA-mediated interference (RNAi), externally provided mixtures of sense and antisense RNA trigger concerted degradation of homologous cellular RNAs. We show that RNAi requires duplex formation between the two trigger strands, that the duplex must include a region of identity between trigger and target RNAs, and that duplexes as short as 26 bp can trigger RNAi. Consistent with in vitro observations, a fraction of input dsRNA is converted in vivo to short segments of approximately 25 nt. Interference assays with modified dsRNAs indicate precise chemical requirements for both bases and backbone of the RNA trigger. Strikingly, certain modifications are well tolerated on the sense, but not the antisense, strand, indicating that the two trigger strands have distinct roles in the interference process.","author":[{"dropping-particle":"","family":"Parrish","given":"S","non-dropping-particle":"","parse-names":false,"suffix":""},{"dropping-particle":"","family":"Fleenor","given":"J","non-dropping-particle":"","parse-names":false,"suffix":""},{"dropping-particle":"","family":"Xu","given":"S","non-dropping-particle":"","parse-names":false,"suffix":""},{"dropping-particle":"","family":"Mello","given":"C","non-dropping-particle":"","parse-names":false,"suffix":""},{"dropping-particle":"","family":"Fire","given":"A","non-dropping-particle":"","parse-names":false,"suffix":""}],"container-title":"Molecular cell","id":"ITEM-2","issue":"5","issued":{"date-parts":[["2000","11"]]},"page":"1077-87","title":"Functional anatomy of a dsRNA trigger: differential requirement for the two trigger strands in RNA interference.","type":"article-journal","volume":"6"},"uris":["http://www.mendeley.com/documents/?uuid=42e8fc97-72a8-376f-85fe-7340e9548145"]}],"mendeley":{"formattedCitation":"(Parrish &lt;i&gt;et al.&lt;/i&gt;, 2000; Chiu and Rana, 2003)","plainTextFormattedCitation":"(Parrish et al., 2000; Chiu and Rana, 2003)","previouslyFormattedCitation":"(Parrish &lt;i&gt;et al.&lt;/i&gt;, 2000; Chiu and Rana, 2003)"},"properties":{"noteIndex":0},"schema":"https://github.com/citation-style-language/schema/raw/master/csl-citation.json"}</w:instrText>
      </w:r>
      <w:r w:rsidR="005C0E76">
        <w:fldChar w:fldCharType="separate"/>
      </w:r>
      <w:r w:rsidRPr="002F0134">
        <w:rPr>
          <w:noProof/>
        </w:rPr>
        <w:t xml:space="preserve">(Parrish </w:t>
      </w:r>
      <w:r w:rsidRPr="002F0134">
        <w:rPr>
          <w:i/>
          <w:noProof/>
        </w:rPr>
        <w:t>et al.</w:t>
      </w:r>
      <w:r w:rsidRPr="002F0134">
        <w:rPr>
          <w:noProof/>
        </w:rPr>
        <w:t>, 2000; Chiu and Rana, 2003)</w:t>
      </w:r>
      <w:r w:rsidR="005C0E76">
        <w:fldChar w:fldCharType="end"/>
      </w:r>
      <w:r>
        <w:t xml:space="preserve">. </w:t>
      </w:r>
    </w:p>
    <w:p w:rsidR="00F4503A" w:rsidRDefault="00F4503A" w:rsidP="00F4503A">
      <w:pPr>
        <w:spacing w:line="360" w:lineRule="auto"/>
        <w:ind w:firstLine="284"/>
      </w:pPr>
      <w:r>
        <w:t xml:space="preserve">The great difference in RNAi efficacy in WCR between dsRNA with 2’fluoro in only one strand, and dsRNA with 2’-fluoro modifications in both strands, may also be due to differences in Dicer-2 processing or RISC assembly. Additional </w:t>
      </w:r>
      <w:r w:rsidRPr="002F0134">
        <w:rPr>
          <w:i/>
        </w:rPr>
        <w:t>in vitro</w:t>
      </w:r>
      <w:r>
        <w:t xml:space="preserve"> assays examining the processing of 2 2’F dsRNA by bacterial RNase III and </w:t>
      </w:r>
      <w:r w:rsidRPr="00740D5A">
        <w:rPr>
          <w:i/>
        </w:rPr>
        <w:t>Giardia</w:t>
      </w:r>
      <w:r>
        <w:t xml:space="preserve"> Dicer demonstrated 2 2’F dsRNA was successfully processed to siRNAs by RNase III, but not by </w:t>
      </w:r>
      <w:r w:rsidRPr="00D97F3E">
        <w:rPr>
          <w:i/>
        </w:rPr>
        <w:t>Giardia</w:t>
      </w:r>
      <w:r>
        <w:t xml:space="preserve"> Dicer, which both cut dsRNA via the same mechanism, but bind via different mechanisms. RNase III binds dsRNA with a dsRBD. </w:t>
      </w:r>
      <w:r w:rsidRPr="001B4EE0">
        <w:rPr>
          <w:i/>
        </w:rPr>
        <w:t>Giardia</w:t>
      </w:r>
      <w:r>
        <w:t xml:space="preserve"> Dicer binds via a PAZ domain, which binds the single-stranded 3’ overhang of dsRNA. This would tend to suggest that 2’-fluoro modifications may interfere with binding of dsRNA to PAZ domains present in both Dicer and Argonaute proteins in the RNAi pathway in insects. However, if Dicer-2 cannot bind a dsRNA terminus with its PAZ domain and is forced to bind internally using the dsRBD, processing of the dsRNA to siRNAs is greatly reduced </w:t>
      </w:r>
      <w:r w:rsidR="005C0E76">
        <w:fldChar w:fldCharType="begin" w:fldLock="1"/>
      </w:r>
      <w:r>
        <w:instrText>ADDIN CSL_CITATION {"citationItems":[{"id":"ITEM-1","itemData":{"DOI":"10.1016/j.febslet.2005.08.079","ISSN":"00145793","author":[{"dropping-particle":"","family":"Hammond","given":"Scott M.","non-dropping-particle":"","parse-names":false,"suffix":""}],"container-title":"FEBS Letters","id":"ITEM-1","issue":"26","issued":{"date-parts":[["2005","10","31"]]},"page":"5822-5829","publisher":"John Wiley &amp; Sons, Ltd","title":"Dicing and slicing","type":"article-journal","volume":"579"},"uris":["http://www.mendeley.com/documents/?uuid=0b882f76-dc49-3636-a88c-daef61c15988"]}],"mendeley":{"formattedCitation":"(Hammond, 2005)","plainTextFormattedCitation":"(Hammond, 2005)","previouslyFormattedCitation":"(Hammond, 2005)"},"properties":{"noteIndex":0},"schema":"https://github.com/citation-style-language/schema/raw/master/csl-citation.json"}</w:instrText>
      </w:r>
      <w:r w:rsidR="005C0E76">
        <w:fldChar w:fldCharType="separate"/>
      </w:r>
      <w:r w:rsidRPr="00F00625">
        <w:rPr>
          <w:noProof/>
        </w:rPr>
        <w:t>(Hammond, 2005)</w:t>
      </w:r>
      <w:r w:rsidR="005C0E76">
        <w:fldChar w:fldCharType="end"/>
      </w:r>
      <w:r>
        <w:t xml:space="preserve">.  As 2 2’F dsRNA was clearly processed successfully in </w:t>
      </w:r>
      <w:r w:rsidRPr="00385BA3">
        <w:rPr>
          <w:i/>
        </w:rPr>
        <w:t>Drosophila</w:t>
      </w:r>
      <w:r>
        <w:t xml:space="preserve"> cells, the PAZ domain of </w:t>
      </w:r>
      <w:r w:rsidRPr="00385BA3">
        <w:rPr>
          <w:i/>
        </w:rPr>
        <w:t>Drosophila</w:t>
      </w:r>
      <w:r>
        <w:t xml:space="preserve"> Dicer-2 must be able to bind 2 2’F dsRNA.</w:t>
      </w:r>
    </w:p>
    <w:p w:rsidR="00F4503A" w:rsidRDefault="00F4503A" w:rsidP="00F4503A">
      <w:pPr>
        <w:spacing w:line="360" w:lineRule="auto"/>
        <w:ind w:firstLine="284"/>
      </w:pPr>
      <w:r>
        <w:t xml:space="preserve">2’-Fluoro modifications may result in more general changes to dsRNA conformation or thermodynamics that affect Dicer and Argonaute binding. 2’-Fluoro modifications are known to improve base stacking in RNA </w:t>
      </w:r>
      <w:r w:rsidR="005C0E76">
        <w:fldChar w:fldCharType="begin" w:fldLock="1"/>
      </w:r>
      <w:r>
        <w:instrText>ADDIN CSL_CITATION {"citationItems":[{"id":"ITEM-1","itemData":{"DOI":"10.1002/anie.201204946","ISSN":"1521-3773","PMID":"23055396","author":[{"dropping-particle":"","family":"Patra","given":"Amritraj","non-dropping-particle":"","parse-names":false,"suffix":""},{"dropping-particle":"","family":"Paolillo","given":"Michael","non-dropping-particle":"","parse-names":false,"suffix":""},{"dropping-particle":"","family":"Charisse","given":"Klaus","non-dropping-particle":"","parse-names":false,"suffix":""},{"dropping-particle":"","family":"Manoharan","given":"Muthiah","non-dropping-particle":"","parse-names":false,"suffix":""},{"dropping-particle":"","family":"Rozners","given":"Eriks","non-dropping-particle":"","parse-names":false,"suffix":""},{"dropping-particle":"","family":"Egli","given":"Martin","non-dropping-particle":"","parse-names":false,"suffix":""}],"container-title":"Angewandte Chemie (International ed. in English)","id":"ITEM-1","issue":"47","issued":{"date-parts":[["2012","11","19"]]},"page":"11863-6","publisher":"NIH Public Access","title":"2'-Fluoro RNA shows increased Watson-Crick H-bonding strength and stacking relative to RNA: evidence from NMR and thermodynamic data.","type":"article-journal","volume":"51"},"uris":["http://www.mendeley.com/documents/?uuid=9b51ea2d-de43-3a7f-a5cb-e291a7317126"]}],"mendeley":{"formattedCitation":"(Patra &lt;i&gt;et al.&lt;/i&gt;, 2012)","plainTextFormattedCitation":"(Patra et al., 2012)","previouslyFormattedCitation":"(Patra &lt;i&gt;et al.&lt;/i&gt;, 2012)"},"properties":{"noteIndex":0},"schema":"https://github.com/citation-style-language/schema/raw/master/csl-citation.json"}</w:instrText>
      </w:r>
      <w:r w:rsidR="005C0E76">
        <w:fldChar w:fldCharType="separate"/>
      </w:r>
      <w:r w:rsidRPr="00A873F6">
        <w:rPr>
          <w:noProof/>
        </w:rPr>
        <w:t xml:space="preserve">(Patra </w:t>
      </w:r>
      <w:r w:rsidRPr="00A873F6">
        <w:rPr>
          <w:i/>
          <w:noProof/>
        </w:rPr>
        <w:t>et al.</w:t>
      </w:r>
      <w:r w:rsidRPr="00A873F6">
        <w:rPr>
          <w:noProof/>
        </w:rPr>
        <w:t>, 2012)</w:t>
      </w:r>
      <w:r w:rsidR="005C0E76">
        <w:fldChar w:fldCharType="end"/>
      </w:r>
      <w:r>
        <w:t xml:space="preserve">. Whilst 2’-fluoro modifications have negligible effects on the conformation of the dsRNA helix </w:t>
      </w:r>
      <w:r w:rsidR="005C0E76">
        <w:fldChar w:fldCharType="begin" w:fldLock="1"/>
      </w:r>
      <w:r>
        <w:instrText>ADDIN CSL_CITATION {"citationItems":[{"id":"ITEM-1","itemData":{"DOI":"10.1093/nar/gkq1270","ISSN":"1362-4962","PMID":"21183463","abstract":"Various chemical modifications are currently being evaluated for improving the efficacy of short interfering RNA (siRNA) duplexes as antisense agents for gene silencing in vivo. Among the 2'-ribose modifications assessed to date, 2'deoxy-2'-fluoro-RNA (2'-F-RNA) has unique properties for RNA interference (RNAi) applications. Thus, 2'-F-modified nucleotides are well tolerated in the guide (antisense) and passenger (sense) siRNA strands and the corresponding duplexes lack immunostimulatory effects, enhance nuclease resistance and display improved efficacy in vitro and in vivo compared with unmodified siRNAs. To identify potential origins of the distinct behaviors of RNA and 2'-F-RNA we carried out thermodynamic and X-ray crystallographic analyses of fully and partially 2'-F-modified RNAs. Surprisingly, we found that the increased pairing affinity of 2'-F-RNA relative to RNA is not, as commonly assumed, the result of a favorable entropic contribution ('conformational preorganization'), but instead primarily based on enthalpy. Crystal structures at high resolution and osmotic stress demonstrate that the 2'-F-RNA duplex is less hydrated than the RNA duplex. The enthalpy-driven, higher stability of the former hints at the possibility that the 2'-substituent, in addition to its important function in sculpting RNA conformation, plays an underappreciated role in modulating Watson-Crick base pairing strength and potentially π-π stacking interactions.","author":[{"dropping-particle":"","family":"Pallan","given":"Pradeep S","non-dropping-particle":"","parse-names":false,"suffix":""},{"dropping-particle":"","family":"Greene","given":"Emily M","non-dropping-particle":"","parse-names":false,"suffix":""},{"dropping-particle":"","family":"Jicman","given":"Paul Andrei","non-dropping-particle":"","parse-names":false,"suffix":""},{"dropping-particle":"","family":"Pandey","given":"Rajendra K","non-dropping-particle":"","parse-names":false,"suffix":""},{"dropping-particle":"","family":"Manoharan","given":"Muthiah","non-dropping-particle":"","parse-names":false,"suffix":""},{"dropping-particle":"","family":"Rozners","given":"Eriks","non-dropping-particle":"","parse-names":false,"suffix":""},{"dropping-particle":"","family":"Egli","given":"Martin","non-dropping-particle":"","parse-names":false,"suffix":""}],"container-title":"Nucleic acids research","id":"ITEM-1","issue":"8","issued":{"date-parts":[["2011","4"]]},"page":"3482-95","publisher":"Oxford University Press","title":"Unexpected origins of the enhanced pairing affinity of 2'-fluoro-modified RNA.","type":"article-journal","volume":"39"},"uris":["http://www.mendeley.com/documents/?uuid=e6e2746d-d3a2-39b7-a44c-fc859c0a6c04"]}],"mendeley":{"formattedCitation":"(Pallan &lt;i&gt;et al.&lt;/i&gt;, 2011)","plainTextFormattedCitation":"(Pallan et al., 2011)","previouslyFormattedCitation":"(Pallan &lt;i&gt;et al.&lt;/i&gt;, 2011)"},"properties":{"noteIndex":0},"schema":"https://github.com/citation-style-language/schema/raw/master/csl-citation.json"}</w:instrText>
      </w:r>
      <w:r w:rsidR="005C0E76">
        <w:fldChar w:fldCharType="separate"/>
      </w:r>
      <w:r w:rsidRPr="00D5527B">
        <w:rPr>
          <w:noProof/>
        </w:rPr>
        <w:t xml:space="preserve">(Pallan </w:t>
      </w:r>
      <w:r w:rsidRPr="00D5527B">
        <w:rPr>
          <w:i/>
          <w:noProof/>
        </w:rPr>
        <w:t>et al.</w:t>
      </w:r>
      <w:r w:rsidRPr="00D5527B">
        <w:rPr>
          <w:noProof/>
        </w:rPr>
        <w:t>, 2011)</w:t>
      </w:r>
      <w:r w:rsidR="005C0E76">
        <w:fldChar w:fldCharType="end"/>
      </w:r>
      <w:r>
        <w:t xml:space="preserve">, they significantly increase duplex stability, as well as reducing hydration of the duplex </w:t>
      </w:r>
      <w:r w:rsidR="005C0E76">
        <w:fldChar w:fldCharType="begin" w:fldLock="1"/>
      </w:r>
      <w:r>
        <w:instrText>ADDIN CSL_CITATION {"citationItems":[{"id":"ITEM-1","itemData":{"DOI":"10.1093/nar/gkq1270","ISSN":"1362-4962","PMID":"21183463","abstract":"Various chemical modifications are currently being evaluated for improving the efficacy of short interfering RNA (siRNA) duplexes as antisense agents for gene silencing in vivo. Among the 2'-ribose modifications assessed to date, 2'deoxy-2'-fluoro-RNA (2'-F-RNA) has unique properties for RNA interference (RNAi) applications. Thus, 2'-F-modified nucleotides are well tolerated in the guide (antisense) and passenger (sense) siRNA strands and the corresponding duplexes lack immunostimulatory effects, enhance nuclease resistance and display improved efficacy in vitro and in vivo compared with unmodified siRNAs. To identify potential origins of the distinct behaviors of RNA and 2'-F-RNA we carried out thermodynamic and X-ray crystallographic analyses of fully and partially 2'-F-modified RNAs. Surprisingly, we found that the increased pairing affinity of 2'-F-RNA relative to RNA is not, as commonly assumed, the result of a favorable entropic contribution ('conformational preorganization'), but instead primarily based on enthalpy. Crystal structures at high resolution and osmotic stress demonstrate that the 2'-F-RNA duplex is less hydrated than the RNA duplex. The enthalpy-driven, higher stability of the former hints at the possibility that the 2'-substituent, in addition to its important function in sculpting RNA conformation, plays an underappreciated role in modulating Watson-Crick base pairing strength and potentially π-π stacking interactions.","author":[{"dropping-particle":"","family":"Pallan","given":"Pradeep S","non-dropping-particle":"","parse-names":false,"suffix":""},{"dropping-particle":"","family":"Greene","given":"Emily M","non-dropping-particle":"","parse-names":false,"suffix":""},{"dropping-particle":"","family":"Jicman","given":"Paul Andrei","non-dropping-particle":"","parse-names":false,"suffix":""},{"dropping-particle":"","family":"Pandey","given":"Rajendra K","non-dropping-particle":"","parse-names":false,"suffix":""},{"dropping-particle":"","family":"Manoharan","given":"Muthiah","non-dropping-particle":"","parse-names":false,"suffix":""},{"dropping-particle":"","family":"Rozners","given":"Eriks","non-dropping-particle":"","parse-names":false,"suffix":""},{"dropping-particle":"","family":"Egli","given":"Martin","non-dropping-particle":"","parse-names":false,"suffix":""}],"container-title":"Nucleic acids research","id":"ITEM-1","issue":"8","issued":{"date-parts":[["2011","4"]]},"page":"3482-95","publisher":"Oxford University Press","title":"Unexpected origins of the enhanced pairing affinity of 2'-fluoro-modified RNA.","type":"article-journal","volume":"39"},"uris":["http://www.mendeley.com/documents/?uuid=e6e2746d-d3a2-39b7-a44c-fc859c0a6c04"]}],"mendeley":{"formattedCitation":"(Pallan &lt;i&gt;et al.&lt;/i&gt;, 2011)","plainTextFormattedCitation":"(Pallan et al., 2011)","previouslyFormattedCitation":"(Pallan &lt;i&gt;et al.&lt;/i&gt;, 2011)"},"properties":{"noteIndex":0},"schema":"https://github.com/citation-style-language/schema/raw/master/csl-citation.json"}</w:instrText>
      </w:r>
      <w:r w:rsidR="005C0E76">
        <w:fldChar w:fldCharType="separate"/>
      </w:r>
      <w:r w:rsidRPr="00D5527B">
        <w:rPr>
          <w:noProof/>
        </w:rPr>
        <w:t xml:space="preserve">(Pallan </w:t>
      </w:r>
      <w:r w:rsidRPr="00D5527B">
        <w:rPr>
          <w:i/>
          <w:noProof/>
        </w:rPr>
        <w:t>et al.</w:t>
      </w:r>
      <w:r w:rsidRPr="00D5527B">
        <w:rPr>
          <w:noProof/>
        </w:rPr>
        <w:t>, 2011)</w:t>
      </w:r>
      <w:r w:rsidR="005C0E76">
        <w:fldChar w:fldCharType="end"/>
      </w:r>
      <w:r>
        <w:t xml:space="preserve">. Changes in duplex </w:t>
      </w:r>
      <w:r>
        <w:lastRenderedPageBreak/>
        <w:t xml:space="preserve">stability may affect passenger strand unwinding and discarding during RISC formation. Argonaute-2 in some species may be able to overcome the increased duplex stability while in others it may not, again due to differences in Argonaute-2 structure and size between insect species </w:t>
      </w:r>
      <w:r w:rsidR="005C0E76">
        <w:fldChar w:fldCharType="begin" w:fldLock="1"/>
      </w:r>
      <w:r>
        <w:instrText>ADDIN CSL_CITATION {"citationItems":[{"id":"ITEM-1","itemData":{"DOI":"10.1371/journal.pone.0203160","ISSN":"1932-6203","PMID":"30183751","abstract":"RNA interference (RNAi)-based technology shows great potential for use in agriculture, particularly for management of costly insect pests. In the decade since the insecticidal effects of environmentally-introduced RNA were first reported, this treatment has been applied to several types of insect pests. Through the course of those efforts, it has become apparent that different insects exhibit a range of sensitivity to environmentally-introduced RNAs. The variation in responses across insect is not well-understood, with differences in the underlying RNAi mechanisms being one explanation. This study evaluates eight proteins among three agricultural pests whose responses to environmental RNAi are known to differ: western corn rootworm (Diabrotica virgifera virgifera), fall armyworm (Spodoptera frugiperda), and southern green stink bug (Nezara viridula). These proteins have been identified in various organisms as centrally involved in facilitating the microRNA- and small interfering-RNA-mediated interference responses. Various bioinformatics tools, as well as gene expression profiling, were used to identify and evaluate putative homologues for characteristics that may contribute to the differing responses of these insects, such as the absence of critical functional domains within expressed sequences, the absence of entire gene sequences, or unusually low or undetectable expression of critical genes. Though many similarities were observed, the number of isoforms and expression levels of double-stranded RNA-binding and argonaute proteins varied across insect. Differences among key RNAi machinery genes of these three pests may impact the function of their RNAi pathways, and therefore, their respective responses to exogenous RNAs.","author":[{"dropping-particle":"","family":"Davis-Vogel","given":"Courtney","non-dropping-particle":"","parse-names":false,"suffix":""},{"dropping-particle":"","family":"Allen","given":"Brandon","non-dropping-particle":"Van","parse-names":false,"suffix":""},{"dropping-particle":"","family":"Hemert","given":"John L.","non-dropping-particle":"Van","parse-names":false,"suffix":""},{"dropping-particle":"","family":"Sethi","given":"Amit","non-dropping-particle":"","parse-names":false,"suffix":""},{"dropping-particle":"","family":"Nelson","given":"Mark E.","non-dropping-particle":"","parse-names":false,"suffix":""},{"dropping-particle":"","family":"Sashital","given":"Dipali G.","non-dropping-particle":"","parse-names":false,"suffix":""}],"container-title":"PLOS ONE","editor":[{"dropping-particle":"","family":"Jurat-Fuentes","given":"Juan Luis","non-dropping-particle":"","parse-names":false,"suffix":""}],"id":"ITEM-1","issue":"9","issued":{"date-parts":[["2018","9","5"]]},"page":"e0203160","title":"Identification and comparison of key RNA interference machinery from western corn rootworm, fall armyworm, and southern green stink bug","type":"article-journal","volume":"13"},"uris":["http://www.mendeley.com/documents/?uuid=0380d0a0-2876-3035-99a3-5e0e13f24f94"]}],"mendeley":{"formattedCitation":"(Davis-Vogel &lt;i&gt;et al.&lt;/i&gt;, 2018)","plainTextFormattedCitation":"(Davis-Vogel et al., 2018)","previouslyFormattedCitation":"(Davis-Vogel &lt;i&gt;et al.&lt;/i&gt;, 2018)"},"properties":{"noteIndex":0},"schema":"https://github.com/citation-style-language/schema/raw/master/csl-citation.json"}</w:instrText>
      </w:r>
      <w:r w:rsidR="005C0E76">
        <w:fldChar w:fldCharType="separate"/>
      </w:r>
      <w:r w:rsidRPr="00D5527B">
        <w:rPr>
          <w:noProof/>
        </w:rPr>
        <w:t xml:space="preserve">(Davis-Vogel </w:t>
      </w:r>
      <w:r w:rsidRPr="00D5527B">
        <w:rPr>
          <w:i/>
          <w:noProof/>
        </w:rPr>
        <w:t>et al.</w:t>
      </w:r>
      <w:r w:rsidRPr="00D5527B">
        <w:rPr>
          <w:noProof/>
        </w:rPr>
        <w:t>, 2018)</w:t>
      </w:r>
      <w:r w:rsidR="005C0E76">
        <w:fldChar w:fldCharType="end"/>
      </w:r>
      <w:r>
        <w:t xml:space="preserve">. This may explain why 2 2’F dsRNA successfully induced RNAi in </w:t>
      </w:r>
      <w:r w:rsidRPr="00D5527B">
        <w:rPr>
          <w:i/>
        </w:rPr>
        <w:t>Drosophila</w:t>
      </w:r>
      <w:r>
        <w:t xml:space="preserve"> cells but not in WCR larvae. Conversely, changes in duplex hydration may affect processing by some Dicer enzymes as binding and cleavage of dsRNA by RNase III/Dicer enzymes involves interactions with a large number of water molecules </w:t>
      </w:r>
      <w:r w:rsidR="005C0E76">
        <w:fldChar w:fldCharType="begin" w:fldLock="1"/>
      </w:r>
      <w:r>
        <w:instrText>ADDIN CSL_CITATION {"citationItems":[{"id":"ITEM-1","itemData":{"DOI":"10.1016/J.CELL.2005.11.034","ISSN":"0092-8674","abstract":"Members of the ribonuclease III (RNase III) family are double-stranded RNA (dsRNA) specific endoribonucleases characterized by a signature motif in their active centers and a two-base 3′ overhang in their products. While Dicer, which produces small interfering RNAs, is currently the focus of intense interest, the structurally simpler bacterial RNase III serves as a paradigm for the entire family. Here, we present the crystal structure of an RNase III-product complex, the first catalytic complex observed for the family. A 7 residue linker within the protein facilitates induced fit in protein-RNA recognition. A pattern of protein-RNA interactions, defined by four RNA binding motifs in RNase III and three protein-interacting boxes in dsRNA, is responsible for substrate specificity, while conserved amino acid residues and divalent cations are responsible for scissile-bond cleavage. The structure reveals a wealth of information about the mechanism of RNA hydrolysis that can be extrapolated to other RNase III family members.","author":[{"dropping-particle":"","family":"Gan","given":"Jianhua","non-dropping-particle":"","parse-names":false,"suffix":""},{"dropping-particle":"","family":"Tropea","given":"Joseph E.","non-dropping-particle":"","parse-names":false,"suffix":""},{"dropping-particle":"","family":"Austin","given":"Brian P.","non-dropping-particle":"","parse-names":false,"suffix":""},{"dropping-particle":"","family":"Court","given":"Donald L.","non-dropping-particle":"","parse-names":false,"suffix":""},{"dropping-particle":"","family":"Waugh","given":"David S.","non-dropping-particle":"","parse-names":false,"suffix":""},{"dropping-particle":"","family":"Ji","given":"Xinhua","non-dropping-particle":"","parse-names":false,"suffix":""}],"container-title":"Cell","id":"ITEM-1","issue":"2","issued":{"date-parts":[["2006","1","27"]]},"page":"355-366","publisher":"Cell Press","title":"Structural Insight into the Mechanism of Double-Stranded RNA Processing by Ribonuclease III","type":"article-journal","volume":"124"},"uris":["http://www.mendeley.com/documents/?uuid=07c9b95d-d24c-3652-8cdd-bb64a5a3b888"]}],"mendeley":{"formattedCitation":"(Gan &lt;i&gt;et al.&lt;/i&gt;, 2006)","plainTextFormattedCitation":"(Gan et al., 2006)","previouslyFormattedCitation":"(Gan &lt;i&gt;et al.&lt;/i&gt;, 2006)"},"properties":{"noteIndex":0},"schema":"https://github.com/citation-style-language/schema/raw/master/csl-citation.json"}</w:instrText>
      </w:r>
      <w:r w:rsidR="005C0E76">
        <w:fldChar w:fldCharType="separate"/>
      </w:r>
      <w:r w:rsidRPr="00D5527B">
        <w:rPr>
          <w:noProof/>
        </w:rPr>
        <w:t xml:space="preserve">(Gan </w:t>
      </w:r>
      <w:r w:rsidRPr="00D5527B">
        <w:rPr>
          <w:i/>
          <w:noProof/>
        </w:rPr>
        <w:t>et al.</w:t>
      </w:r>
      <w:r w:rsidRPr="00D5527B">
        <w:rPr>
          <w:noProof/>
        </w:rPr>
        <w:t>, 2006)</w:t>
      </w:r>
      <w:r w:rsidR="005C0E76">
        <w:fldChar w:fldCharType="end"/>
      </w:r>
      <w:r>
        <w:t xml:space="preserve">. </w:t>
      </w:r>
      <w:r w:rsidRPr="00D5527B">
        <w:rPr>
          <w:i/>
        </w:rPr>
        <w:t>Drosophila</w:t>
      </w:r>
      <w:r>
        <w:t xml:space="preserve"> Dicer-2 and bacterial RNase III can both successfully cleave 2 2’F dsRNA, whereas Giardia Dicer cannot. This supports the idea that some RNase III/Dicer family enzymes can process 2’-fluoro dsRNA, while others cannot. This may be due to differences in Dicer-2 binding and cleavage due to differences in hydration of the dsRNA, which may also explain why </w:t>
      </w:r>
      <w:r w:rsidR="000137D8">
        <w:t xml:space="preserve">some </w:t>
      </w:r>
      <w:r>
        <w:t xml:space="preserve">2 2’F dsRNA </w:t>
      </w:r>
      <w:r w:rsidR="000137D8">
        <w:t xml:space="preserve">has reduced </w:t>
      </w:r>
      <w:r>
        <w:t>RNAi</w:t>
      </w:r>
      <w:r w:rsidR="000137D8">
        <w:t xml:space="preserve"> efficacy</w:t>
      </w:r>
      <w:r>
        <w:t xml:space="preserve"> in WCR. </w:t>
      </w:r>
    </w:p>
    <w:p w:rsidR="00F4503A" w:rsidRDefault="00F4503A" w:rsidP="00F4503A">
      <w:pPr>
        <w:spacing w:line="360" w:lineRule="auto"/>
        <w:ind w:firstLine="284"/>
      </w:pPr>
      <w:r>
        <w:t xml:space="preserve">As with phosphorothioate dsRNA, dsRNA uptake may also be affected in different ways by different amounts of 2’-fluoro modifications between insect orders, or between a cell-based system and a live insect system. Further assays examining differences in Dicer-2 processing and RISC assembly with 2’-fluoro dsRNA between </w:t>
      </w:r>
      <w:r w:rsidRPr="00F32EF7">
        <w:rPr>
          <w:i/>
        </w:rPr>
        <w:t>Drosophila</w:t>
      </w:r>
      <w:r>
        <w:t xml:space="preserve"> and WCR would offer further insight into the origin of differences in RNAi efficacy of 2’-fluoro dsRNA between different insect species.</w:t>
      </w:r>
    </w:p>
    <w:p w:rsidR="00F4503A" w:rsidRDefault="00F4503A" w:rsidP="00F4503A">
      <w:pPr>
        <w:spacing w:line="360" w:lineRule="auto"/>
        <w:ind w:firstLine="284"/>
      </w:pPr>
    </w:p>
    <w:p w:rsidR="00F4503A" w:rsidRDefault="00F4503A" w:rsidP="00F4503A">
      <w:pPr>
        <w:spacing w:line="360" w:lineRule="auto"/>
        <w:ind w:firstLine="284"/>
      </w:pPr>
      <w:r>
        <w:t xml:space="preserve">dsRNA with 5-hydroxymethyl modifications was also synthesised by IVT for use in insect RNAi assays, using T7 RNA polymerase. 5-Hydroxymethyl dsRNA (1HMr) demonstrated no increase in resistance to insect salival nucleases compared to unmodified dsRNA. RNAi using 5-hydroxymethyl modified dsRNA was subsequently demonstrated in an insect system for the first time. dsRNA with 1HMr modifications in both strands demonstrated RNAi efficacy equal to unmodified dsRNA in both </w:t>
      </w:r>
      <w:r w:rsidRPr="00130C5B">
        <w:rPr>
          <w:i/>
        </w:rPr>
        <w:t>Drosophila</w:t>
      </w:r>
      <w:r>
        <w:t xml:space="preserve"> cells and WCR larvae. dsRNA with 2HMr modifications in both strands was also tested for RNAi activity in the cell culture model, and was found to have reduced RNAi activity.</w:t>
      </w:r>
    </w:p>
    <w:p w:rsidR="00F4503A" w:rsidRDefault="00F4503A" w:rsidP="00F4503A">
      <w:pPr>
        <w:spacing w:line="360" w:lineRule="auto"/>
        <w:ind w:firstLine="284"/>
      </w:pPr>
      <w:r>
        <w:t xml:space="preserve">There is evidence that while 5-methyl modifications increase the thermal stability of duplex nucleic acids, 5-hydroxymethyl modifications moderately reduce the thermal stability of duplex nucleic acids compared to unmodified nucleic acids </w:t>
      </w:r>
      <w:r w:rsidR="005C0E76">
        <w:fldChar w:fldCharType="begin" w:fldLock="1"/>
      </w:r>
      <w:r>
        <w:instrText>ADDIN CSL_CITATION {"citationItems":[{"id":"ITEM-1","itemData":{"DOI":"10.1039/c0cc05671e","ISSN":"1359-7345","abstract":"Cytosine-5-methylation stabilises DNA duplexes and is associated with transcriptional repression; 5-methylcytosine undergoes hydroxylation to 5-hydroxymethylcytosine, a modification of unknown biological function. Spectroscopic and calorimetric analyses show that 5-hydroxymethylcytosine introduction reverses the stabilising effect of 5-methylcytosine, suggesting that in some contexts, 5-methylcytosine hydroxylation may, along with other factors, contribute to the alleviation of transcriptional repression.","author":[{"dropping-particle":"","family":"Thalhammer","given":"Armin","non-dropping-particle":"","parse-names":false,"suffix":""},{"dropping-particle":"","family":"Hansen","given":"Anders S.","non-dropping-particle":"","parse-names":false,"suffix":""},{"dropping-particle":"","family":"El-Sagheer","given":"Afaf H.","non-dropping-particle":"","parse-names":false,"suffix":""},{"dropping-particle":"","family":"Brown","given":"Tom","non-dropping-particle":"","parse-names":false,"suffix":""},{"dropping-particle":"","family":"Schofield","given":"Christopher J.","non-dropping-particle":"","parse-names":false,"suffix":""}],"container-title":"Chemical Communications","id":"ITEM-1","issue":"18","issued":{"date-parts":[["2011","4","19"]]},"page":"5325","publisher":"The Royal Society of Chemistry","title":"Hydroxylation of methylated CpG dinucleotides reverses stabilisation of DNA duplexes by cytosine 5-methylation","type":"article-journal","volume":"47"},"uris":["http://www.mendeley.com/documents/?uuid=630d2ec9-d1ad-376a-b4b8-3429a007965e"]},{"id":"ITEM-2","itemData":{"DOI":"10.1016/J.BMCL.2015.01.070","ISSN":"0960-894X","abstract":"An oxidation-based synthetic approach was developed for facile preparation of 5-formyl-2′-deoxycytidine and 5-hydroxymethyl-2′-deoxycytidine phosphoramidites. Upon introducing organic solvent components and copper catalysts, C5-methyl groups of 5-methyl-2′-deoxycytidine and thymidine were readily oxidized to formyl and hydroxyl functionality, respectively. Standard solid phase DNA synthesis and conventional deprotection methods were applicable to synthesize 5-formyl- or 5-hydroxymethyl-cytosine containing DNA oligonucleotides, which were used to study the effect of epigenetic modifications on DNA thermal dynamic stability.","author":[{"dropping-particle":"","family":"Xuan","given":"Shuguang","non-dropping-particle":"","parse-names":false,"suffix":""},{"dropping-particle":"","family":"Wu","given":"Qiong","non-dropping-particle":"","parse-names":false,"suffix":""},{"dropping-particle":"","family":"Cui","given":"Liang","non-dropping-particle":"","parse-names":false,"suffix":""},{"dropping-particle":"","family":"Zhang","given":"Dawei","non-dropping-particle":"","parse-names":false,"suffix":""},{"dropping-particle":"","family":"Shao","given":"Fangwei","non-dropping-particle":"","parse-names":false,"suffix":""}],"container-title":"Bioorganic &amp; Medicinal Chemistry Letters","id":"ITEM-2","issue":"6","issued":{"date-parts":[["2015","3","15"]]},"page":"1186-1191","publisher":"Pergamon","title":"5-Hydroxymethylcytosine and 5-formylcytosine containing deoxyoligonucleotides: Facile syntheses and melting temperature studies","type":"article-journal","volume":"25"},"uris":["http://www.mendeley.com/documents/?uuid=19738b41-b2c0-3fad-8328-a2cb1165dc20"]}],"mendeley":{"formattedCitation":"(Thalhammer &lt;i&gt;et al.&lt;/i&gt;, 2011; Xuan &lt;i&gt;et al.&lt;/i&gt;, 2015)","plainTextFormattedCitation":"(Thalhammer et al., 2011; Xuan et al., 2015)","previouslyFormattedCitation":"(Thalhammer &lt;i&gt;et al.&lt;/i&gt;, 2011; Xuan &lt;i&gt;et al.&lt;/i&gt;, 2015)"},"properties":{"noteIndex":0},"schema":"https://github.com/citation-style-language/schema/raw/master/csl-citation.json"}</w:instrText>
      </w:r>
      <w:r w:rsidR="005C0E76">
        <w:fldChar w:fldCharType="separate"/>
      </w:r>
      <w:r w:rsidRPr="00C03FFC">
        <w:rPr>
          <w:noProof/>
        </w:rPr>
        <w:t xml:space="preserve">(Thalhammer </w:t>
      </w:r>
      <w:r w:rsidRPr="00C03FFC">
        <w:rPr>
          <w:i/>
          <w:noProof/>
        </w:rPr>
        <w:t>et al.</w:t>
      </w:r>
      <w:r w:rsidRPr="00C03FFC">
        <w:rPr>
          <w:noProof/>
        </w:rPr>
        <w:t xml:space="preserve">, 2011; Xuan </w:t>
      </w:r>
      <w:r w:rsidRPr="00C03FFC">
        <w:rPr>
          <w:i/>
          <w:noProof/>
        </w:rPr>
        <w:t>et al.</w:t>
      </w:r>
      <w:r w:rsidRPr="00C03FFC">
        <w:rPr>
          <w:noProof/>
        </w:rPr>
        <w:t>, 2015)</w:t>
      </w:r>
      <w:r w:rsidR="005C0E76">
        <w:fldChar w:fldCharType="end"/>
      </w:r>
      <w:r>
        <w:t xml:space="preserve">, therefore the 5-hydroxymethyl modification may affect the unwinding and discarding of the passenger strand, or reduce the strength of binding between the ss-si-RISC and the target mRNA. This effect will increase with increasing numbers of 5-hydroxymethyl modifications, which may explain why in both </w:t>
      </w:r>
      <w:r w:rsidRPr="004F44C1">
        <w:rPr>
          <w:i/>
        </w:rPr>
        <w:t>Drosophila</w:t>
      </w:r>
      <w:r>
        <w:t xml:space="preserve"> cells and WCR 1HMr dsRNA was effective for RNAi, whereas 2HMr dsRNA had a significantly different duplex stability which resulted in reduced RNAi activity as observed in </w:t>
      </w:r>
      <w:r w:rsidRPr="004F44C1">
        <w:rPr>
          <w:i/>
        </w:rPr>
        <w:t>Drosophila</w:t>
      </w:r>
      <w:r>
        <w:t xml:space="preserve"> cells. </w:t>
      </w:r>
    </w:p>
    <w:p w:rsidR="00F4503A" w:rsidRDefault="00F4503A" w:rsidP="00F4503A">
      <w:pPr>
        <w:spacing w:line="360" w:lineRule="auto"/>
        <w:ind w:firstLine="284"/>
      </w:pPr>
      <w:r>
        <w:lastRenderedPageBreak/>
        <w:t xml:space="preserve">2HMr dsRNA may also have reduced RNAi efficacy in </w:t>
      </w:r>
      <w:r w:rsidRPr="00D5527B">
        <w:rPr>
          <w:i/>
        </w:rPr>
        <w:t>Drosophila</w:t>
      </w:r>
      <w:r>
        <w:t xml:space="preserve"> cells due to issues with Dicer-2 processing or RISC assembly, as discussed for phosphorothioate and 2’-fluoro dsRNA. The RNAi efficacy of dsRNA with 5-hydroxymethyl modifications in only one strand or the other was not examined. Further RNAi assays with dsRNA containing 5-hydroxymethyl modifications in only one strand could offer insight into possible reasons for the reduced RNAi efficacy of 2HMr dsRNA in </w:t>
      </w:r>
      <w:r w:rsidRPr="00D5527B">
        <w:rPr>
          <w:i/>
        </w:rPr>
        <w:t>Drosophila</w:t>
      </w:r>
      <w:r>
        <w:t xml:space="preserve"> cells. </w:t>
      </w:r>
      <w:r>
        <w:rPr>
          <w:i/>
        </w:rPr>
        <w:t>I</w:t>
      </w:r>
      <w:r w:rsidRPr="002F0134">
        <w:rPr>
          <w:i/>
        </w:rPr>
        <w:t>n vitro</w:t>
      </w:r>
      <w:r>
        <w:t xml:space="preserve"> assays examining the processing of 1HMr dsRNA by bacterial RNase III and </w:t>
      </w:r>
      <w:r w:rsidRPr="00740D5A">
        <w:rPr>
          <w:i/>
        </w:rPr>
        <w:t>Giardia</w:t>
      </w:r>
      <w:r>
        <w:t xml:space="preserve"> Dicer determined that 1HMr dsRNA was successfully processed by bacterial RNase III but not by </w:t>
      </w:r>
      <w:r>
        <w:rPr>
          <w:i/>
        </w:rPr>
        <w:t xml:space="preserve">Giardia </w:t>
      </w:r>
      <w:r>
        <w:t xml:space="preserve">Dicer, which may again indicate that 5-hydroxymethyl modifications affect Dicer processing in different </w:t>
      </w:r>
      <w:r w:rsidR="00BC647B">
        <w:t xml:space="preserve">ways between different </w:t>
      </w:r>
      <w:r>
        <w:t xml:space="preserve">species. </w:t>
      </w:r>
    </w:p>
    <w:p w:rsidR="00F4503A" w:rsidRDefault="00F4503A" w:rsidP="00F4503A">
      <w:pPr>
        <w:spacing w:line="360" w:lineRule="auto"/>
        <w:ind w:firstLine="284"/>
      </w:pPr>
    </w:p>
    <w:p w:rsidR="00F4503A" w:rsidRDefault="00F4503A" w:rsidP="00F4503A">
      <w:pPr>
        <w:spacing w:line="360" w:lineRule="auto"/>
        <w:ind w:firstLine="284"/>
      </w:pPr>
      <w:r>
        <w:t xml:space="preserve">It is possible that the increased number of dsRNA transport steps between cells required for a potent RNAi effect in live insects is responsible for the difference in RNAi efficacy seen for some chemically modified dsRNAs between insect cells and live insects. A slight reduction in the ability of cells to uptake and transport a chemically modified dsRNA as a result of the altered chemistry, may have little effect in cell culture where there is only a single uptake step from the culture media to the cell cytoplasm. However, the repeated uptake events, intercellular transport and crossing of barriers required for a systemic effect in live insects may amplify the potential reduced ability of chemically modified dsRNA to be uptaken and trafficked by cells, resulting in a significant difference in the final RNAi efficacy across the whole insect.  It is known that in cultured </w:t>
      </w:r>
      <w:r w:rsidRPr="00BE1D34">
        <w:rPr>
          <w:i/>
        </w:rPr>
        <w:t>Drosophila</w:t>
      </w:r>
      <w:r>
        <w:t xml:space="preserve"> cells, transport of dsRNA occurs between cells through microtubules </w:t>
      </w:r>
      <w:r w:rsidR="005C0E76">
        <w:fldChar w:fldCharType="begin" w:fldLock="1"/>
      </w:r>
      <w:r>
        <w:instrText>ADDIN CSL_CITATION {"citationItems":[{"id":"ITEM-1","itemData":{"DOI":"10.1038/srep27085","ISSN":"2045-2322","PMID":"27255932","abstract":"Tunnelling nanotubes and cytonemes function as highways for the transport of organelles, cytosolic and membrane-bound molecules, and pathogens between cells. During viral infection in the model organism Drosophila melanogaster, a systemic RNAi antiviral response is established presumably through the transport of a silencing signal from one cell to another via an unknown mechanism. Because of their role in cell-cell communication, we investigated whether nanotube-like structures could be a mediator of the silencing signal. Here, we describe for the first time in the context of a viral infection the presence of nanotube-like structures in different Drosophila cell types. These tubules, made of actin and tubulin, were associated with components of the RNAi machinery, including Argonaute 2, double-stranded RNA, and CG4572. Moreover, they were more abundant during viral, but not bacterial, infection. Super resolution structured illumination microscopy showed that Argonaute 2 and tubulin reside inside the tubules. We propose that nanotube-like structures are one of the mechanisms by which Argonaute 2, as part of the antiviral RNAi machinery, is transported between infected and non-infected cells to trigger systemic antiviral immunity in Drosophila.","author":[{"dropping-particle":"","family":"Karlikow","given":"Margot","non-dropping-particle":"","parse-names":false,"suffix":""},{"dropping-particle":"","family":"Goic","given":"Bertsy","non-dropping-particle":"","parse-names":false,"suffix":""},{"dropping-particle":"","family":"Mongelli","given":"Vanesa","non-dropping-particle":"","parse-names":false,"suffix":""},{"dropping-particle":"","family":"Salles","given":"Audrey","non-dropping-particle":"","parse-names":false,"suffix":""},{"dropping-particle":"","family":"Schmitt","given":"Christine","non-dropping-particle":"","parse-names":false,"suffix":""},{"dropping-particle":"","family":"Bonne","given":"Isabelle","non-dropping-particle":"","parse-names":false,"suffix":""},{"dropping-particle":"","family":"Zurzolo","given":"Chiara","non-dropping-particle":"","parse-names":false,"suffix":""},{"dropping-particle":"","family":"Saleh","given":"Maria-Carla","non-dropping-particle":"","parse-names":false,"suffix":""}],"container-title":"Scientific Reports","id":"ITEM-1","issue":"1","issued":{"date-parts":[["2016","7","3"]]},"page":"27085","title":"Drosophila cells use nanotube-like structures to transfer dsRNA and RNAi machinery between cells","type":"article-journal","volume":"6"},"uris":["http://www.mendeley.com/documents/?uuid=d556be7b-eaca-3ace-97ea-049d286ca149"]}],"mendeley":{"formattedCitation":"(Karlikow &lt;i&gt;et al.&lt;/i&gt;, 2016)","plainTextFormattedCitation":"(Karlikow et al., 2016)","previouslyFormattedCitation":"(Karlikow &lt;i&gt;et al.&lt;/i&gt;, 2016)"},"properties":{"noteIndex":0},"schema":"https://github.com/citation-style-language/schema/raw/master/csl-citation.json"}</w:instrText>
      </w:r>
      <w:r w:rsidR="005C0E76">
        <w:fldChar w:fldCharType="separate"/>
      </w:r>
      <w:r w:rsidRPr="00937031">
        <w:rPr>
          <w:noProof/>
        </w:rPr>
        <w:t xml:space="preserve">(Karlikow </w:t>
      </w:r>
      <w:r w:rsidRPr="00937031">
        <w:rPr>
          <w:i/>
          <w:noProof/>
        </w:rPr>
        <w:t>et al.</w:t>
      </w:r>
      <w:r w:rsidRPr="00937031">
        <w:rPr>
          <w:noProof/>
        </w:rPr>
        <w:t>, 2016)</w:t>
      </w:r>
      <w:r w:rsidR="005C0E76">
        <w:fldChar w:fldCharType="end"/>
      </w:r>
      <w:r>
        <w:t xml:space="preserve"> or extracellular vesicles </w:t>
      </w:r>
      <w:r w:rsidR="005C0E76">
        <w:fldChar w:fldCharType="begin" w:fldLock="1"/>
      </w:r>
      <w:r>
        <w:instrText>ADDIN CSL_CITATION {"citationItems":[{"id":"ITEM-1","itemData":{"DOI":"10.1016/j.cell.2017.03.033","ISSN":"00928674","PMID":"28388413","abstract":"Effective antiviral protection in multicellular organisms relies on both cell-autonomous and systemic immunity. Systemic immunity mediates the spread of antiviral signals from infection sites to distant uninfected tissues. In arthropods, RNA interference (RNAi) is responsible for antiviral defense. Here, we show that flies have a sophisticated systemic RNAi-based immunity mediated by macrophage-like haemocytes. Haemocytes take up dsRNA from infected cells and, through endogenous transposon reverse transcriptases, produce virus-derived complementary DNAs (vDNA). These vDNAs template de novo synthesis of secondary viral siRNAs (vsRNA), which are secreted in exosome-like vesicles. Strikingly, exosomes containing vsRNAs, purified from haemolymph of infected flies, confer passive protection against virus challenge in naive animals. Thus, similar to vertebrates, insects use immune cells to generate immunological memory in the form of stable vDNAs that generate systemic immunity, which is mediated by the vsRNA-containing exosomes.","author":[{"dropping-particle":"","family":"Tassetto","given":"Michel","non-dropping-particle":"","parse-names":false,"suffix":""},{"dropping-particle":"","family":"Kunitomi","given":"Mark","non-dropping-particle":"","parse-names":false,"suffix":""},{"dropping-particle":"","family":"Andino","given":"Raul","non-dropping-particle":"","parse-names":false,"suffix":""}],"container-title":"Cell","id":"ITEM-1","issue":"2","issued":{"date-parts":[["2017","4","6"]]},"page":"314-325.e13","title":"Circulating Immune Cells Mediate a Systemic RNAi-Based Adaptive Antiviral Response in Drosophila","type":"article-journal","volume":"169"},"uris":["http://www.mendeley.com/documents/?uuid=786b5f57-9f4e-3e63-8c12-87f6cde0eca0"]}],"mendeley":{"formattedCitation":"(Tassetto, Kunitomi and Andino, 2017)","plainTextFormattedCitation":"(Tassetto, Kunitomi and Andino, 2017)","previouslyFormattedCitation":"(Tassetto, Kunitomi and Andino, 2017)"},"properties":{"noteIndex":0},"schema":"https://github.com/citation-style-language/schema/raw/master/csl-citation.json"}</w:instrText>
      </w:r>
      <w:r w:rsidR="005C0E76">
        <w:fldChar w:fldCharType="separate"/>
      </w:r>
      <w:r w:rsidRPr="00937031">
        <w:rPr>
          <w:noProof/>
        </w:rPr>
        <w:t>(Tassetto, Kunitomi and Andino, 2017)</w:t>
      </w:r>
      <w:r w:rsidR="005C0E76">
        <w:fldChar w:fldCharType="end"/>
      </w:r>
      <w:r>
        <w:t xml:space="preserve">. If these mechanisms occur in other insect species, and particularly if they occur in live insects is unknown </w:t>
      </w:r>
      <w:r w:rsidR="005C0E76">
        <w:fldChar w:fldCharType="begin" w:fldLock="1"/>
      </w:r>
      <w:r>
        <w:instrText>ADDIN CSL_CITATION {"citationItems":[{"id":"ITEM-1","itemData":{"DOI":"10.3389/fphys.2018.01912","ISSN":"1664-042X","abstract":"Insects constitute the largest and most diverse group of animals on Earth, with a matching virome diversity. RNA(i) interference is a post transcriptional gene silencing mechanism mediated by small RNA molecules and constitutes the main antiviral immune mechanism in this group of animals. Furthermore, this process can be artificially triggered via delivery of gene-specific double-stranded RNA molecules, leading to specific endogenous gene silencing. This is called RNAi technology and has important applications in several fields. In this paper, we start by reviewing the mechanisms of RNAi in insects as well as the potential of the RNAi technology to contribute to species-specific insecticidal strategies. We cover the range of strategies considered and investigated so far, as well as their limitations and the most promising approaches to overcome them. Next, we discuss patterns of viral infection, as well as review persistent and acute insect viral infections. Regarding the latter, a special focus is put on the ones affecting economically relevant species. In this scope, the use insect-specific viruses as bio-insecticides is likewise reviewed. In a third section, RNAi-based strategies to protect beneficial insects from harmful viral infections are explained and their potential practical application is discussed. As a whole, this manuscript stresses the impact of insect viruses and RNAi technology in human life. In addition, it points towards clear lines of investigation within an exciting and promising field of research.","author":[{"dropping-particle":"","family":"Vogel","given":"Elise","non-dropping-particle":"","parse-names":false,"suffix":""},{"dropping-particle":"","family":"Santos","given":"Dulce","non-dropping-particle":"","parse-names":false,"suffix":""},{"dropping-particle":"","family":"Mingels","given":"Lina","non-dropping-particle":"","parse-names":false,"suffix":""},{"dropping-particle":"","family":"Verdonckt","given":"Thomas-Wolf","non-dropping-particle":"","parse-names":false,"suffix":""},{"dropping-particle":"Vanden","family":"Broeck","given":"Jozef","non-dropping-particle":"","parse-names":false,"suffix":""}],"container-title":"Frontiers in Physiology","id":"ITEM-1","issued":{"date-parts":[["2019","1","11"]]},"page":"1912","publisher":"Frontiers","title":"RNA Interference in Insects: Protecting Beneficials and Controlling Pests","type":"article-journal","volume":"9"},"uris":["http://www.mendeley.com/documents/?uuid=666e52ba-579e-3026-83b5-ce5170e082cc"]}],"mendeley":{"formattedCitation":"(Vogel &lt;i&gt;et al.&lt;/i&gt;, 2019)","plainTextFormattedCitation":"(Vogel et al., 2019)","previouslyFormattedCitation":"(Vogel &lt;i&gt;et al.&lt;/i&gt;, 2019)"},"properties":{"noteIndex":0},"schema":"https://github.com/citation-style-language/schema/raw/master/csl-citation.json"}</w:instrText>
      </w:r>
      <w:r w:rsidR="005C0E76">
        <w:fldChar w:fldCharType="separate"/>
      </w:r>
      <w:r w:rsidRPr="00937031">
        <w:rPr>
          <w:noProof/>
        </w:rPr>
        <w:t xml:space="preserve">(Vogel </w:t>
      </w:r>
      <w:r w:rsidRPr="00937031">
        <w:rPr>
          <w:i/>
          <w:noProof/>
        </w:rPr>
        <w:t>et al.</w:t>
      </w:r>
      <w:r w:rsidRPr="00937031">
        <w:rPr>
          <w:noProof/>
        </w:rPr>
        <w:t>, 2019)</w:t>
      </w:r>
      <w:r w:rsidR="005C0E76">
        <w:fldChar w:fldCharType="end"/>
      </w:r>
      <w:r>
        <w:t xml:space="preserve">. Endosomal escape of uptaken </w:t>
      </w:r>
      <w:r w:rsidR="00B04E96">
        <w:t xml:space="preserve">unmodified </w:t>
      </w:r>
      <w:r>
        <w:t xml:space="preserve">dsRNA is not thought to be an issue in Coleoptera </w:t>
      </w:r>
      <w:r w:rsidR="005C0E76">
        <w:fldChar w:fldCharType="begin" w:fldLock="1"/>
      </w:r>
      <w:r w:rsidR="00C57A7E">
        <w:instrText>ADDIN CSL_CITATION {"citationItems":[{"id":"ITEM-1","itemData":{"DOI":"10.1080/15476286.2016.1191728","ISSN":"15558584","PMID":"27245473","abstract":"RNA interference (RNAi) has become a widely used reverse genetic tool to study gene function in eukaryotic organisms and is being developed as a technology for insect pest management. The efficiency of RNAi varies among organisms. Insects from different orders also display differential efficiency of RNAi, ranging from highly efficient (coleopterans) to very low efficient (lepidopterans). We investigated the reasons for varying RNAi efficiency between lepidopteran and coleopteran cell lines and also","author":[{"dropping-particle":"","family":"Shukla","given":"Jayendra Nath","non-dropping-particle":"","parse-names":false,"suffix":""},{"dropping-particle":"","family":"Kalsi","given":"Megha","non-dropping-particle":"","parse-names":false,"suffix":""},{"dropping-particle":"","family":"Sethi","given":"Amit","non-dropping-particle":"","parse-names":false,"suffix":""},{"dropping-particle":"","family":"Narva","given":"Kenneth E.","non-dropping-particle":"","parse-names":false,"suffix":""},{"dropping-particle":"","family":"Fishilevich","given":"Elane","non-dropping-particle":"","parse-names":false,"suffix":""},{"dropping-particle":"","family":"Singh","given":"Satnam","non-dropping-particle":"","parse-names":false,"suffix":""},{"dropping-particle":"","family":"Mogilicherla","given":"Kanakachari","non-dropping-particle":"","parse-names":false,"suffix":""},{"dropping-particle":"","family":"Palli","given":"Subba Reddy","non-dropping-particle":"","parse-names":false,"suffix":""}],"container-title":"RNA Biology","id":"ITEM-1","issue":"7","issued":{"date-parts":[["2016"]]},"page":"656-669","publisher":"Taylor &amp; Francis","title":"Reduced stability and intracellular transport of dsRNA contribute to poor RNAi response in lepidopteran insects","type":"article-journal","volume":"13"},"uris":["http://www.mendeley.com/documents/?uuid=41e3944d-18a5-4de6-b4a1-6a8db6feeca6"]}],"mendeley":{"formattedCitation":"(Shukla &lt;i&gt;et al.&lt;/i&gt;, 2016b)","plainTextFormattedCitation":"(Shukla et al., 2016b)","previouslyFormattedCitation":"(Shukla &lt;i&gt;et al.&lt;/i&gt;, 2016)"},"properties":{"noteIndex":0},"schema":"https://github.com/citation-style-language/schema/raw/master/csl-citation.json"}</w:instrText>
      </w:r>
      <w:r w:rsidR="005C0E76">
        <w:fldChar w:fldCharType="separate"/>
      </w:r>
      <w:r w:rsidR="00C57A7E" w:rsidRPr="00C57A7E">
        <w:rPr>
          <w:noProof/>
        </w:rPr>
        <w:t xml:space="preserve">(Shukla </w:t>
      </w:r>
      <w:r w:rsidR="00C57A7E" w:rsidRPr="00C57A7E">
        <w:rPr>
          <w:i/>
          <w:noProof/>
        </w:rPr>
        <w:t>et al.</w:t>
      </w:r>
      <w:r w:rsidR="00C57A7E" w:rsidRPr="00C57A7E">
        <w:rPr>
          <w:noProof/>
        </w:rPr>
        <w:t>, 2016b)</w:t>
      </w:r>
      <w:r w:rsidR="005C0E76">
        <w:fldChar w:fldCharType="end"/>
      </w:r>
      <w:r>
        <w:t>.</w:t>
      </w:r>
      <w:r w:rsidR="00B04E96">
        <w:t xml:space="preserve"> However, there is evidence that PS siRNAs accumulate in the nucleus in mammalian systems (Braasch </w:t>
      </w:r>
      <w:r w:rsidR="00B04E96" w:rsidRPr="00DB1463">
        <w:rPr>
          <w:i/>
        </w:rPr>
        <w:t>et al</w:t>
      </w:r>
      <w:r w:rsidR="00DB1463" w:rsidRPr="00DB1463">
        <w:rPr>
          <w:i/>
        </w:rPr>
        <w:t>.</w:t>
      </w:r>
      <w:r w:rsidR="00B04E96">
        <w:t xml:space="preserve">, </w:t>
      </w:r>
      <w:r w:rsidR="00DB1463">
        <w:t>2003), and therefore chemically modified dsRNAs may also accumulate in subcellular compartments in insect cells. H</w:t>
      </w:r>
      <w:r>
        <w:t>ow chemical modifications might affect endosomal escape and intracellular transport</w:t>
      </w:r>
      <w:r w:rsidR="00DB1463">
        <w:t xml:space="preserve"> in insect systems</w:t>
      </w:r>
      <w:r>
        <w:t xml:space="preserve"> requires further studies.</w:t>
      </w:r>
    </w:p>
    <w:p w:rsidR="00F4503A" w:rsidRDefault="00F4503A" w:rsidP="00F4503A">
      <w:pPr>
        <w:spacing w:line="360" w:lineRule="auto"/>
        <w:ind w:firstLine="284"/>
      </w:pPr>
    </w:p>
    <w:p w:rsidR="00F4503A" w:rsidRDefault="00F4503A" w:rsidP="00F4503A">
      <w:pPr>
        <w:spacing w:line="360" w:lineRule="auto"/>
        <w:ind w:firstLine="284"/>
      </w:pPr>
      <w:r>
        <w:t xml:space="preserve">In summary, chemically modified dsRNAs including phosphorothioate, 2’-fluoro and 5-hydroxymethyl dsRNAs were successfully synthesised. All of the chemically modified dsRNAs tested demonstrated RNAi activity in </w:t>
      </w:r>
      <w:r w:rsidRPr="004A3EFA">
        <w:rPr>
          <w:i/>
        </w:rPr>
        <w:t>Drosophila</w:t>
      </w:r>
      <w:r>
        <w:t xml:space="preserve"> cells. Some chemically modified dsRNAs had improved RNAi efficacy in this system compared to unmodified dsRNA, however others had reduced efficacy. Many of the chemically modified dsRNAs tested in live WCR larvae also induced RNAi, however 2PS </w:t>
      </w:r>
      <w:r>
        <w:lastRenderedPageBreak/>
        <w:t xml:space="preserve">and 2 2’F modified dsRNAs that were highly efficacious in </w:t>
      </w:r>
      <w:r w:rsidRPr="004A3EFA">
        <w:rPr>
          <w:i/>
        </w:rPr>
        <w:t>Drosophila</w:t>
      </w:r>
      <w:r>
        <w:t xml:space="preserve"> cells had very low RNAi activity in WCR larvae.</w:t>
      </w:r>
    </w:p>
    <w:p w:rsidR="00F4503A" w:rsidRDefault="00F4503A" w:rsidP="00F4503A">
      <w:pPr>
        <w:spacing w:line="360" w:lineRule="auto"/>
        <w:ind w:firstLine="284"/>
      </w:pPr>
      <w:r>
        <w:t xml:space="preserve">In conclusion, chemically modified dsRNAs can be used to induce RNAi in insect cells and live insects, with some chemical modifications resulting in increased RNAi efficacy. This has applications for improving the activity of dsRNA based biocontrols, or improving mRNA knockdown in insect cell lines or live insects in lab settings. Further work is required in order to determine how chemically modified dsRNAs result in different RNAi efficacies in different insect species, or between cell-based and live insect systems, and which steps of the dsRNA uptake, trafficking and RNAi systems in insects are responsible for the differences observed. These additional insights could help in the potential future use of chemically modified dsRNA as an RNA based biocontrol. Knowledge of the RNAi efficacy of dsRNA with specific chemical modifications in specific insect species or environments (e.g. soil, leaves, fields, glass houses), would allow the optimisation of dsRNA based biocontrols to </w:t>
      </w:r>
      <w:r w:rsidR="00DB1463">
        <w:t xml:space="preserve">minimise dsRNA degradation, and </w:t>
      </w:r>
      <w:r>
        <w:t>maximise nuclease resistance and RNAi efficacy based on the specific target insect and application location. Improvements to the stability and efficacy of a dsRNA based biocontrol would potentially reduce the effective dose required, and increase the life of the biocontrol in the field. This would reduce the cost of dsRNA based biocontrols for agriculturalists, potentially leading to more widespread use of</w:t>
      </w:r>
      <w:r w:rsidR="00DB1463">
        <w:t xml:space="preserve"> this more selective technology as an alternative to current small molecule insecticides.</w:t>
      </w:r>
    </w:p>
    <w:p w:rsidR="00F4503A" w:rsidRDefault="00F4503A" w:rsidP="00F4503A">
      <w:pPr>
        <w:spacing w:line="360" w:lineRule="auto"/>
        <w:ind w:firstLine="284"/>
      </w:pPr>
    </w:p>
    <w:p w:rsidR="00F4503A" w:rsidRDefault="00F4503A" w:rsidP="00F4503A">
      <w:pPr>
        <w:spacing w:line="360" w:lineRule="auto"/>
        <w:rPr>
          <w:b/>
        </w:rPr>
      </w:pPr>
      <w:r>
        <w:rPr>
          <w:b/>
        </w:rPr>
        <w:t>Further Work</w:t>
      </w:r>
    </w:p>
    <w:p w:rsidR="00F4503A" w:rsidRDefault="00F4503A" w:rsidP="00F4503A">
      <w:pPr>
        <w:spacing w:line="360" w:lineRule="auto"/>
        <w:ind w:firstLine="284"/>
      </w:pPr>
      <w:r>
        <w:t xml:space="preserve">Luciferase assays in </w:t>
      </w:r>
      <w:r w:rsidRPr="00D5527B">
        <w:rPr>
          <w:i/>
        </w:rPr>
        <w:t>Drosophila</w:t>
      </w:r>
      <w:r>
        <w:t xml:space="preserve"> cells demonstrated the increased efficacy of some phosphorothioate and 2’-fluoro-containing dsRNAs which implies </w:t>
      </w:r>
      <w:r w:rsidRPr="00D5527B">
        <w:rPr>
          <w:i/>
        </w:rPr>
        <w:t>Drosophila</w:t>
      </w:r>
      <w:r>
        <w:t xml:space="preserve"> Dicer-2 and RISC can process these chemically modified dsRNAs. Additionally, nuclease degradation studies demonstrated that phosphorothioate dsRNA had increased resistance to insect salival nucleases compared to unmodified dsRNA. However, 2PS-2PS dsRNA demonstrated poor RNAi efficacy in a whole insect WCR larvae system. Further assays are required to determine if these differences are a result of RISC assembly, Dicer-2 processing, differences in these factors between the systems due to the difference in insect orders between Kc167 cells (diptera) and WCR larvae (coleoptera). In addition to RNAi assays in Kc167 cells, RNAi experiments in a Coleopteran cell line would determine if the reduced RNAi efficacy of some chemically modified dsRNAs in WCR was related to the difference in insect order, or was due to a difference between cell culture models and live insects. A Coleopteran Colorado potato beetle cell line </w:t>
      </w:r>
      <w:r w:rsidRPr="00A43E5C">
        <w:t>Lepd-SL1</w:t>
      </w:r>
      <w:r>
        <w:t xml:space="preserve"> is available, and has previously been used for dual luciferase assays </w:t>
      </w:r>
      <w:r w:rsidR="005C0E76">
        <w:fldChar w:fldCharType="begin" w:fldLock="1"/>
      </w:r>
      <w:r>
        <w:instrText>ADDIN CSL_CITATION {"citationItems":[{"id":"ITEM-1","itemData":{"DOI":"10.1016/J.PESTBP.2012.06.009","ISSN":"0048-3575","abstract":"A novel reporter gene assay system using BCIRL-Lepd-SL1, a cell line from the coleopteran Colorado potato beetle (Leptinotarsa decemlineata), was established. Cells were transiently transfected with the reporter plasmid that was composed of a firefly luciferase gene with upstream ecdysone response elements, and an internal control plasmid that constitutively produces Renilla reniformis luciferase. Transfected cells were incubated with various molting hormone agonists, and the activity of these agonists was quantitatively determined by measuring luminescence emission. Transcription-inducing activity for ecdysone, 20-hydroxyecdysone and ponasterone A in terms of EC50 (50% effective concentration) were determined to be 1μM (pEC50=5.99), 68nM (pEC50=7.17) and 1.3nM (pEC50=8.88), respectively. Among tested diacylhydrazine (DAH)-type compounds, 11 compounds were active (pEC50=3.56</w:instrText>
      </w:r>
      <w:r>
        <w:rPr>
          <w:rFonts w:ascii="Cambria Math" w:hAnsi="Cambria Math" w:cs="Cambria Math"/>
        </w:rPr>
        <w:instrText>∼</w:instrText>
      </w:r>
      <w:r>
        <w:rPr>
          <w:rFonts w:ascii="Calibri" w:hAnsi="Calibri" w:cs="Calibri"/>
        </w:rPr>
        <w:instrText>6.41), but two compounds were inactive. The EC50 values were linearly correlated to their binding affinity except for one compound. While several ecdysone reporter systems were developed before th</w:instrText>
      </w:r>
      <w:r>
        <w:instrText>at employ dipteran and lepidopteron cell lines, the assay system described here is only the second one that employs a coleopteran cell line. This reporter system will allow screening in high-throughput format for new and more potent molting accelerating compounds that specifically target coleopteran pests.","author":[{"dropping-particle":"","family":"Ogura","given":"Takehiko","non-dropping-particle":"","parse-names":false,"suffix":""},{"dropping-particle":"","family":"Nakagawa","given":"Yoshiaki","non-dropping-particle":"","parse-names":false,"suffix":""},{"dropping-particle":"","family":"Swevers","given":"Luc","non-dropping-particle":"","parse-names":false,"suffix":""},{"dropping-particle":"","family":"Smagghe","given":"Guy","non-dropping-particle":"","parse-names":false,"suffix":""},{"dropping-particle":"","family":"Miyagawa","given":"Hisashi","non-dropping-particle":"","parse-names":false,"suffix":""}],"container-title":"Pesticide Biochemistry and Physiology","id":"ITEM-1","issue":"1","issued":{"date-parts":[["2012","9","1"]]},"page":"1-8","publisher":"Academic Press","title":"Quantitative evaluation of the molting hormone activity in coleopteran cells established from the Colorado potato beetle, Leptinotarsa decemlineata","type":"article-journal","volume":"104"},"uris":["http://www.mendeley.com/documents/?uuid=a6819b88-2977-3370-b98f-80da25a283ad"]}],"mendeley":{"formattedCitation":"(Ogura &lt;i&gt;et al.&lt;/i&gt;, 2012)","plainTextFormattedCitation":"(Ogura et al., 2012)","previouslyFormattedCitation":"(Ogura &lt;i&gt;et al.&lt;/i&gt;, 2012)"},"properties":{"noteIndex":0},"schema":"https://github.com/citation-style-language/schema/raw/master/csl-citation.json"}</w:instrText>
      </w:r>
      <w:r w:rsidR="005C0E76">
        <w:fldChar w:fldCharType="separate"/>
      </w:r>
      <w:r w:rsidRPr="00A43E5C">
        <w:rPr>
          <w:noProof/>
        </w:rPr>
        <w:t xml:space="preserve">(Ogura </w:t>
      </w:r>
      <w:r w:rsidRPr="00A43E5C">
        <w:rPr>
          <w:i/>
          <w:noProof/>
        </w:rPr>
        <w:t>et al.</w:t>
      </w:r>
      <w:r w:rsidRPr="00A43E5C">
        <w:rPr>
          <w:noProof/>
        </w:rPr>
        <w:t>, 2012)</w:t>
      </w:r>
      <w:r w:rsidR="005C0E76">
        <w:fldChar w:fldCharType="end"/>
      </w:r>
      <w:r>
        <w:t xml:space="preserve">. Use of this cell line for luciferase assays as performed in Kc167 </w:t>
      </w:r>
      <w:r>
        <w:lastRenderedPageBreak/>
        <w:t xml:space="preserve">cells previously, would allow a direct comparison of RNAi efficacy of chemically modified dsRNA in cell lines of different insect orders.  </w:t>
      </w:r>
    </w:p>
    <w:p w:rsidR="00F4503A" w:rsidRDefault="00F4503A" w:rsidP="00F4503A">
      <w:pPr>
        <w:spacing w:line="360" w:lineRule="auto"/>
        <w:ind w:firstLine="284"/>
      </w:pPr>
    </w:p>
    <w:p w:rsidR="00F4503A" w:rsidRDefault="00F4503A" w:rsidP="00F4503A">
      <w:pPr>
        <w:spacing w:line="360" w:lineRule="auto"/>
        <w:ind w:firstLine="284"/>
      </w:pPr>
      <w:r>
        <w:t xml:space="preserve">RNAi assays in WCR larvae with chemically modified dsRNA with modifications in only the guide or passenger strand, demonstrated a difference in RNAi efficacy depending on which strand the modifications were located in. dsRNAs with chemical modifications in only one strand were not tested in </w:t>
      </w:r>
      <w:r w:rsidRPr="00D5527B">
        <w:rPr>
          <w:i/>
        </w:rPr>
        <w:t>Drosophila</w:t>
      </w:r>
      <w:r>
        <w:t xml:space="preserve"> cell experiments. Additional luciferase assays with Un-2PS, 2PS-Un, Un-2 2’F and 2 2’F-Un dsRNAs in both Kc167 and Lepd-SL1 cells would add additional information about the differences in RNAi efficacy between different insect orders depending on which strand of a dsRNA chemical modifications are incorporated in. dsRNA with 5-hydroxymethyl modifications in only one strand or the other was also not tested for differences in RNAi efficacy in either </w:t>
      </w:r>
      <w:r w:rsidRPr="00D5527B">
        <w:rPr>
          <w:i/>
        </w:rPr>
        <w:t>Drosophila</w:t>
      </w:r>
      <w:r>
        <w:t xml:space="preserve"> cells or live WCR larvae. Performing additional assays with dsRNA containing 5-hydroxymethyl modifications in only one strand or the other using the previous luciferase assay and feeding assay methodologies, would determine if this chemical modification also results in different RNAi efficacies depending on which strand the chemical modification is in.</w:t>
      </w:r>
    </w:p>
    <w:p w:rsidR="00F4503A" w:rsidRDefault="00F4503A" w:rsidP="00F4503A">
      <w:pPr>
        <w:spacing w:line="360" w:lineRule="auto"/>
        <w:ind w:firstLine="284"/>
      </w:pPr>
      <w:r>
        <w:t>2HMr dsRNA was also not tested in WCR larvae, and whether the results in live insects would be identical to those in insect cells – where 2HMr demonstrated reduced RNAi efficacy compared to unmodified dsRNA – would also add further information on potential differences between insect cell and live insect systems.</w:t>
      </w:r>
    </w:p>
    <w:p w:rsidR="00F4503A" w:rsidRDefault="00F4503A" w:rsidP="00F4503A">
      <w:pPr>
        <w:spacing w:line="360" w:lineRule="auto"/>
        <w:ind w:firstLine="284"/>
      </w:pPr>
    </w:p>
    <w:p w:rsidR="00F4503A" w:rsidRDefault="00F4503A" w:rsidP="00F4503A">
      <w:pPr>
        <w:spacing w:line="360" w:lineRule="auto"/>
        <w:ind w:firstLine="284"/>
      </w:pPr>
      <w:r>
        <w:t xml:space="preserve">Several of the chemically modified dsRNAs which RNase III or </w:t>
      </w:r>
      <w:r w:rsidRPr="00385BA3">
        <w:rPr>
          <w:i/>
        </w:rPr>
        <w:t>Giardia</w:t>
      </w:r>
      <w:r>
        <w:t xml:space="preserve"> Dicer failed to cleave into esiRNAs, successfully induced RNAi in </w:t>
      </w:r>
      <w:r w:rsidRPr="00385BA3">
        <w:rPr>
          <w:i/>
        </w:rPr>
        <w:t>Drosophila</w:t>
      </w:r>
      <w:r>
        <w:t xml:space="preserve"> cells, live WCR, or both. Therefore these results suggest that these chemically modified dsRNAs are effectively processed by some insect Dicer-2 enzymes </w:t>
      </w:r>
      <w:r w:rsidRPr="00FE5B11">
        <w:rPr>
          <w:i/>
        </w:rPr>
        <w:t>in vivo</w:t>
      </w:r>
      <w:r>
        <w:t xml:space="preserve">. It is therefore likely that results obtained on the processing of dsRNA by RNase III and </w:t>
      </w:r>
      <w:r w:rsidRPr="003A634F">
        <w:rPr>
          <w:i/>
        </w:rPr>
        <w:t>Giardia</w:t>
      </w:r>
      <w:r>
        <w:t xml:space="preserve"> Dicer </w:t>
      </w:r>
      <w:r w:rsidRPr="00FE5B11">
        <w:rPr>
          <w:i/>
        </w:rPr>
        <w:t>in vitro</w:t>
      </w:r>
      <w:r>
        <w:t xml:space="preserve"> are not comparable to insect Dicer-2. Dicer-2 processing assays have previously been conducted using </w:t>
      </w:r>
      <w:r w:rsidRPr="00FD680B">
        <w:rPr>
          <w:i/>
        </w:rPr>
        <w:t>Drosophila</w:t>
      </w:r>
      <w:r>
        <w:t xml:space="preserve"> cell lysate </w:t>
      </w:r>
      <w:r w:rsidR="005C0E76">
        <w:fldChar w:fldCharType="begin" w:fldLock="1"/>
      </w:r>
      <w:r>
        <w:instrText>ADDIN CSL_CITATION {"citationItems":[{"id":"ITEM-1","itemData":{"DOI":"10.1016/S1046-2023(03)00052-5","ISSN":"1046-2023","abstract":"Double-stranded RNA (dsRNA) triggers the destruction of mRNA sharing sequence with the dsRNA, a phenomenon termed RNA interference (RNAi). The dsRNA is converted by endonucleolytic cleavage into 21- to 23-nt small interfering RNAs (siRNAs), which direct a multiprotein complex, the RNA-induced silencing complex to cleave RNA complementary to the siRNA. RNAi can be recapitulated in vitro in lysates of syncytial blastoderm Drosophila embryos. These lysates reproduce all of the known steps in the RNAi pathway in flies and mammals. Here we explain how to prepare and use Drosophila embryo lysates to dissect the mechanism of RNAi.","author":[{"dropping-particle":"","family":"Haley","given":"Benjamin","non-dropping-particle":"","parse-names":false,"suffix":""},{"dropping-particle":"","family":"Tang","given":"Guiliang","non-dropping-particle":"","parse-names":false,"suffix":""},{"dropping-particle":"","family":"Zamore","given":"Phillip D.","non-dropping-particle":"","parse-names":false,"suffix":""}],"container-title":"Methods","id":"ITEM-1","issue":"4","issued":{"date-parts":[["2003","8","1"]]},"page":"330-336","publisher":"Academic Press","title":"In vitro analysis of RNA interference in Drosophila melanogaster","type":"article-journal","volume":"30"},"uris":["http://www.mendeley.com/documents/?uuid=66c17623-6fbf-34c9-9ec2-0aa3b03e10c0"]}],"mendeley":{"formattedCitation":"(Haley, Tang and Zamore, 2003)","plainTextFormattedCitation":"(Haley, Tang and Zamore, 2003)","previouslyFormattedCitation":"(Haley, Tang and Zamore, 2003)"},"properties":{"noteIndex":0},"schema":"https://github.com/citation-style-language/schema/raw/master/csl-citation.json"}</w:instrText>
      </w:r>
      <w:r w:rsidR="005C0E76">
        <w:fldChar w:fldCharType="separate"/>
      </w:r>
      <w:r w:rsidRPr="00FD680B">
        <w:rPr>
          <w:noProof/>
        </w:rPr>
        <w:t>(Haley, Tang and Zamore, 2003)</w:t>
      </w:r>
      <w:r w:rsidR="005C0E76">
        <w:fldChar w:fldCharType="end"/>
      </w:r>
      <w:r>
        <w:t xml:space="preserve">, and similar assays could be conducted with lysates of both </w:t>
      </w:r>
      <w:r w:rsidRPr="00FD680B">
        <w:rPr>
          <w:i/>
        </w:rPr>
        <w:t>Drosophila</w:t>
      </w:r>
      <w:r>
        <w:t xml:space="preserve"> Kc167 cells and Colorado potato beetle Lepd-SL1 cells in order to examine the difference in Dicer-2 processing of chemically modified dsRNAs between different insect orders. Incubation of unmodified and chemically modified dsRNA in insect cell lysate with background nuclease activity inhibited, but retaining Dicer-2 activity, followed by analysis of the reaction mixtures by gel electrophoresis would indicate whether or not the respective insect Dicer-2 enzymes were capable of processing the chemically modified dsRNAs. Alternatively, recombinant insect Dicer-2 could be expressed in insect cells, and purified for use in similar </w:t>
      </w:r>
      <w:r w:rsidRPr="00FE5B11">
        <w:rPr>
          <w:i/>
        </w:rPr>
        <w:t>in vitro</w:t>
      </w:r>
      <w:r>
        <w:t xml:space="preserve"> assays.  </w:t>
      </w:r>
    </w:p>
    <w:p w:rsidR="00F4503A" w:rsidRDefault="00F4503A" w:rsidP="00F4503A">
      <w:pPr>
        <w:spacing w:line="360" w:lineRule="auto"/>
        <w:ind w:firstLine="284"/>
      </w:pPr>
      <w:r>
        <w:lastRenderedPageBreak/>
        <w:t xml:space="preserve">Similarly, </w:t>
      </w:r>
      <w:r w:rsidRPr="00FE5B11">
        <w:rPr>
          <w:i/>
        </w:rPr>
        <w:t>in vitro</w:t>
      </w:r>
      <w:r>
        <w:t xml:space="preserve"> RISC assembly and target mRNA cleavage assays have previously been performed in </w:t>
      </w:r>
      <w:r w:rsidRPr="009912E4">
        <w:rPr>
          <w:i/>
        </w:rPr>
        <w:t>Drosophila</w:t>
      </w:r>
      <w:r>
        <w:t xml:space="preserve"> cell lysate </w:t>
      </w:r>
      <w:r w:rsidR="005C0E76">
        <w:fldChar w:fldCharType="begin" w:fldLock="1"/>
      </w:r>
      <w:r>
        <w:instrText>ADDIN CSL_CITATION {"citationItems":[{"id":"ITEM-1","itemData":{"DOI":"10.1261/rna.283207","ISSN":"1355-8382","PMID":"17123955","abstract":"In the Drosophila RNA interference (RNAi) pathway, small interfering RNAs (siRNAs) direct Argonaute2 (Ago2), an endonuclease, within the RNA-induced silencing complex (RISC) to cleave complementary mRNA targets. In vitro studies have shown that, for each siRNA duplex, RISC retains only one strand, the guide, and releases the other, the passenger, to form a holo-RISC complex. Here, we have isolated a new Ago2 mutant allele and provide, for the first time, in vivo evidence that endogenous Ago2 slicer activity is important to mount an RNAi response in Drosophila. We demonstrate in vivo that efficient removal of the passenger strand from RISC requires the cleavage activity of Ago2. We have also identified a new intermediate complex in the RISC assembly pathway, pre-RISC, in which Ago2 is stably bound to double-stranded siRNA.","author":[{"dropping-particle":"","family":"Kim","given":"Kevin","non-dropping-particle":"","parse-names":false,"suffix":""},{"dropping-particle":"","family":"Lee","given":"Young Sik","non-dropping-particle":"","parse-names":false,"suffix":""},{"dropping-particle":"","family":"Carthew","given":"Richard W","non-dropping-particle":"","parse-names":false,"suffix":""}],"container-title":"RNA (New York, N.Y.)","id":"ITEM-1","issue":"1","issued":{"date-parts":[["2007","1"]]},"page":"22-9","publisher":"Cold Spring Harbor Laboratory Press","title":"Conversion of pre-RISC to holo-RISC by Ago2 during assembly of RNAi complexes.","type":"article-journal","volume":"13"},"uris":["http://www.mendeley.com/documents/?uuid=6e4afe54-d2a5-3853-b0b7-3ac6aa8c46ea"]}],"mendeley":{"formattedCitation":"(Kim, Lee and Carthew, 2007)","plainTextFormattedCitation":"(Kim, Lee and Carthew, 2007)","previouslyFormattedCitation":"(Kim, Lee and Carthew, 2007)"},"properties":{"noteIndex":0},"schema":"https://github.com/citation-style-language/schema/raw/master/csl-citation.json"}</w:instrText>
      </w:r>
      <w:r w:rsidR="005C0E76">
        <w:fldChar w:fldCharType="separate"/>
      </w:r>
      <w:r w:rsidRPr="009912E4">
        <w:rPr>
          <w:noProof/>
        </w:rPr>
        <w:t>(Kim, Lee and Carthew, 2007)</w:t>
      </w:r>
      <w:r w:rsidR="005C0E76">
        <w:fldChar w:fldCharType="end"/>
      </w:r>
      <w:r>
        <w:t xml:space="preserve">. Incubation of unmodified and chemically modified siRNAs in insect cell lysate, followed by a gel shift assay would indicate whether insect Argonaute-2/RISC components are capable of forming RISCs with chemically modified siRNAs, and if there are differences between insect orders. Additional incubation of a target mRNA, followed by quantification of intact target mRNA would indicate if the RISCs formed with chemically modified siRNAs were active for RNAi. </w:t>
      </w:r>
    </w:p>
    <w:p w:rsidR="00F4503A" w:rsidRDefault="00F4503A" w:rsidP="00F4503A">
      <w:pPr>
        <w:spacing w:line="360" w:lineRule="auto"/>
        <w:ind w:firstLine="284"/>
      </w:pPr>
      <w:r>
        <w:t xml:space="preserve">While assays involving model RNase III/Dicer enzymes such as bacterial RNase III or </w:t>
      </w:r>
      <w:r w:rsidRPr="00884B88">
        <w:rPr>
          <w:i/>
        </w:rPr>
        <w:t xml:space="preserve">Giardia </w:t>
      </w:r>
      <w:r>
        <w:t xml:space="preserve">Dicer may not produce results comparable to insect Dicer-2, the differences in the ability of the two enzymes to process different chemically modified dsRNAs might give insights on other systems. Whether the RNase III domain failing to cleave phosphorothioate linkages in dsRNA, or both dsRBD and PAZ domains being unable to bind phosphorothioate dsRNA is the reason for phosphorothioate dsRNA being resistant to both RNase III and </w:t>
      </w:r>
      <w:r w:rsidRPr="008750E1">
        <w:rPr>
          <w:i/>
        </w:rPr>
        <w:t>Giardia</w:t>
      </w:r>
      <w:r>
        <w:t xml:space="preserve"> Dicer is unclear. However, truncated RNase III enzymes with no dsRBD, consisting of only the RNase III domain itself, are catalytically active </w:t>
      </w:r>
      <w:r w:rsidR="005C0E76">
        <w:fldChar w:fldCharType="begin" w:fldLock="1"/>
      </w:r>
      <w:r>
        <w:instrText>ADDIN CSL_CITATION {"citationItems":[{"id":"ITEM-1","itemData":{"DOI":"10.1111/j.1365-2958.2008.06207.x","ISSN":"0950-382X","author":[{"dropping-particle":"","family":"Redko","given":"Yulia","non-dropping-particle":"","parse-names":false,"suffix":""},{"dropping-particle":"","family":"Bechhofer","given":"David H.","non-dropping-particle":"","parse-names":false,"suffix":""},{"dropping-particle":"","family":"Condon","given":"Ciarán","non-dropping-particle":"","parse-names":false,"suffix":""}],"container-title":"Molecular Microbiology","id":"ITEM-1","issue":"5","issued":{"date-parts":[["2008","6"]]},"page":"1096-1106","title":"Mini-III, an unusual member of the RNase III family of enzymes, catalyses 23S ribosomal RNA maturation in B. subtilis","type":"article-journal","volume":"68"},"uris":["http://www.mendeley.com/documents/?uuid=73d76d9a-d1fc-31a7-8b33-63cd623b0221"]}],"mendeley":{"formattedCitation":"(Redko, Bechhofer and Condon, 2008)","plainTextFormattedCitation":"(Redko, Bechhofer and Condon, 2008)","previouslyFormattedCitation":"(Redko, Bechhofer and Condon, 2008)"},"properties":{"noteIndex":0},"schema":"https://github.com/citation-style-language/schema/raw/master/csl-citation.json"}</w:instrText>
      </w:r>
      <w:r w:rsidR="005C0E76">
        <w:fldChar w:fldCharType="separate"/>
      </w:r>
      <w:r w:rsidRPr="00DE02DC">
        <w:rPr>
          <w:noProof/>
        </w:rPr>
        <w:t>(Redko, Bechhofer and Condon, 2008)</w:t>
      </w:r>
      <w:r w:rsidR="005C0E76">
        <w:fldChar w:fldCharType="end"/>
      </w:r>
      <w:r>
        <w:t xml:space="preserve"> and use of this “Mini-III” enzyme may shed light on this. </w:t>
      </w:r>
      <w:r w:rsidR="002B585B">
        <w:t>Incubation of</w:t>
      </w:r>
      <w:r>
        <w:t xml:space="preserve"> </w:t>
      </w:r>
      <w:r w:rsidR="002B585B">
        <w:t xml:space="preserve">RNase III with phosphorothioate dsRNA also produced conflicting results regarding whether phosphorothioate dsRNA is a good RNase III substrate or not, and this requires further investigation with a variety of dsRNA substrates containing various levels of phosphorothioate modification. </w:t>
      </w:r>
      <w:r>
        <w:t xml:space="preserve">Human Dicer is also similar in structure to insect Dicer-2 and the ability of human Dicer to process chemically modified dsRNAs may give some indication of how insect Dicer-2 will process chemically modified dsRNAs, as well as being of general interest. Additional assays examining the ability of RNase III and </w:t>
      </w:r>
      <w:r w:rsidRPr="00000DC2">
        <w:rPr>
          <w:i/>
        </w:rPr>
        <w:t>Giardia</w:t>
      </w:r>
      <w:r>
        <w:t xml:space="preserve"> Dicer to process dsRNA with chemical modifications in only one strand, may also clarify if differences in Dicer-2 processing are responsible for the differences in RNAi efficacy observed in WCR for dsRNAs with chemical modifications in the guide strand, passenger strand, or both.  </w:t>
      </w:r>
    </w:p>
    <w:p w:rsidR="00F4503A" w:rsidRDefault="00F4503A" w:rsidP="00F4503A">
      <w:pPr>
        <w:spacing w:line="360" w:lineRule="auto"/>
        <w:ind w:firstLine="284"/>
      </w:pPr>
      <w:r>
        <w:t xml:space="preserve">The A-form helix structure of dsRNA is important for the recognition and successful processing of dsRNA by several RNAi pathway proteins </w:t>
      </w:r>
      <w:r w:rsidR="005C0E76">
        <w:fldChar w:fldCharType="begin" w:fldLock="1"/>
      </w:r>
      <w:r>
        <w:instrText>ADDIN CSL_CITATION {"citationItems":[{"id":"ITEM-1","itemData":{"DOI":"10.1021/ar200253u","ISSN":"1520-4898","PMID":"22304792","abstract":"Gene silencing by RNA triggers is an ancient, evolutionarily conserved, and widespread phenomenon. This process, known as RNA interference (RNAi), occurs when double-stranded RNA helices induce cleavage of their complementary mRNAs. Because these RNA molecules can be introduced exogenously as small interfering RNAs (siRNAs), RNAi has become an everyday experimental tool in laboratory research. In addition, the number of RNA-based therapeutics that are currently in clinical trials for a variety of human diseases demonstrate the therapeutic potential of RNAi. In this Account, we focus on our current understanding of the structure and function of various classes of RNAi triggers and how this knowledge has contributed to our understanding of the biogenesis and catalytic functions of siRNA and microRNA in mammalian cells. Mechanistic studies to understand the structure and function of small RNAs that induce RNAi have illuminated broad functions of the ancient RNAi machinery in animals and plants. In addition, such studies have provided insight to identify endogenous physiological gene silencing RNA triggers that engage functional machineries similar to siRNAs. Several endogenous small RNA species have been identified: small noncoding RNAs (microRNAs), piwi-interacting RNAs (piRNAs), and endogenous siRNAs (endo-siRNAs). microRNAs are the most widespread class of small RNAs in mammalian cells. Despite their importance in biology and medicine, the molecular and cellular mechanisms of microRNA biogenesis and function are not fully understood. We provide an overview of the current understanding of how these molecules are synthesized within cells and how they act on gene targets. Interesting questions remain both for understanding the effects of modifications and editing on microRNAs and the interactions between microRNAs and other cellular RNAs such as long noncoding RNAs.","author":[{"dropping-particle":"","family":"Li","given":"Zhonghan","non-dropping-particle":"","parse-names":false,"suffix":""},{"dropping-particle":"","family":"Rana","given":"Tariq M","non-dropping-particle":"","parse-names":false,"suffix":""}],"container-title":"Accounts of chemical research","id":"ITEM-1","issue":"7","issued":{"date-parts":[["2012","7","17"]]},"page":"1122-31","publisher":"American Chemical Society","title":"Molecular mechanisms of RNA-triggered gene silencing machineries.","type":"article-journal","volume":"45"},"uris":["http://www.mendeley.com/documents/?uuid=919ca236-5b4c-33d8-baa2-e34529513664"]}],"mendeley":{"formattedCitation":"(Li and Rana, 2012)","plainTextFormattedCitation":"(Li and Rana, 2012)","previouslyFormattedCitation":"(Li and Rana, 2012)"},"properties":{"noteIndex":0},"schema":"https://github.com/citation-style-language/schema/raw/master/csl-citation.json"}</w:instrText>
      </w:r>
      <w:r w:rsidR="005C0E76">
        <w:fldChar w:fldCharType="separate"/>
      </w:r>
      <w:r w:rsidRPr="006A6C49">
        <w:rPr>
          <w:noProof/>
        </w:rPr>
        <w:t>(Li and Rana, 2012)</w:t>
      </w:r>
      <w:r w:rsidR="005C0E76">
        <w:fldChar w:fldCharType="end"/>
      </w:r>
      <w:r>
        <w:t xml:space="preserve">. Nanoscale atomic force microscopy (AFM) has recently been used in order to analyse dsRNA </w:t>
      </w:r>
      <w:r w:rsidR="005C0E76">
        <w:fldChar w:fldCharType="begin" w:fldLock="1"/>
      </w:r>
      <w:r>
        <w:instrText>ADDIN CSL_CITATION {"citationItems":[{"id":"ITEM-1","itemData":{"DOI":"10.1039/c5nr07445b","ISSN":"2040-3372","PMID":"26876486","abstract":"Double-stranded (ds) RNA mediates the suppression of specific gene expression, it is the genetic material of a number of viruses, and a key activator of the innate immune response against viral infections. The ever increasing list of roles played by dsRNA in the cell and its potential biotechnological applications over the last decade has raised an interest for the characterization of its mechanical properties and structure, and that includes approaches using Atomic Force Microscopy (AFM) and other single-molecule techniques. Recent reports have resolved the structure of dsDNA with AFM at unprecedented resolution. However, an equivalent study with dsRNA is still lacking. Here, we have visualized the double helix of dsRNA under near-physiological conditions and at sufficient resolution to resolve the A-form sub-helical pitch periodicity. We have employed different high-sensitive force-detection methods and obtained images with similar spatial resolution. Therefore, we show here that the limiting factors for high-resolution AFM imaging of soft materials in liquid medium are, rather than the imaging mode, the force between the tip and the sample and the sharpness of the tip apex.","author":[{"dropping-particle":"","family":"Ares","given":"Pablo","non-dropping-particle":"","parse-names":false,"suffix":""},{"dropping-particle":"","family":"Fuentes-Perez","given":"Maria Eugenia","non-dropping-particle":"","parse-names":false,"suffix":""},{"dropping-particle":"","family":"Herrero-Galán","given":"Elías","non-dropping-particle":"","parse-names":false,"suffix":""},{"dropping-particle":"","family":"Valpuesta","given":"José M","non-dropping-particle":"","parse-names":false,"suffix":""},{"dropping-particle":"","family":"Gil","given":"Adriana","non-dropping-particle":"","parse-names":false,"suffix":""},{"dropping-particle":"","family":"Gomez-Herrero","given":"Julio","non-dropping-particle":"","parse-names":false,"suffix":""},{"dropping-particle":"","family":"Moreno-Herrero","given":"Fernando","non-dropping-particle":"","parse-names":false,"suffix":""}],"container-title":"Nanoscale","id":"ITEM-1","issue":"23","issued":{"date-parts":[["2016","6","9"]]},"page":"11818-26","title":"High resolution atomic force microscopy of double-stranded RNA.","type":"article-journal","volume":"8"},"uris":["http://www.mendeley.com/documents/?uuid=f050eeb7-2a89-36e8-a4ff-6ef47e8412a7"]}],"mendeley":{"formattedCitation":"(Ares &lt;i&gt;et al.&lt;/i&gt;, 2016)","plainTextFormattedCitation":"(Ares et al., 2016)","previouslyFormattedCitation":"(Ares &lt;i&gt;et al.&lt;/i&gt;, 2016)"},"properties":{"noteIndex":0},"schema":"https://github.com/citation-style-language/schema/raw/master/csl-citation.json"}</w:instrText>
      </w:r>
      <w:r w:rsidR="005C0E76">
        <w:fldChar w:fldCharType="separate"/>
      </w:r>
      <w:r w:rsidRPr="006A6C49">
        <w:rPr>
          <w:noProof/>
        </w:rPr>
        <w:t xml:space="preserve">(Ares </w:t>
      </w:r>
      <w:r w:rsidRPr="006A6C49">
        <w:rPr>
          <w:i/>
          <w:noProof/>
        </w:rPr>
        <w:t>et al.</w:t>
      </w:r>
      <w:r w:rsidRPr="006A6C49">
        <w:rPr>
          <w:noProof/>
        </w:rPr>
        <w:t>, 2016)</w:t>
      </w:r>
      <w:r w:rsidR="005C0E76">
        <w:fldChar w:fldCharType="end"/>
      </w:r>
      <w:r>
        <w:t xml:space="preserve"> and DNA, allowing structures such as the major and minor grooves to be detected </w:t>
      </w:r>
      <w:r w:rsidR="005C0E76">
        <w:fldChar w:fldCharType="begin" w:fldLock="1"/>
      </w:r>
      <w:r>
        <w:instrText>ADDIN CSL_CITATION {"citationItems":[{"id":"ITEM-1","itemData":{"DOI":"10.3389/fmolb.2015.00001","ISSN":"2296-889X","PMID":"25988169","abstract":"Short DNA fragments, resulting from ionizing radiation induced DNA double strand breaks (DSBs), or released from cells as a result of physiological processes and circulating in the blood stream, may play important roles in cellular function and potentially in disease diagnosis and early intervention. The size distribution of DNA fragments contribute to knowledge of underlining biological processes. Traditional techniques used in radiation biology for DNA fragment size measurements lack the resolution to quantify short DNA fragments. For the measurement of cell-free circulating DNA (ccfDNA), real time quantitative Polymerase Chain Reaction (q-PCR) provides quantification of DNA fragment sizes, concentration and specific gene mutation. A complementary approach, the imaging-based technique using Atomic Force Microscopy (AFM) provides direct visualization and measurement of individual DNA fragments. In this review, we summarize and discuss the application of AFM-based measurements of DNA fragment sizes. Imaging of broken plasmid DNA, as a result of exposure to ionizing radiation, as well as ccfDNA in clinical specimens offer an innovative approach for studies of short DNA fragments and their biological functions.","author":[{"dropping-particle":"","family":"Pang","given":"Dalong","non-dropping-particle":"","parse-names":false,"suffix":""},{"dropping-particle":"","family":"Thierry","given":"Alain R","non-dropping-particle":"","parse-names":false,"suffix":""},{"dropping-particle":"","family":"Dritschilo","given":"Anatoly","non-dropping-particle":"","parse-names":false,"suffix":""}],"container-title":"Frontiers in molecular biosciences","id":"ITEM-1","issued":{"date-parts":[["2015"]]},"page":"1","publisher":"Frontiers Media SA","title":"DNA studies using atomic force microscopy: capabilities for measurement of short DNA fragments.","type":"article-journal","volume":"2"},"uris":["http://www.mendeley.com/documents/?uuid=fa7abb19-f2f5-3369-a2ef-3dc93cd34be6"]}],"mendeley":{"formattedCitation":"(Pang, Thierry and Dritschilo, 2015)","plainTextFormattedCitation":"(Pang, Thierry and Dritschilo, 2015)","previouslyFormattedCitation":"(Pang, Thierry and Dritschilo, 2015)"},"properties":{"noteIndex":0},"schema":"https://github.com/citation-style-language/schema/raw/master/csl-citation.json"}</w:instrText>
      </w:r>
      <w:r w:rsidR="005C0E76">
        <w:fldChar w:fldCharType="separate"/>
      </w:r>
      <w:r w:rsidRPr="0046364E">
        <w:rPr>
          <w:noProof/>
        </w:rPr>
        <w:t>(Pang, Thierry and Dritschilo, 2015)</w:t>
      </w:r>
      <w:r w:rsidR="005C0E76">
        <w:fldChar w:fldCharType="end"/>
      </w:r>
      <w:r>
        <w:t xml:space="preserve">. AFM could potentially be used to determine if chemically modified dsRNA demonstrated any conformational shifts which might affect the ability of RNAi pathway proteins to process. </w:t>
      </w:r>
    </w:p>
    <w:p w:rsidR="00F4503A" w:rsidRDefault="00F4503A" w:rsidP="00F4503A">
      <w:pPr>
        <w:spacing w:line="360" w:lineRule="auto"/>
        <w:ind w:firstLine="284"/>
      </w:pPr>
    </w:p>
    <w:p w:rsidR="00F4503A" w:rsidRPr="00FE5B11" w:rsidRDefault="00F4503A" w:rsidP="00F4503A">
      <w:pPr>
        <w:spacing w:line="360" w:lineRule="auto"/>
        <w:ind w:firstLine="284"/>
      </w:pPr>
      <w:r>
        <w:t xml:space="preserve">Combining the results already obtained with the suggested further experiments outlined above for both Kc167 and Lepd-SL1 cells, will allow greater insight into why differences in RNAi efficacy </w:t>
      </w:r>
      <w:r>
        <w:lastRenderedPageBreak/>
        <w:t xml:space="preserve">were observed for the same chemically modified dsRNA between </w:t>
      </w:r>
      <w:r w:rsidRPr="008F1E7D">
        <w:rPr>
          <w:i/>
        </w:rPr>
        <w:t>Dros</w:t>
      </w:r>
      <w:r>
        <w:rPr>
          <w:i/>
        </w:rPr>
        <w:t>o</w:t>
      </w:r>
      <w:r w:rsidRPr="008F1E7D">
        <w:rPr>
          <w:i/>
        </w:rPr>
        <w:t>phila</w:t>
      </w:r>
      <w:r>
        <w:t xml:space="preserve"> cells and WCR larvae. The results of the additional assays will be particularly useful in determining if differences in RNAi efficacy are due to insect order, or differences between cell culture models and live insects. </w:t>
      </w:r>
      <w:r w:rsidRPr="00FE5B11">
        <w:rPr>
          <w:i/>
        </w:rPr>
        <w:t>In vitro</w:t>
      </w:r>
      <w:r>
        <w:rPr>
          <w:i/>
        </w:rPr>
        <w:t xml:space="preserve"> </w:t>
      </w:r>
      <w:r>
        <w:t xml:space="preserve">Dicer-2 processing, RISC assembly, and RISC target mRNA cleavage assays would effectively allow each major step of the RNAi process to be studied in isolation, in order to determine which of these processes different chemically modified dsRNAs can successfully participate in in different insect orders. </w:t>
      </w:r>
    </w:p>
    <w:p w:rsidR="00F4503A" w:rsidRPr="00147D84" w:rsidRDefault="00F4503A" w:rsidP="00F4503A">
      <w:pPr>
        <w:spacing w:line="360" w:lineRule="auto"/>
        <w:ind w:firstLine="284"/>
        <w:rPr>
          <w:color w:val="FF0000"/>
        </w:rPr>
      </w:pPr>
      <w:r>
        <w:t xml:space="preserve">Intracellular trafficking of dsRNAs between uptake and entry into the RNAi pathway may also be affected by chemical modifications. Assays using chemically modified dsRNA containing additional fluorescent tags could potentially be used in conjunction with fluorescence microscopy and molecular biology approaches to track the progress of chemically modified dsRNA to different sub-cellular compartments, and determine if the dsRNA is able to escape the endocytic trafficking system prior to lysosomal degradation, in order to enter the RNAi pathway </w:t>
      </w:r>
      <w:r w:rsidR="005C0E76">
        <w:fldChar w:fldCharType="begin" w:fldLock="1"/>
      </w:r>
      <w:r>
        <w:instrText>ADDIN CSL_CITATION {"citationItems":[{"id":"ITEM-1","itemData":{"DOI":"10.1242/jcs.066399","ISSN":"1477-9137","PMID":"20356929","abstract":"RNA interference (RNAi)-based technologies offer an attractive strategy for the sequence-specific silencing of disease-causing genes. The application of small interfering (si)RNAs as potential therapeutic agents requires safe and effective methods for their delivery to the cytoplasm of the target cells and tissues. Recent studies have shown significant progress in the development of targeting reagents that facilitate the recognition of and siRNA delivery to specific cell types. However, most of these delivery approaches are not optimized to enable the intracellular trafficking of the siRNAs into the cytoplasm where they must associate with the RNA-induced silencing complex (RISC) to direct the cleavage of mRNAs bearing complementary binding sites. In particular, the trafficking of siRNAs from endosomes into the cytoplasm represents a major rate-limiting step for many delivery approaches. This Commentary focuses on novel strategies designed to enhance endosomal escape and thereby increase the efficacy of siRNA-mediated gene silencing.","author":[{"dropping-particle":"","family":"Dominska","given":"Monika","non-dropping-particle":"","parse-names":false,"suffix":""},{"dropping-particle":"","family":"Dykxhoorn","given":"Derek M","non-dropping-particle":"","parse-names":false,"suffix":""}],"container-title":"Journal of cell science","id":"ITEM-1","issue":"Pt 8","issued":{"date-parts":[["2010","4","15"]]},"page":"1183-9","publisher":"The Company of Biologists Ltd","title":"Breaking down the barriers: siRNA delivery and endosome escape.","type":"article-journal","volume":"123"},"uris":["http://www.mendeley.com/documents/?uuid=c0fcd2b9-d83f-3478-9857-326dbdad6ec7"]}],"mendeley":{"formattedCitation":"(Dominska and Dykxhoorn, 2010)","plainTextFormattedCitation":"(Dominska and Dykxhoorn, 2010)","previouslyFormattedCitation":"(Dominska and Dykxhoorn, 2010)"},"properties":{"noteIndex":0},"schema":"https://github.com/citation-style-language/schema/raw/master/csl-citation.json"}</w:instrText>
      </w:r>
      <w:r w:rsidR="005C0E76">
        <w:fldChar w:fldCharType="separate"/>
      </w:r>
      <w:r w:rsidRPr="00026473">
        <w:rPr>
          <w:noProof/>
        </w:rPr>
        <w:t>(Dominska and Dykxhoorn, 2010)</w:t>
      </w:r>
      <w:r w:rsidR="005C0E76">
        <w:fldChar w:fldCharType="end"/>
      </w:r>
      <w:r>
        <w:t xml:space="preserve">. </w:t>
      </w:r>
    </w:p>
    <w:p w:rsidR="00F4503A" w:rsidRDefault="00F4503A" w:rsidP="00F4503A">
      <w:pPr>
        <w:spacing w:line="360" w:lineRule="auto"/>
        <w:ind w:firstLine="284"/>
        <w:rPr>
          <w:color w:val="FF0000"/>
        </w:rPr>
      </w:pPr>
      <w:r>
        <w:t xml:space="preserve">In luciferase assays in insect cells, low concentrations of targeting dsRNA or the presence of non-targeting dsRNA, appeared to sometimes increase the intensity of the firefly luciferase reporter fluorescence, above the amount expected for no mRNA knockdown. It is known that RNAi-related genes are upregulated in response to dsRNA in insect cells </w:t>
      </w:r>
      <w:r w:rsidR="005C0E76">
        <w:fldChar w:fldCharType="begin" w:fldLock="1"/>
      </w:r>
      <w:r>
        <w:instrText>ADDIN CSL_CITATION {"citationItems":[{"id":"ITEM-1","itemData":{"DOI":"10.1016/j.ibmb.2012.05.001","ISSN":"09651748","PMID":"22634162","abstract":"Gene silencing by RNA interference (RNAi) can be a useful reverse genetics tool in eukaryotes. However, some species appear refractory to RNAi. To study the role of the differential expression of RNAi proteins in RNAi, we isolated partial dicer-2, argonaute-2 translin, vasa intronic gene (VIG) and tudor staphylococcus/micrococcal nuclease (TSN) genes from the tobacco hornworm, Manduca sexta, a well-studied insect model which we have found to be variably sensitive to RNAi. We found that the RNAi gene, translin, was expressed at minimal levels in M. sexta tissue and that there is a specific, dose-dependent upregulation of dicer-2 and argonaute-2 expression in response to injection with dsRNA, but no upregulation of the other genes tested. Upregulation of gene expression was rapid and transient. In order to prolong the upregulation we introduced multiple doses of dsRNA, resulting in multiple peaks of dicer-2 gene expression. Our results have implications for the design of RNAi experiments and may help to explain differences in the sensitivity of eukaryotic organisms to RNAi.","author":[{"dropping-particle":"","family":"Garbutt","given":"Jennie S.","non-dropping-particle":"","parse-names":false,"suffix":""},{"dropping-particle":"","family":"Reynolds","given":"Stuart E.","non-dropping-particle":"","parse-names":false,"suffix":""}],"container-title":"Insect Biochemistry and Molecular Biology","id":"ITEM-1","issue":"9","issued":{"date-parts":[["2012","9"]]},"page":"621-628","title":"Induction of RNA interference genes by double-stranded RNA; implications for susceptibility to RNA interference","type":"article-journal","volume":"42"},"uris":["http://www.mendeley.com/documents/?uuid=624b89a6-4111-3e1f-a1b8-48e6e18b5607"]}],"mendeley":{"formattedCitation":"(Garbutt and Reynolds, 2012)","plainTextFormattedCitation":"(Garbutt and Reynolds, 2012)","previouslyFormattedCitation":"(Garbutt and Reynolds, 2012)"},"properties":{"noteIndex":0},"schema":"https://github.com/citation-style-language/schema/raw/master/csl-citation.json"}</w:instrText>
      </w:r>
      <w:r w:rsidR="005C0E76">
        <w:fldChar w:fldCharType="separate"/>
      </w:r>
      <w:r w:rsidRPr="00C072BB">
        <w:rPr>
          <w:noProof/>
        </w:rPr>
        <w:t>(Garbutt and Reynolds, 2012)</w:t>
      </w:r>
      <w:r w:rsidR="005C0E76">
        <w:fldChar w:fldCharType="end"/>
      </w:r>
      <w:r>
        <w:t>. It is possible there is some sort of more general upregulation that occurs as a result of the presence of dsRNA, which leads to the increase in the reporter protein level. This could be investigated by comparing the RNAi effect observed over time for low concentrations of both targeting and non-targeting dsRNA.  Alternatively this effect may be an artefact of insect cell based systems that is irrelevant for live insects. However, determining if this is the case may help to rule out this and similar artefacts when comparing results from insect cell culture assays to live insect assays.</w:t>
      </w:r>
    </w:p>
    <w:p w:rsidR="00F4503A" w:rsidRDefault="00F4503A" w:rsidP="00F4503A">
      <w:pPr>
        <w:spacing w:line="360" w:lineRule="auto"/>
        <w:ind w:firstLine="284"/>
      </w:pPr>
    </w:p>
    <w:p w:rsidR="00F4503A" w:rsidRDefault="00F4503A" w:rsidP="00F4503A">
      <w:pPr>
        <w:spacing w:line="360" w:lineRule="auto"/>
        <w:ind w:firstLine="284"/>
      </w:pPr>
      <w:r>
        <w:t xml:space="preserve">A major aspect of improving the efficacy of dsRNA base biocontrols is increasing dsRNA resistance to degradation by insect and environmental nucleases. Results obtained here indicate that phosphorothioate dsRNA is more resistant to stink bug nucleases than unmodified dsRNAs, whilst 2’-fluoro dsRNA is less resistant to these nucleases than unmodified dsRNA. Further experiments into the resistance of different chemically modified dsRNAs to nucleases from a greater variety of insect species, as well as nucleases from different insect body fluids such as gut secretions and hemolymph, might indicate in which insect species certain dsRNA chemical modifications might have the greatest impact on RNAi efficacy. </w:t>
      </w:r>
    </w:p>
    <w:p w:rsidR="00F4503A" w:rsidRDefault="00F4503A" w:rsidP="00F4503A">
      <w:pPr>
        <w:spacing w:line="360" w:lineRule="auto"/>
        <w:ind w:firstLine="284"/>
      </w:pPr>
      <w:r>
        <w:lastRenderedPageBreak/>
        <w:t xml:space="preserve">Environmental factors such as degradation of dsRNA by soil nucleases and UV radiation from the sun may also be affected by dsRNA chemical modifications. Both stability of dsRNA in soil </w:t>
      </w:r>
      <w:r w:rsidR="005C0E76">
        <w:fldChar w:fldCharType="begin" w:fldLock="1"/>
      </w:r>
      <w:r>
        <w:instrText>ADDIN CSL_CITATION {"citationItems":[{"id":"ITEM-1","itemData":{"DOI":"10.1371/journal.pone.0093155","ISSN":"1932-6203","abstract":"A laboratory soil degradation study was conducted to determine the biodegradation potential of a DvSnf7 dsRNA transcript derived from a Monsanto genetically modified (GM) maize product that confers resistance to corn rootworm (CRW; Diabrotica spp.). This study provides new information to improve the environmental assessment of dsRNAs that become pesticidal through an RNAi process. Three agricultural soils differing in their physicochemical characteristics were obtained from the U.S., Illinois (IL; silt loam), Missouri (MO; loamy sand) and North Dakota (ND; clay loam), and exposed to the target dsRNA by incorporating insect-protected maize biomass and purified (in vitro-transcribed) DvSnf7 RNA into soil. The GM and control (non-GM maize) materials were added to each soil and incubated at ca. 22°C for 48 hours (h). Samples were collected at 12 time intervals during the incubation period, extracted, and analyzed using QuantiGene molecular analysis and insect bioassay methods. The DT50 (half-life) values for DvSnf7 RNA in IL, MO, and ND soils were 19, 28, and 15 h based on QuantiGene, and 18, 29, and 14 h based on insect bioassay, respectively. Furthermore, the DT90 (time to 90% degradation) values for DvSnf7 RNA in all three soils were &lt;35 h. These results indicate that DvSnf7 RNA was degraded and biological activity was undetectable within approximately 2 days after application to soil, regardless of texture, pH, clay content and other soil differences. Furthermore, soil-incorporated DvSnf7 RNA was non-detectable in soil after 48 h, as measured by QuantiGene, at levels ranging more than two orders of magnitude (0.3, 1.5, 7.5 and 37.5 µg RNA/g soil). Results from this study indicate that the DvSnf7 dsRNA is unlikely to persist or accumulate in the environment. Furthermore, the rapid degradation of DvSnf7 dsRNA provides a basis to define relevant exposure scenarios for future RNA-based agricultural products.","author":[{"dropping-particle":"","family":"Dubelman","given":"Samuel","non-dropping-particle":"","parse-names":false,"suffix":""},{"dropping-particle":"","family":"Fischer","given":"Joshua","non-dropping-particle":"","parse-names":false,"suffix":""},{"dropping-particle":"","family":"Zapata","given":"Fatima","non-dropping-particle":"","parse-names":false,"suffix":""},{"dropping-particle":"","family":"Huizinga","given":"Kristin","non-dropping-particle":"","parse-names":false,"suffix":""},{"dropping-particle":"","family":"Jiang","given":"Changjian","non-dropping-particle":"","parse-names":false,"suffix":""},{"dropping-particle":"","family":"Uffman","given":"Joshua","non-dropping-particle":"","parse-names":false,"suffix":""},{"dropping-particle":"","family":"Levine","given":"Steven","non-dropping-particle":"","parse-names":false,"suffix":""},{"dropping-particle":"","family":"Carson","given":"David","non-dropping-particle":"","parse-names":false,"suffix":""}],"container-title":"PLoS ONE","editor":[{"dropping-particle":"","family":"Smagghe","given":"Guy","non-dropping-particle":"","parse-names":false,"suffix":""}],"id":"ITEM-1","issue":"3","issued":{"date-parts":[["2014","3","27"]]},"page":"e93155","publisher":"Public Library of Science","title":"Environmental Fate of Double-Stranded RNA in Agricultural Soils","type":"article-journal","volume":"9"},"uris":["http://www.mendeley.com/documents/?uuid=b3479b3f-460c-3c05-9dbb-56814777b613"]}],"mendeley":{"formattedCitation":"(Dubelman &lt;i&gt;et al.&lt;/i&gt;, 2014)","plainTextFormattedCitation":"(Dubelman et al., 2014)","previouslyFormattedCitation":"(Dubelman &lt;i&gt;et al.&lt;/i&gt;, 2014)"},"properties":{"noteIndex":0},"schema":"https://github.com/citation-style-language/schema/raw/master/csl-citation.json"}</w:instrText>
      </w:r>
      <w:r w:rsidR="005C0E76">
        <w:fldChar w:fldCharType="separate"/>
      </w:r>
      <w:r w:rsidRPr="008E2E16">
        <w:rPr>
          <w:noProof/>
        </w:rPr>
        <w:t xml:space="preserve">(Dubelman </w:t>
      </w:r>
      <w:r w:rsidRPr="008E2E16">
        <w:rPr>
          <w:i/>
          <w:noProof/>
        </w:rPr>
        <w:t>et al.</w:t>
      </w:r>
      <w:r w:rsidRPr="008E2E16">
        <w:rPr>
          <w:noProof/>
        </w:rPr>
        <w:t>, 2014)</w:t>
      </w:r>
      <w:r w:rsidR="005C0E76">
        <w:fldChar w:fldCharType="end"/>
      </w:r>
      <w:r>
        <w:t xml:space="preserve"> and UV degradation of dsRNA </w:t>
      </w:r>
      <w:r w:rsidR="005C0E76">
        <w:fldChar w:fldCharType="begin" w:fldLock="1"/>
      </w:r>
      <w:r>
        <w:instrText>ADDIN CSL_CITATION {"citationItems":[{"id":"ITEM-1","itemData":{"DOI":"10.1002/ps.4056","ISSN":"1526498X","author":[{"dropping-particle":"","family":"San Miguel","given":"Keri","non-dropping-particle":"","parse-names":false,"suffix":""},{"dropping-particle":"","family":"Scott","given":"Jeffrey G","non-dropping-particle":"","parse-names":false,"suffix":""}],"container-title":"Pest Management Science","id":"ITEM-1","issue":"February","issued":{"date-parts":[["2015"]]},"page":"n/a-n/a","title":"The next generation of insecticides: dsRNA is stable as a foliar-applied insecticide","type":"article-journal"},"uris":["http://www.mendeley.com/documents/?uuid=0e666d3c-1776-452f-ae6b-c802a97ac443"]}],"mendeley":{"formattedCitation":"(San Miguel and Scott, 2015)","plainTextFormattedCitation":"(San Miguel and Scott, 2015)","previouslyFormattedCitation":"(San Miguel and Scott, 2015)"},"properties":{"noteIndex":0},"schema":"https://github.com/citation-style-language/schema/raw/master/csl-citation.json"}</w:instrText>
      </w:r>
      <w:r w:rsidR="005C0E76">
        <w:fldChar w:fldCharType="separate"/>
      </w:r>
      <w:r w:rsidRPr="008E2E16">
        <w:rPr>
          <w:noProof/>
        </w:rPr>
        <w:t>(San Miguel and Scott, 2015)</w:t>
      </w:r>
      <w:r w:rsidR="005C0E76">
        <w:fldChar w:fldCharType="end"/>
      </w:r>
      <w:r>
        <w:t xml:space="preserve"> have previously been investigated with unmodified dsRNA, and are factors which may affect the efficacy of a dsRNA based biocontrol in the field. Incubation of unmodified and chemically modified dsRNAs in soil, or in water contaminated with soil nucleases, followed by gel electrophoresis analysis would allow comparison of the effects of chemical modifications on dsRNA stability to nucleases in soil. Exposure of unmodified and chemically modified dsRNAs to UV radiation using a UV crosslinker, followed by gel electrophoresis analysis would allow comparison of the effects of chemical modifications on stability of dsRNA to UV radiation.</w:t>
      </w:r>
    </w:p>
    <w:p w:rsidR="00F4503A" w:rsidRPr="007558C1" w:rsidRDefault="00F4503A" w:rsidP="00F4503A">
      <w:pPr>
        <w:spacing w:line="360" w:lineRule="auto"/>
        <w:ind w:firstLine="284"/>
        <w:rPr>
          <w:color w:val="FF0000"/>
        </w:rPr>
      </w:pPr>
      <w:r>
        <w:t xml:space="preserve">As PS modified dsRNA showed increased nuclease resistance to stink bug salival nucleases compared to unmodified dsRNA, there is the possibility that feeding of PS dsRNA to stink bugs might result in an increased RNAi effect and increased mortality compared to unmodified dsRNA. As the feeding assays attempted using PS modified dsRNA were unsuccessful, this remains to be fully tested, and is a priority for future work. </w:t>
      </w:r>
    </w:p>
    <w:p w:rsidR="00F4503A" w:rsidRDefault="00F4503A" w:rsidP="00F4503A">
      <w:pPr>
        <w:spacing w:line="360" w:lineRule="auto"/>
        <w:ind w:firstLine="284"/>
      </w:pPr>
      <w:r>
        <w:t xml:space="preserve">There is also the possibility that modified dsRNA might show improved stability and therefore improved RNAi activity over a shorter time scale than that tested in the WCR soil feeding assay. There is also the possibility that a formulation in conjunction with PS modifications could improve the stability and active lifetime of dsRNA in soil, though this would likely only be to a small degree and would not be industrially relevant. </w:t>
      </w:r>
    </w:p>
    <w:p w:rsidR="00F4503A" w:rsidRDefault="00F4503A" w:rsidP="00F4503A">
      <w:pPr>
        <w:spacing w:line="360" w:lineRule="auto"/>
        <w:ind w:firstLine="284"/>
      </w:pPr>
    </w:p>
    <w:p w:rsidR="00741158" w:rsidRDefault="00F4503A" w:rsidP="00F4503A">
      <w:pPr>
        <w:widowControl w:val="0"/>
        <w:autoSpaceDE w:val="0"/>
        <w:autoSpaceDN w:val="0"/>
        <w:adjustRightInd w:val="0"/>
        <w:spacing w:after="120" w:line="360" w:lineRule="auto"/>
        <w:ind w:firstLine="284"/>
      </w:pPr>
      <w:r>
        <w:t xml:space="preserve">Finally, the effects of other chemical modifications on RNAi efficacy in insects could also be examined using luciferase assays, live insect feeding assays, nuclease assays and </w:t>
      </w:r>
      <w:r w:rsidRPr="00A735BD">
        <w:rPr>
          <w:i/>
        </w:rPr>
        <w:t>in vitro</w:t>
      </w:r>
      <w:r>
        <w:t xml:space="preserve"> assays previously described. Potential modifications for consideration include 2’-O-Me, locked nucleic acid (LNA), unlocked nucleic acid (UNA), as well as greater amounts of previously investigated chemical modifications, such as 3PS, 4PS, 3 2’F etc </w:t>
      </w:r>
      <w:r w:rsidR="005C0E76">
        <w:fldChar w:fldCharType="begin" w:fldLock="1"/>
      </w:r>
      <w:r w:rsidR="00C57A7E">
        <w:instrText>ADDIN CSL_CITATION {"citationItems":[{"id":"ITEM-1","itemData":{"DOI":"10.1016/j.bmcl.2016.07.064","ISSN":"0960894X","PMID":"27503684","abstract":"Single-stranded silencing RNAs (ss siRNA), while not as potent as duplex RNAs, have the potential to become a novel platform technology in RNA interference based gene silencing by virtue of their simplicity and plausibly favorable characteristics in pharmacokinetics and biodistribution. Like other therapeutic pharmaceutical agents, ss siRNA can be optimized to achieve higher potency through a structure-activity based approach. Systematic chemical modification at each position of a 21-mer oligonucleotide identified 2',5'-linked 3'-deoxythymidine (3dT) at position 1 and locked nucleic acids (LNAs) at the seed region as key components to afford significant enhancement in knockdown activity both in vitro and in vivo. Further optimization by additional chemical modifications should enable ss siRNA as an alternative gene silencing modality.","author":[{"dropping-particle":"","family":"Chang","given":"Wonsuk","non-dropping-particle":"","parse-names":false,"suffix":""},{"dropping-particle":"","family":"Pei","given":"Yi","non-dropping-particle":"","parse-names":false,"suffix":""},{"dropping-particle":"","family":"Guidry","given":"Erin N.","non-dropping-particle":"","parse-names":false,"suffix":""},{"dropping-particle":"","family":"Zewge","given":"Daniel","non-dropping-particle":"","parse-names":false,"suffix":""},{"dropping-particle":"","family":"Parish","given":"Craig A.","non-dropping-particle":"","parse-names":false,"suffix":""},{"dropping-particle":"","family":"Sherer","given":"Edward C.","non-dropping-particle":"","parse-names":false,"suffix":""},{"dropping-particle":"","family":"DiMuzio","given":"Jillian","non-dropping-particle":"","parse-names":false,"suffix":""},{"dropping-particle":"","family":"Zhang","given":"Hangchun","non-dropping-particle":"","parse-names":false,"suffix":""},{"dropping-particle":"","family":"South","given":"Victoria J.","non-dropping-particle":"","parse-names":false,"suffix":""},{"dropping-particle":"","family":"Strapps","given":"Walter R.","non-dropping-particle":"","parse-names":false,"suffix":""},{"dropping-particle":"","family":"Sepp-Lorenzino","given":"Laura","non-dropping-particle":"","parse-names":false,"suffix":""},{"dropping-particle":"","family":"Colletti","given":"Steven L.","non-dropping-particle":"","parse-names":false,"suffix":""},{"dropping-particle":"","family":"Stanton","given":"Matthew G.","non-dropping-particle":"","parse-names":false,"suffix":""}],"container-title":"Bioorganic &amp; Medicinal Chemistry Letters","id":"ITEM-1","issue":"18","issued":{"date-parts":[["2016","9","15"]]},"page":"4513-4517","title":"Systematic chemical modifications of single stranded siRNAs significantly improved CTNNB1 mRNA silencing","type":"article-journal","volume":"26"},"uris":["http://www.mendeley.com/documents/?uuid=b17237a9-0399-346a-9f9a-19402a4180b8"]},{"id":"ITEM-2","itemData":{"DOI":"10.1021/acsomega.7b00291","ISSN":"2470-1343","PMID":"29450406","abstract":"Chemical modifications of 2'-O-methyl (2'-OMe) and locked nucleic acid (LNA) of the nucleotides in the seed region (positions 2-8) of the small interfering RNA (siRNA) guide strand significantly reduced seed-matched (SM) off-target effects. The siRNA with 2'-OMe modifications inhibited the expression of a completely-matched (CM) target gene, whereas that with LNA modifications did not inhibit the expression of the CM target. By computational predictions of conformational changes of siRNA by these modifications, we revealed that both modifications in the siRNA seed region reduce SM off-target effects by steric hindrance to base-pairing with target transcripts but LNA modifications also disturb the association of the siRNA guide strand with the Argonaute (AGO) protein by altering RNA conformation. Thus, chemical modifications of the siRNA guide strand, which alter steric conformation to disturb base-pairing with target transcripts but do not disturb the association with the AGO protein, may successfully suppress off-target effects without substantial loss of RNA silencing activity.","author":[{"dropping-particle":"","family":"Iribe","given":"Hanna","non-dropping-particle":"","parse-names":false,"suffix":""},{"dropping-particle":"","family":"Miyamoto","given":"Kengo","non-dropping-particle":"","parse-names":false,"suffix":""},{"dropping-particle":"","family":"Takahashi","given":"Tomoko","non-dropping-particle":"","parse-names":false,"suffix":""},{"dropping-particle":"","family":"Kobayashi","given":"Yoshiaki","non-dropping-particle":"","parse-names":false,"suffix":""},{"dropping-particle":"","family":"Leo","given":"Jastina","non-dropping-particle":"","parse-names":false,"suffix":""},{"dropping-particle":"","family":"Aida","given":"Misako","non-dropping-particle":"","parse-names":false,"suffix":""},{"dropping-particle":"","family":"Ui-Tei","given":"Kumiko","non-dropping-particle":"","parse-names":false,"suffix":""}],"container-title":"ACS omega","id":"ITEM-2","issue":"5","issued":{"date-parts":[["2017","5","31"]]},"page":"2055-2064","publisher":"American Chemical Society","title":"Chemical Modification of the siRNA Seed Region Suppresses Off-Target Effects by Steric Hindrance to Base-Pairing with Targets.","type":"article-journal","volume":"2"},"uris":["http://www.mendeley.com/documents/?uuid=1d034da9-198a-32ef-88fd-c33d839435cd"]},{"id":"ITEM-3","itemData":{"DOI":"10.1039/c1cs15048k","ISBN":"1460-4744 (Electronic)\\n0306-0012 (Linking)","ISSN":"0306-0012","PMID":"21556437","abstract":"Oligonucleotide chemistry has been developed greatly over the past three decades, with many advances in increasing nuclease resistance, enhancing duplex stability and assisting with cellular uptake. Locked nucleic acid (LNA) is a structurally rigid modification that increases the binding affinity of a modified-oligonucleotide. In contrast, unlocked nucleic acid (UNA) is a highly flexible modification, which can be used to modulate duplex characteristics. In this tutorial review, we will compare the synthetic routes to both of these modifications, contrast the structural features, examine the hybridization properties of LNA and UNA modified duplexes, and discuss how they have been applied within biotechnology and drug research. LNA has found widespread use in antisense oligonucleotide technology, where it can stabilize interactions with target RNA and protect from cellular nucleases. The newly emerging field of siRNAs has made use of LNA and, recently, also UNA. These modifications are able to increase double-stranded RNA stability in serum and decrease off-target effects seen with conventional siRNAs. LNA and UNA are also emerging as versatile modifications for aptamers. Their application to known aptamer structures has opened up the possibility of future selection of LNA-modified aptamers. Each of these oligonucleotide technologies has the potential to become a new type of therapy to treat a wide variety of diseases, and LNA and UNA will no doubt play a part in future developments of therapeutic and diagnostic oligonucleotides.","author":[{"dropping-particle":"","family":"Campbell","given":"Meghan A.","non-dropping-particle":"","parse-names":false,"suffix":""},{"dropping-particle":"","family":"Wengel","given":"Jesper","non-dropping-particle":"","parse-names":false,"suffix":""}],"container-title":"Chemical Society Reviews","id":"ITEM-3","issue":"12","issued":{"date-parts":[["2011"]]},"page":"5680","title":"Locked vs. unlocked nucleic acids (LNA vs. UNA): contrasting structures work towards common therapeutic goals","type":"article-journal","volume":"40"},"uris":["http://www.mendeley.com/documents/?uuid=5515374d-f2cc-4c08-8a06-5896ffaaece1"]},{"id":"ITEM-4","itemData":{"DOI":"10.1093/nar/gkx1239","ISSN":"0305-1048","author":[{"dropping-particle":"","family":"Shen","given":"Xiulong","non-dropping-particle":"","parse-names":false,"suffix":""},{"dropping-particle":"","family":"Corey","given":"David R","non-dropping-particle":"","parse-names":false,"suffix":""}],"container-title":"Nucleic Acids Research","id":"ITEM-4","issue":"4","issued":{"date-parts":[["2018","2","28"]]},"page":"1584-1600","publisher":"Narnia","title":"Chemistry, mechanism and clinical status of antisense oligonucleotides and duplex RNAs","type":"article-journal","volume":"46"},"uris":["http://www.mendeley.com/documents/?uuid=005e68f5-ed4a-3ec6-bc6b-31aa77bbeb2d"]}],"mendeley":{"formattedCitation":"(Campbell and Wengel, 2011; Chang &lt;i&gt;et al.&lt;/i&gt;, 2016b; Iribe &lt;i&gt;et al.&lt;/i&gt;, 2017; Shen and Corey, 2018a)","plainTextFormattedCitation":"(Campbell and Wengel, 2011; Chang et al., 2016b; Iribe et al., 2017; Shen and Corey, 2018a)","previouslyFormattedCitation":"(Campbell and Wengel, 2011; Chang &lt;i&gt;et al.&lt;/i&gt;, 2016; Iribe &lt;i&gt;et al.&lt;/i&gt;, 2017; Shen and Corey, 2018)"},"properties":{"noteIndex":0},"schema":"https://github.com/citation-style-language/schema/raw/master/csl-citation.json"}</w:instrText>
      </w:r>
      <w:r w:rsidR="005C0E76">
        <w:fldChar w:fldCharType="separate"/>
      </w:r>
      <w:r w:rsidR="00C57A7E" w:rsidRPr="00C57A7E">
        <w:rPr>
          <w:noProof/>
        </w:rPr>
        <w:t xml:space="preserve">(Campbell and Wengel, 2011; Chang </w:t>
      </w:r>
      <w:r w:rsidR="00C57A7E" w:rsidRPr="00C57A7E">
        <w:rPr>
          <w:i/>
          <w:noProof/>
        </w:rPr>
        <w:t>et al.</w:t>
      </w:r>
      <w:r w:rsidR="00C57A7E" w:rsidRPr="00C57A7E">
        <w:rPr>
          <w:noProof/>
        </w:rPr>
        <w:t xml:space="preserve">, 2016b; Iribe </w:t>
      </w:r>
      <w:r w:rsidR="00C57A7E" w:rsidRPr="00C57A7E">
        <w:rPr>
          <w:i/>
          <w:noProof/>
        </w:rPr>
        <w:t>et al.</w:t>
      </w:r>
      <w:r w:rsidR="00C57A7E" w:rsidRPr="00C57A7E">
        <w:rPr>
          <w:noProof/>
        </w:rPr>
        <w:t>, 2017; Shen and Corey, 2018a)</w:t>
      </w:r>
      <w:r w:rsidR="005C0E76">
        <w:fldChar w:fldCharType="end"/>
      </w:r>
      <w:r w:rsidR="00741158">
        <w:t>.</w:t>
      </w:r>
    </w:p>
    <w:p w:rsidR="00741158" w:rsidRDefault="00741158">
      <w:pPr>
        <w:spacing w:after="200"/>
        <w:jc w:val="left"/>
      </w:pPr>
      <w:r>
        <w:br w:type="page"/>
      </w:r>
    </w:p>
    <w:p w:rsidR="00C31262" w:rsidRPr="00AF4101" w:rsidRDefault="00741158" w:rsidP="00AF4101">
      <w:pPr>
        <w:pStyle w:val="Heading1"/>
        <w:numPr>
          <w:ilvl w:val="0"/>
          <w:numId w:val="0"/>
        </w:numPr>
        <w:jc w:val="center"/>
        <w:rPr>
          <w:sz w:val="48"/>
          <w:szCs w:val="48"/>
        </w:rPr>
      </w:pPr>
      <w:bookmarkStart w:id="269" w:name="_Toc35334016"/>
      <w:r w:rsidRPr="00AF4101">
        <w:rPr>
          <w:sz w:val="48"/>
          <w:szCs w:val="48"/>
        </w:rPr>
        <w:lastRenderedPageBreak/>
        <w:t>Appendix 1</w:t>
      </w:r>
      <w:bookmarkEnd w:id="269"/>
    </w:p>
    <w:p w:rsidR="00741158" w:rsidRDefault="00CC2D1B" w:rsidP="00CC2D1B">
      <w:pPr>
        <w:jc w:val="center"/>
      </w:pPr>
      <w:r w:rsidRPr="00CC2D1B">
        <w:rPr>
          <w:noProof/>
          <w:lang w:eastAsia="en-GB"/>
        </w:rPr>
        <w:drawing>
          <wp:inline distT="0" distB="0" distL="0" distR="0">
            <wp:extent cx="5731510" cy="6239734"/>
            <wp:effectExtent l="0" t="0" r="2540" b="0"/>
            <wp:docPr id="4"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96644" cy="6310644"/>
                      <a:chOff x="404664" y="776536"/>
                      <a:chExt cx="5796644" cy="6310644"/>
                    </a:xfrm>
                  </a:grpSpPr>
                  <a:pic>
                    <a:nvPicPr>
                      <a:cNvPr id="4098" name="Picture 2"/>
                      <a:cNvPicPr>
                        <a:picLocks noChangeAspect="1" noChangeArrowheads="1"/>
                      </a:cNvPicPr>
                    </a:nvPicPr>
                    <a:blipFill>
                      <a:blip r:embed="rId103"/>
                      <a:srcRect/>
                      <a:stretch>
                        <a:fillRect/>
                      </a:stretch>
                    </a:blipFill>
                    <a:spPr bwMode="auto">
                      <a:xfrm>
                        <a:off x="541993" y="1208584"/>
                        <a:ext cx="2929128" cy="2749296"/>
                      </a:xfrm>
                      <a:prstGeom prst="rect">
                        <a:avLst/>
                      </a:prstGeom>
                      <a:noFill/>
                      <a:ln w="9525">
                        <a:noFill/>
                        <a:miter lim="800000"/>
                        <a:headEnd/>
                        <a:tailEnd/>
                      </a:ln>
                    </a:spPr>
                  </a:pic>
                  <a:pic>
                    <a:nvPicPr>
                      <a:cNvPr id="4101" name="Picture 5"/>
                      <a:cNvPicPr>
                        <a:picLocks noChangeAspect="1" noChangeArrowheads="1"/>
                      </a:cNvPicPr>
                    </a:nvPicPr>
                    <a:blipFill>
                      <a:blip r:embed="rId104"/>
                      <a:srcRect/>
                      <a:stretch>
                        <a:fillRect/>
                      </a:stretch>
                    </a:blipFill>
                    <a:spPr bwMode="auto">
                      <a:xfrm>
                        <a:off x="568832" y="4340932"/>
                        <a:ext cx="2926080" cy="2746248"/>
                      </a:xfrm>
                      <a:prstGeom prst="rect">
                        <a:avLst/>
                      </a:prstGeom>
                      <a:noFill/>
                      <a:ln w="9525">
                        <a:noFill/>
                        <a:miter lim="800000"/>
                        <a:headEnd/>
                        <a:tailEnd/>
                      </a:ln>
                    </a:spPr>
                  </a:pic>
                  <a:pic>
                    <a:nvPicPr>
                      <a:cNvPr id="4102" name="Picture 6"/>
                      <a:cNvPicPr>
                        <a:picLocks noChangeAspect="1" noChangeArrowheads="1"/>
                      </a:cNvPicPr>
                    </a:nvPicPr>
                    <a:blipFill>
                      <a:blip r:embed="rId105"/>
                      <a:srcRect/>
                      <a:stretch>
                        <a:fillRect/>
                      </a:stretch>
                    </a:blipFill>
                    <a:spPr bwMode="auto">
                      <a:xfrm>
                        <a:off x="3269132" y="4304928"/>
                        <a:ext cx="2932176" cy="2749296"/>
                      </a:xfrm>
                      <a:prstGeom prst="rect">
                        <a:avLst/>
                      </a:prstGeom>
                      <a:noFill/>
                      <a:ln w="9525">
                        <a:noFill/>
                        <a:miter lim="800000"/>
                        <a:headEnd/>
                        <a:tailEnd/>
                      </a:ln>
                    </a:spPr>
                  </a:pic>
                  <a:pic>
                    <a:nvPicPr>
                      <a:cNvPr id="4103" name="Picture 7"/>
                      <a:cNvPicPr>
                        <a:picLocks noChangeAspect="1" noChangeArrowheads="1"/>
                      </a:cNvPicPr>
                    </a:nvPicPr>
                    <a:blipFill>
                      <a:blip r:embed="rId106"/>
                      <a:srcRect/>
                      <a:stretch>
                        <a:fillRect/>
                      </a:stretch>
                    </a:blipFill>
                    <a:spPr bwMode="auto">
                      <a:xfrm>
                        <a:off x="3256328" y="1208584"/>
                        <a:ext cx="2929128" cy="2749296"/>
                      </a:xfrm>
                      <a:prstGeom prst="rect">
                        <a:avLst/>
                      </a:prstGeom>
                      <a:noFill/>
                      <a:ln w="9525">
                        <a:noFill/>
                        <a:miter lim="800000"/>
                        <a:headEnd/>
                        <a:tailEnd/>
                      </a:ln>
                    </a:spPr>
                  </a:pic>
                  <a:sp>
                    <a:nvSpPr>
                      <a:cNvPr id="7" name="TextBox 6"/>
                      <a:cNvSpPr txBox="1"/>
                    </a:nvSpPr>
                    <a:spPr>
                      <a:xfrm>
                        <a:off x="404664" y="776536"/>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8" name="TextBox 7"/>
                      <a:cNvSpPr txBox="1"/>
                    </a:nvSpPr>
                    <a:spPr>
                      <a:xfrm>
                        <a:off x="3068960" y="811779"/>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9" name="TextBox 8"/>
                      <a:cNvSpPr txBox="1"/>
                    </a:nvSpPr>
                    <a:spPr>
                      <a:xfrm>
                        <a:off x="404664" y="3956501"/>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0" name="TextBox 9"/>
                      <a:cNvSpPr txBox="1"/>
                    </a:nvSpPr>
                    <a:spPr>
                      <a:xfrm>
                        <a:off x="3068960" y="3956501"/>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d</a:t>
                          </a:r>
                          <a:endParaRPr lang="en-GB" sz="2600" b="1" dirty="0"/>
                        </a:p>
                      </a:txBody>
                      <a:useSpRect/>
                    </a:txSp>
                  </a:sp>
                </lc:lockedCanvas>
              </a:graphicData>
            </a:graphic>
          </wp:inline>
        </w:drawing>
      </w:r>
    </w:p>
    <w:p w:rsidR="00741158" w:rsidRDefault="00741158" w:rsidP="00741158"/>
    <w:p w:rsidR="00B50552" w:rsidRDefault="00AF4101" w:rsidP="00AF4101">
      <w:pPr>
        <w:rPr>
          <w:b/>
          <w:bCs/>
          <w:sz w:val="18"/>
          <w:szCs w:val="18"/>
        </w:rPr>
      </w:pPr>
      <w:r w:rsidRPr="00AF4101">
        <w:rPr>
          <w:b/>
          <w:sz w:val="18"/>
          <w:szCs w:val="18"/>
        </w:rPr>
        <w:t>Figure A1.1</w:t>
      </w:r>
      <w:r>
        <w:rPr>
          <w:b/>
          <w:sz w:val="18"/>
          <w:szCs w:val="18"/>
        </w:rPr>
        <w:t xml:space="preserve"> </w:t>
      </w:r>
      <w:r w:rsidRPr="00AF4101">
        <w:rPr>
          <w:b/>
          <w:bCs/>
          <w:sz w:val="18"/>
          <w:szCs w:val="18"/>
        </w:rPr>
        <w:t xml:space="preserve">Optimisation of luciferase assays for </w:t>
      </w:r>
      <w:r w:rsidRPr="00AF4101">
        <w:rPr>
          <w:b/>
          <w:bCs/>
          <w:i/>
          <w:iCs/>
          <w:sz w:val="18"/>
          <w:szCs w:val="18"/>
        </w:rPr>
        <w:t xml:space="preserve">in vitro </w:t>
      </w:r>
      <w:r w:rsidRPr="00AF4101">
        <w:rPr>
          <w:b/>
          <w:bCs/>
          <w:sz w:val="18"/>
          <w:szCs w:val="18"/>
        </w:rPr>
        <w:t xml:space="preserve">analysis of the effects of chemically modified dsRNA on RNAi in insect cells. </w:t>
      </w:r>
    </w:p>
    <w:p w:rsidR="00AF4101" w:rsidRPr="00AF4101" w:rsidRDefault="00AF4101" w:rsidP="00AF4101">
      <w:pPr>
        <w:rPr>
          <w:sz w:val="18"/>
          <w:szCs w:val="18"/>
        </w:rPr>
      </w:pPr>
      <w:r w:rsidRPr="00AF4101">
        <w:rPr>
          <w:sz w:val="18"/>
          <w:szCs w:val="18"/>
        </w:rPr>
        <w:t xml:space="preserve">Luciferase assay results for optimisation of  assay conditions using the Promega dual luciferase assay kit. Results are dose curves for unmodified FLuc dsRNA under various assay conditions. RNAi knockdown of a firefly luciferase reporter by FLuc dsRNA, is presented as ratios of firefly luciferase luminescence intensity (FL) to </w:t>
      </w:r>
      <w:r w:rsidRPr="00AF4101">
        <w:rPr>
          <w:i/>
          <w:iCs/>
          <w:sz w:val="18"/>
          <w:szCs w:val="18"/>
        </w:rPr>
        <w:t>Renilla</w:t>
      </w:r>
      <w:r w:rsidRPr="00AF4101">
        <w:rPr>
          <w:sz w:val="18"/>
          <w:szCs w:val="18"/>
        </w:rPr>
        <w:t xml:space="preserve"> luciferase luminescence intensity (RL) normalised against FL/RL values for control conditions with no dsRNA. Greater loss of fluorescence correlates to greater levels of RNAi knockdown.(a &amp; b) 0.25, 0.5, 5, 10, 20, 40 and 80 ng of dsRNA tested.  n = 4 (c &amp; d) 0.01, 0.1, 1, 10, 100, and 1,000 ng of dsRNA tested. n = 6 (a) Black plates, 1:4 luciferase assay reagent dilution, 3 day incubation. (b) White plates, 1:10 luciferase assay reagent dilution, 3 day incubation. (c) White plates, 1:2 luciferase assay reagent dilution, 4 day incubation, plate spin before media aspiration and cell lysis step. (d) White plates, 1:10 luciferase assay reagent dilution, 3 day incubation, plate spin before media aspiration and cell lysis step. </w:t>
      </w:r>
    </w:p>
    <w:p w:rsidR="00AF4101" w:rsidRPr="00AF4101" w:rsidRDefault="00AF4101" w:rsidP="00AF4101">
      <w:pPr>
        <w:spacing w:line="240" w:lineRule="auto"/>
        <w:rPr>
          <w:sz w:val="18"/>
          <w:szCs w:val="18"/>
        </w:rPr>
      </w:pPr>
      <w:r w:rsidRPr="00AF4101">
        <w:rPr>
          <w:sz w:val="18"/>
          <w:szCs w:val="18"/>
        </w:rPr>
        <w:t>Mean and SEM plotted for all graphs.</w:t>
      </w:r>
    </w:p>
    <w:p w:rsidR="00741158" w:rsidRPr="00AF4101" w:rsidRDefault="00741158" w:rsidP="00AF4101">
      <w:pPr>
        <w:spacing w:line="240" w:lineRule="auto"/>
        <w:rPr>
          <w:b/>
          <w:sz w:val="18"/>
          <w:szCs w:val="18"/>
        </w:rPr>
      </w:pPr>
    </w:p>
    <w:p w:rsidR="00AF4101" w:rsidRDefault="00381546">
      <w:pPr>
        <w:spacing w:after="200"/>
        <w:jc w:val="left"/>
        <w:rPr>
          <w:b/>
          <w:sz w:val="18"/>
          <w:szCs w:val="18"/>
        </w:rPr>
      </w:pPr>
      <w:r>
        <w:rPr>
          <w:b/>
          <w:noProof/>
          <w:sz w:val="18"/>
          <w:szCs w:val="18"/>
          <w:lang w:eastAsia="en-GB"/>
        </w:rPr>
        <w:drawing>
          <wp:inline distT="0" distB="0" distL="0" distR="0">
            <wp:extent cx="5731510" cy="5611663"/>
            <wp:effectExtent l="0" t="0" r="2540" b="0"/>
            <wp:docPr id="14" name="Picture 1" descr="C:\Users\John D Howard\Desktop\University\PhD\Thesis &amp; Papers - Data, Diagrams, Drafts\The Actual Thesis (OMFG WTF HOW)\Diagrams converted to pictures\Main Figures\A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D Howard\Desktop\University\PhD\Thesis &amp; Papers - Data, Diagrams, Drafts\The Actual Thesis (OMFG WTF HOW)\Diagrams converted to pictures\Main Figures\A1.2.png"/>
                    <pic:cNvPicPr>
                      <a:picLocks noChangeAspect="1" noChangeArrowheads="1"/>
                    </pic:cNvPicPr>
                  </pic:nvPicPr>
                  <pic:blipFill>
                    <a:blip r:embed="rId107" cstate="print"/>
                    <a:srcRect/>
                    <a:stretch>
                      <a:fillRect/>
                    </a:stretch>
                  </pic:blipFill>
                  <pic:spPr bwMode="auto">
                    <a:xfrm>
                      <a:off x="0" y="0"/>
                      <a:ext cx="5731510" cy="5611663"/>
                    </a:xfrm>
                    <a:prstGeom prst="rect">
                      <a:avLst/>
                    </a:prstGeom>
                    <a:noFill/>
                    <a:ln w="9525">
                      <a:noFill/>
                      <a:miter lim="800000"/>
                      <a:headEnd/>
                      <a:tailEnd/>
                    </a:ln>
                  </pic:spPr>
                </pic:pic>
              </a:graphicData>
            </a:graphic>
          </wp:inline>
        </w:drawing>
      </w:r>
    </w:p>
    <w:p w:rsidR="00AF4101" w:rsidRDefault="00AF4101" w:rsidP="00381546">
      <w:pPr>
        <w:spacing w:after="120"/>
        <w:jc w:val="left"/>
        <w:rPr>
          <w:b/>
          <w:sz w:val="18"/>
          <w:szCs w:val="18"/>
        </w:rPr>
      </w:pPr>
      <w:r w:rsidRPr="00AF4101">
        <w:rPr>
          <w:b/>
          <w:sz w:val="18"/>
          <w:szCs w:val="18"/>
        </w:rPr>
        <w:t>Figure A1.</w:t>
      </w:r>
      <w:r>
        <w:rPr>
          <w:b/>
          <w:sz w:val="18"/>
          <w:szCs w:val="18"/>
        </w:rPr>
        <w:t xml:space="preserve">2 </w:t>
      </w:r>
      <w:r w:rsidRPr="00AF4101">
        <w:rPr>
          <w:sz w:val="18"/>
          <w:szCs w:val="18"/>
        </w:rPr>
        <w:t>Tables of all P values from T-tests for PS, 2’F and HMr dsRNA screening luciferase assays (figures 5.4-5.6)</w:t>
      </w:r>
      <w:r w:rsidRPr="00AF4101">
        <w:rPr>
          <w:bCs/>
          <w:sz w:val="18"/>
          <w:szCs w:val="18"/>
        </w:rPr>
        <w:t>.</w:t>
      </w:r>
    </w:p>
    <w:p w:rsidR="00AF4101" w:rsidRPr="00F945E3" w:rsidRDefault="00AF4101" w:rsidP="00AF4101">
      <w:pPr>
        <w:pStyle w:val="Caption"/>
        <w:rPr>
          <w:b w:val="0"/>
          <w:color w:val="auto"/>
        </w:rPr>
      </w:pPr>
      <w:r w:rsidRPr="00F945E3">
        <w:rPr>
          <w:b w:val="0"/>
          <w:color w:val="auto"/>
        </w:rPr>
        <w:t xml:space="preserve">Stars denote significance as calculated by unpaired T-tests. ns = P &gt; 0.05, *  = P ≤ 0.05, ** = P ≤ 0.01, *** = P ≤ 0.001, **** = P ≤ 0.0001. </w:t>
      </w:r>
    </w:p>
    <w:p w:rsidR="00381546" w:rsidRDefault="00381546">
      <w:pPr>
        <w:spacing w:after="200"/>
        <w:jc w:val="left"/>
      </w:pPr>
      <w:r>
        <w:br w:type="page"/>
      </w:r>
    </w:p>
    <w:p w:rsidR="00B50552" w:rsidRDefault="00381546" w:rsidP="00B50552">
      <w:pPr>
        <w:spacing w:after="120"/>
        <w:rPr>
          <w:b/>
          <w:bCs/>
          <w:sz w:val="18"/>
          <w:szCs w:val="18"/>
        </w:rPr>
      </w:pPr>
      <w:r w:rsidRPr="00381546">
        <w:rPr>
          <w:noProof/>
          <w:lang w:eastAsia="en-GB"/>
        </w:rPr>
        <w:lastRenderedPageBreak/>
        <w:drawing>
          <wp:inline distT="0" distB="0" distL="0" distR="0">
            <wp:extent cx="5731510" cy="5973931"/>
            <wp:effectExtent l="0" t="0" r="2540" b="0"/>
            <wp:docPr id="15"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40660" cy="6191927"/>
                      <a:chOff x="440668" y="1101333"/>
                      <a:chExt cx="5940660" cy="6191927"/>
                    </a:xfrm>
                  </a:grpSpPr>
                  <a:pic>
                    <a:nvPicPr>
                      <a:cNvPr id="8194" name="Picture 2"/>
                      <a:cNvPicPr>
                        <a:picLocks noChangeAspect="1" noChangeArrowheads="1"/>
                      </a:cNvPicPr>
                    </a:nvPicPr>
                    <a:blipFill>
                      <a:blip r:embed="rId108"/>
                      <a:srcRect/>
                      <a:stretch>
                        <a:fillRect/>
                      </a:stretch>
                    </a:blipFill>
                    <a:spPr bwMode="auto">
                      <a:xfrm>
                        <a:off x="584684" y="1496616"/>
                        <a:ext cx="3014472" cy="2691384"/>
                      </a:xfrm>
                      <a:prstGeom prst="rect">
                        <a:avLst/>
                      </a:prstGeom>
                      <a:noFill/>
                      <a:ln w="9525">
                        <a:noFill/>
                        <a:miter lim="800000"/>
                        <a:headEnd/>
                        <a:tailEnd/>
                      </a:ln>
                    </a:spPr>
                  </a:pic>
                  <a:pic>
                    <a:nvPicPr>
                      <a:cNvPr id="8195" name="Picture 3"/>
                      <a:cNvPicPr>
                        <a:picLocks noChangeAspect="1" noChangeArrowheads="1"/>
                      </a:cNvPicPr>
                    </a:nvPicPr>
                    <a:blipFill>
                      <a:blip r:embed="rId109"/>
                      <a:srcRect/>
                      <a:stretch>
                        <a:fillRect/>
                      </a:stretch>
                    </a:blipFill>
                    <a:spPr bwMode="auto">
                      <a:xfrm>
                        <a:off x="3366856" y="1496616"/>
                        <a:ext cx="3014472" cy="2691384"/>
                      </a:xfrm>
                      <a:prstGeom prst="rect">
                        <a:avLst/>
                      </a:prstGeom>
                      <a:noFill/>
                      <a:ln w="9525">
                        <a:noFill/>
                        <a:miter lim="800000"/>
                        <a:headEnd/>
                        <a:tailEnd/>
                      </a:ln>
                    </a:spPr>
                  </a:pic>
                  <a:pic>
                    <a:nvPicPr>
                      <a:cNvPr id="8196" name="Picture 4"/>
                      <a:cNvPicPr>
                        <a:picLocks noChangeAspect="1" noChangeArrowheads="1"/>
                      </a:cNvPicPr>
                    </a:nvPicPr>
                    <a:blipFill>
                      <a:blip r:embed="rId110"/>
                      <a:srcRect/>
                      <a:stretch>
                        <a:fillRect/>
                      </a:stretch>
                    </a:blipFill>
                    <a:spPr bwMode="auto">
                      <a:xfrm>
                        <a:off x="2024844" y="4601876"/>
                        <a:ext cx="3014472" cy="2691384"/>
                      </a:xfrm>
                      <a:prstGeom prst="rect">
                        <a:avLst/>
                      </a:prstGeom>
                      <a:noFill/>
                      <a:ln w="9525">
                        <a:noFill/>
                        <a:miter lim="800000"/>
                        <a:headEnd/>
                        <a:tailEnd/>
                      </a:ln>
                    </a:spPr>
                  </a:pic>
                  <a:sp>
                    <a:nvSpPr>
                      <a:cNvPr id="8" name="TextBox 7"/>
                      <a:cNvSpPr txBox="1"/>
                    </a:nvSpPr>
                    <a:spPr>
                      <a:xfrm>
                        <a:off x="440668" y="1101333"/>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9" name="TextBox 8"/>
                      <a:cNvSpPr txBox="1"/>
                    </a:nvSpPr>
                    <a:spPr>
                      <a:xfrm>
                        <a:off x="3176972" y="1136576"/>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0" name="TextBox 9"/>
                      <a:cNvSpPr txBox="1"/>
                    </a:nvSpPr>
                    <a:spPr>
                      <a:xfrm>
                        <a:off x="1864060" y="4196916"/>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r w:rsidRPr="00AF4101">
        <w:rPr>
          <w:b/>
          <w:sz w:val="18"/>
          <w:szCs w:val="18"/>
        </w:rPr>
        <w:t>Figure A1.</w:t>
      </w:r>
      <w:r>
        <w:rPr>
          <w:b/>
          <w:sz w:val="18"/>
          <w:szCs w:val="18"/>
        </w:rPr>
        <w:t xml:space="preserve">3 </w:t>
      </w:r>
      <w:r w:rsidRPr="00381546">
        <w:rPr>
          <w:b/>
          <w:bCs/>
          <w:sz w:val="18"/>
          <w:szCs w:val="18"/>
        </w:rPr>
        <w:t xml:space="preserve">Variation of standard error of the mean (SEM) of normalised FL/RL values with concentration for unmodified and chemically modified dsRNAs. </w:t>
      </w:r>
    </w:p>
    <w:p w:rsidR="00381546" w:rsidRPr="00381546" w:rsidRDefault="00381546" w:rsidP="00B50552">
      <w:pPr>
        <w:spacing w:after="120"/>
        <w:rPr>
          <w:sz w:val="18"/>
          <w:szCs w:val="18"/>
        </w:rPr>
      </w:pPr>
      <w:r w:rsidRPr="00381546">
        <w:rPr>
          <w:sz w:val="18"/>
          <w:szCs w:val="18"/>
        </w:rPr>
        <w:t>Variation of standard error of the mean (SEM) of normalised FL/RL values across the dsRNA concentration range for the luciferase assays screening PS, 2’F and HMr dsRNAs.  Results are presented as SEM of FL/RL values for dsRNAs normalised against FL/RL values for control conditions with no dsRNA. (a) SEM for unmodified, 1PS and 2PS dsRNA. (b) SEM for unmodified, 1 2’F and 2 2’F dsRNA. (c) SEM for unmodified, 1HMr and 2HMr dsRNA.  In all graphs, per combination of concentration and dsRNA n</w:t>
      </w:r>
      <w:r>
        <w:rPr>
          <w:sz w:val="18"/>
          <w:szCs w:val="18"/>
        </w:rPr>
        <w:t xml:space="preserve"> </w:t>
      </w:r>
      <w:r w:rsidRPr="00381546">
        <w:rPr>
          <w:sz w:val="18"/>
          <w:szCs w:val="18"/>
        </w:rPr>
        <w:t>=</w:t>
      </w:r>
      <w:r>
        <w:rPr>
          <w:sz w:val="18"/>
          <w:szCs w:val="18"/>
        </w:rPr>
        <w:t xml:space="preserve"> </w:t>
      </w:r>
      <w:r w:rsidRPr="00381546">
        <w:rPr>
          <w:sz w:val="18"/>
          <w:szCs w:val="18"/>
        </w:rPr>
        <w:t xml:space="preserve">6.  </w:t>
      </w:r>
    </w:p>
    <w:p w:rsidR="00381546" w:rsidRDefault="00741158" w:rsidP="00381546">
      <w:pPr>
        <w:spacing w:after="200"/>
        <w:jc w:val="center"/>
      </w:pPr>
      <w:r>
        <w:br w:type="page"/>
      </w:r>
    </w:p>
    <w:p w:rsidR="00381546" w:rsidRDefault="00381546" w:rsidP="00381546">
      <w:pPr>
        <w:spacing w:after="200"/>
        <w:jc w:val="center"/>
      </w:pPr>
      <w:r w:rsidRPr="00381546">
        <w:rPr>
          <w:noProof/>
          <w:lang w:eastAsia="en-GB"/>
        </w:rPr>
        <w:lastRenderedPageBreak/>
        <w:drawing>
          <wp:inline distT="0" distB="0" distL="0" distR="0">
            <wp:extent cx="5679152" cy="6432342"/>
            <wp:effectExtent l="0" t="0" r="0" b="0"/>
            <wp:docPr id="19"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79152" cy="6432342"/>
                      <a:chOff x="459904" y="1076942"/>
                      <a:chExt cx="5679152" cy="6432342"/>
                    </a:xfrm>
                  </a:grpSpPr>
                  <a:pic>
                    <a:nvPicPr>
                      <a:cNvPr id="9219" name="Picture 3"/>
                      <a:cNvPicPr>
                        <a:picLocks noChangeAspect="1" noChangeArrowheads="1"/>
                      </a:cNvPicPr>
                    </a:nvPicPr>
                    <a:blipFill>
                      <a:blip r:embed="rId111"/>
                      <a:srcRect/>
                      <a:stretch>
                        <a:fillRect/>
                      </a:stretch>
                    </a:blipFill>
                    <a:spPr bwMode="auto">
                      <a:xfrm>
                        <a:off x="3212976" y="1316596"/>
                        <a:ext cx="2926080" cy="2749296"/>
                      </a:xfrm>
                      <a:prstGeom prst="rect">
                        <a:avLst/>
                      </a:prstGeom>
                      <a:noFill/>
                      <a:ln w="9525">
                        <a:noFill/>
                        <a:miter lim="800000"/>
                        <a:headEnd/>
                        <a:tailEnd/>
                      </a:ln>
                    </a:spPr>
                  </a:pic>
                  <a:pic>
                    <a:nvPicPr>
                      <a:cNvPr id="9220" name="Picture 4"/>
                      <a:cNvPicPr>
                        <a:picLocks noChangeAspect="1" noChangeArrowheads="1"/>
                      </a:cNvPicPr>
                    </a:nvPicPr>
                    <a:blipFill>
                      <a:blip r:embed="rId112"/>
                      <a:srcRect/>
                      <a:stretch>
                        <a:fillRect/>
                      </a:stretch>
                    </a:blipFill>
                    <a:spPr bwMode="auto">
                      <a:xfrm>
                        <a:off x="512676" y="1568624"/>
                        <a:ext cx="2683764" cy="2903220"/>
                      </a:xfrm>
                      <a:prstGeom prst="rect">
                        <a:avLst/>
                      </a:prstGeom>
                      <a:noFill/>
                      <a:ln w="9525">
                        <a:noFill/>
                        <a:miter lim="800000"/>
                        <a:headEnd/>
                        <a:tailEnd/>
                      </a:ln>
                    </a:spPr>
                  </a:pic>
                  <a:pic>
                    <a:nvPicPr>
                      <a:cNvPr id="11" name="Picture 7"/>
                      <a:cNvPicPr>
                        <a:picLocks noChangeAspect="1" noChangeArrowheads="1"/>
                      </a:cNvPicPr>
                    </a:nvPicPr>
                    <a:blipFill>
                      <a:blip r:embed="rId113"/>
                      <a:srcRect b="251"/>
                      <a:stretch>
                        <a:fillRect/>
                      </a:stretch>
                    </a:blipFill>
                    <a:spPr bwMode="auto">
                      <a:xfrm>
                        <a:off x="1791632" y="4772980"/>
                        <a:ext cx="3113532" cy="2736304"/>
                      </a:xfrm>
                      <a:prstGeom prst="rect">
                        <a:avLst/>
                      </a:prstGeom>
                      <a:noFill/>
                      <a:ln w="9525">
                        <a:noFill/>
                        <a:miter lim="800000"/>
                        <a:headEnd/>
                        <a:tailEnd/>
                      </a:ln>
                    </a:spPr>
                  </a:pic>
                  <a:sp>
                    <a:nvSpPr>
                      <a:cNvPr id="6" name="TextBox 5"/>
                      <a:cNvSpPr txBox="1"/>
                    </a:nvSpPr>
                    <a:spPr>
                      <a:xfrm>
                        <a:off x="459904" y="1076942"/>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8" name="TextBox 7"/>
                      <a:cNvSpPr txBox="1"/>
                    </a:nvSpPr>
                    <a:spPr>
                      <a:xfrm>
                        <a:off x="2944180" y="1100572"/>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9" name="TextBox 8"/>
                      <a:cNvSpPr txBox="1"/>
                    </a:nvSpPr>
                    <a:spPr>
                      <a:xfrm>
                        <a:off x="1720044" y="4388549"/>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p>
    <w:p w:rsidR="00B50552" w:rsidRDefault="00381546" w:rsidP="00B50552">
      <w:pPr>
        <w:rPr>
          <w:b/>
          <w:bCs/>
          <w:sz w:val="18"/>
          <w:szCs w:val="18"/>
        </w:rPr>
      </w:pPr>
      <w:r w:rsidRPr="00AF4101">
        <w:rPr>
          <w:b/>
          <w:sz w:val="18"/>
          <w:szCs w:val="18"/>
        </w:rPr>
        <w:t>Figure A1.</w:t>
      </w:r>
      <w:r>
        <w:rPr>
          <w:b/>
          <w:sz w:val="18"/>
          <w:szCs w:val="18"/>
        </w:rPr>
        <w:t xml:space="preserve">4 </w:t>
      </w:r>
      <w:r w:rsidRPr="00381546">
        <w:rPr>
          <w:b/>
          <w:bCs/>
          <w:i/>
          <w:iCs/>
          <w:sz w:val="18"/>
          <w:szCs w:val="18"/>
        </w:rPr>
        <w:t xml:space="preserve">In vitro </w:t>
      </w:r>
      <w:r w:rsidRPr="00381546">
        <w:rPr>
          <w:b/>
          <w:bCs/>
          <w:sz w:val="18"/>
          <w:szCs w:val="18"/>
        </w:rPr>
        <w:t xml:space="preserve">analysis of the effects of phosphorothioate dsRNA modifications on RNAi in insect cells across an alternative range of dsRNA concentrations. </w:t>
      </w:r>
    </w:p>
    <w:p w:rsidR="00381546" w:rsidRPr="00381546" w:rsidRDefault="00381546" w:rsidP="00B50552">
      <w:pPr>
        <w:rPr>
          <w:sz w:val="18"/>
          <w:szCs w:val="18"/>
        </w:rPr>
      </w:pPr>
      <w:r w:rsidRPr="00381546">
        <w:rPr>
          <w:sz w:val="18"/>
          <w:szCs w:val="18"/>
        </w:rPr>
        <w:t xml:space="preserve">Luciferase assay results for phosphorothioate (PS) and unmodified (Unmod) FLuc dsRNA, using 1:10 luciferase assay reagent dilutions. RNAi knockdown of a firefly luciferase reporter by FLuc dsRNA, is presented as ratios of firefly luciferase luminescence intensity (FL) to </w:t>
      </w:r>
      <w:r w:rsidRPr="00381546">
        <w:rPr>
          <w:i/>
          <w:iCs/>
          <w:sz w:val="18"/>
          <w:szCs w:val="18"/>
        </w:rPr>
        <w:t>Renilla</w:t>
      </w:r>
      <w:r w:rsidRPr="00381546">
        <w:rPr>
          <w:sz w:val="18"/>
          <w:szCs w:val="18"/>
        </w:rPr>
        <w:t xml:space="preserve"> luciferase luminescence intensity (RL) normalised against FL/RL values for control conditions with no dsRNA. Greater loss of fluorescence correlates to greater levels of RNAi knockdown. (a) Bar graph of RNAi knockdown by 200 ng treatments of Unmod, 1PS and 2PS FLuc dsRNA against F59C6.5 control dsRNA. (b) Dose curves of normalised FL/RL values plotted against log of dsRNA dose per well in ng. Concentrations per well of dsRNA tested: 0.4, 4, 20, 40, 80, 200 ng. EC50s are concentrations at which 50% RNAi knockdown occurs</w:t>
      </w:r>
      <w:r>
        <w:rPr>
          <w:sz w:val="18"/>
          <w:szCs w:val="18"/>
        </w:rPr>
        <w:t xml:space="preserve">. </w:t>
      </w:r>
      <w:r w:rsidRPr="00381546">
        <w:rPr>
          <w:sz w:val="18"/>
          <w:szCs w:val="18"/>
        </w:rPr>
        <w:t xml:space="preserve">Coloured stars denote statistical significance of the identically coloured point compared to unmodified dsRNA. Curves generated by non-linear regression analysis using a dose-response inhibition variable slope model in Graphpad prism software. (c) Graph of individual normalised FL/RL values for the dose curves in figure b.  </w:t>
      </w:r>
    </w:p>
    <w:p w:rsidR="00381546" w:rsidRPr="00381546" w:rsidRDefault="00381546" w:rsidP="00B50552">
      <w:pPr>
        <w:rPr>
          <w:sz w:val="18"/>
          <w:szCs w:val="18"/>
        </w:rPr>
      </w:pPr>
      <w:r w:rsidRPr="00381546">
        <w:rPr>
          <w:sz w:val="18"/>
          <w:szCs w:val="18"/>
        </w:rPr>
        <w:t xml:space="preserve">In all graphs, mean and SEM are plotted (n = 6-9).  Stars denote significance as calculated by unpaired T-tests. ns = P &gt; 0.05, *  = P ≤ 0.05, ** = P ≤ 0.01, *** = P ≤ 0.001, **** = P ≤ 0.0001. </w:t>
      </w:r>
    </w:p>
    <w:p w:rsidR="00381546" w:rsidRDefault="00381546" w:rsidP="00381546">
      <w:pPr>
        <w:spacing w:after="200"/>
        <w:jc w:val="center"/>
      </w:pPr>
      <w:r w:rsidRPr="00381546">
        <w:rPr>
          <w:noProof/>
          <w:lang w:eastAsia="en-GB"/>
        </w:rPr>
        <w:lastRenderedPageBreak/>
        <w:drawing>
          <wp:inline distT="0" distB="0" distL="0" distR="0">
            <wp:extent cx="3522722" cy="7740860"/>
            <wp:effectExtent l="0" t="0" r="1528" b="0"/>
            <wp:docPr id="21"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22722" cy="7740860"/>
                      <a:chOff x="1520788" y="308484"/>
                      <a:chExt cx="3522722" cy="7740860"/>
                    </a:xfrm>
                  </a:grpSpPr>
                  <a:pic>
                    <a:nvPicPr>
                      <a:cNvPr id="1029" name="Picture 5"/>
                      <a:cNvPicPr>
                        <a:picLocks noChangeAspect="1" noChangeArrowheads="1"/>
                      </a:cNvPicPr>
                    </a:nvPicPr>
                    <a:blipFill>
                      <a:blip r:embed="rId114"/>
                      <a:srcRect/>
                      <a:stretch>
                        <a:fillRect/>
                      </a:stretch>
                    </a:blipFill>
                    <a:spPr bwMode="auto">
                      <a:xfrm>
                        <a:off x="1808820" y="596516"/>
                        <a:ext cx="3234690" cy="2301240"/>
                      </a:xfrm>
                      <a:prstGeom prst="rect">
                        <a:avLst/>
                      </a:prstGeom>
                      <a:noFill/>
                      <a:ln w="9525">
                        <a:noFill/>
                        <a:miter lim="800000"/>
                        <a:headEnd/>
                        <a:tailEnd/>
                      </a:ln>
                    </a:spPr>
                  </a:pic>
                  <a:pic>
                    <a:nvPicPr>
                      <a:cNvPr id="1030" name="Picture 6"/>
                      <a:cNvPicPr>
                        <a:picLocks noChangeAspect="1" noChangeArrowheads="1"/>
                      </a:cNvPicPr>
                    </a:nvPicPr>
                    <a:blipFill>
                      <a:blip r:embed="rId115"/>
                      <a:srcRect b="1557"/>
                      <a:stretch>
                        <a:fillRect/>
                      </a:stretch>
                    </a:blipFill>
                    <a:spPr bwMode="auto">
                      <a:xfrm>
                        <a:off x="1808820" y="3184597"/>
                        <a:ext cx="3208020" cy="2276666"/>
                      </a:xfrm>
                      <a:prstGeom prst="rect">
                        <a:avLst/>
                      </a:prstGeom>
                      <a:noFill/>
                      <a:ln w="9525">
                        <a:noFill/>
                        <a:miter lim="800000"/>
                        <a:headEnd/>
                        <a:tailEnd/>
                      </a:ln>
                    </a:spPr>
                  </a:pic>
                  <a:pic>
                    <a:nvPicPr>
                      <a:cNvPr id="1031" name="Picture 7"/>
                      <a:cNvPicPr>
                        <a:picLocks noChangeAspect="1" noChangeArrowheads="1"/>
                      </a:cNvPicPr>
                    </a:nvPicPr>
                    <a:blipFill>
                      <a:blip r:embed="rId116"/>
                      <a:srcRect/>
                      <a:stretch>
                        <a:fillRect/>
                      </a:stretch>
                    </a:blipFill>
                    <a:spPr bwMode="auto">
                      <a:xfrm>
                        <a:off x="1808820" y="5748104"/>
                        <a:ext cx="3227070" cy="2301240"/>
                      </a:xfrm>
                      <a:prstGeom prst="rect">
                        <a:avLst/>
                      </a:prstGeom>
                      <a:noFill/>
                      <a:ln w="9525">
                        <a:noFill/>
                        <a:miter lim="800000"/>
                        <a:headEnd/>
                        <a:tailEnd/>
                      </a:ln>
                    </a:spPr>
                  </a:pic>
                  <a:sp>
                    <a:nvSpPr>
                      <a:cNvPr id="8" name="TextBox 7"/>
                      <a:cNvSpPr txBox="1"/>
                    </a:nvSpPr>
                    <a:spPr>
                      <a:xfrm>
                        <a:off x="1520788" y="308484"/>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9" name="TextBox 8"/>
                      <a:cNvSpPr txBox="1"/>
                    </a:nvSpPr>
                    <a:spPr>
                      <a:xfrm>
                        <a:off x="1520788" y="2864768"/>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0" name="TextBox 9"/>
                      <a:cNvSpPr txBox="1"/>
                    </a:nvSpPr>
                    <a:spPr>
                      <a:xfrm>
                        <a:off x="1540024" y="5385048"/>
                        <a:ext cx="304800" cy="492443"/>
                      </a:xfrm>
                      <a:prstGeom prst="rect">
                        <a:avLst/>
                      </a:prstGeom>
                      <a:noFill/>
                    </a:spPr>
                    <a:txSp>
                      <a:txBody>
                        <a:bodyPr wrap="square" rtlCol="0">
                          <a:spAutoFit/>
                        </a:bodyPr>
                        <a:lstStyle>
                          <a:defPPr>
                            <a:defRPr lang="en-US"/>
                          </a:defPPr>
                          <a:lvl1pPr marL="0" algn="l" defTabSz="957816" rtl="0" eaLnBrk="1" latinLnBrk="0" hangingPunct="1">
                            <a:defRPr sz="1900" kern="1200">
                              <a:solidFill>
                                <a:schemeClr val="tx1"/>
                              </a:solidFill>
                              <a:latin typeface="+mn-lt"/>
                              <a:ea typeface="+mn-ea"/>
                              <a:cs typeface="+mn-cs"/>
                            </a:defRPr>
                          </a:lvl1pPr>
                          <a:lvl2pPr marL="478908" algn="l" defTabSz="957816" rtl="0" eaLnBrk="1" latinLnBrk="0" hangingPunct="1">
                            <a:defRPr sz="1900" kern="1200">
                              <a:solidFill>
                                <a:schemeClr val="tx1"/>
                              </a:solidFill>
                              <a:latin typeface="+mn-lt"/>
                              <a:ea typeface="+mn-ea"/>
                              <a:cs typeface="+mn-cs"/>
                            </a:defRPr>
                          </a:lvl2pPr>
                          <a:lvl3pPr marL="957816" algn="l" defTabSz="957816" rtl="0" eaLnBrk="1" latinLnBrk="0" hangingPunct="1">
                            <a:defRPr sz="1900" kern="1200">
                              <a:solidFill>
                                <a:schemeClr val="tx1"/>
                              </a:solidFill>
                              <a:latin typeface="+mn-lt"/>
                              <a:ea typeface="+mn-ea"/>
                              <a:cs typeface="+mn-cs"/>
                            </a:defRPr>
                          </a:lvl3pPr>
                          <a:lvl4pPr marL="1436724" algn="l" defTabSz="957816" rtl="0" eaLnBrk="1" latinLnBrk="0" hangingPunct="1">
                            <a:defRPr sz="1900" kern="1200">
                              <a:solidFill>
                                <a:schemeClr val="tx1"/>
                              </a:solidFill>
                              <a:latin typeface="+mn-lt"/>
                              <a:ea typeface="+mn-ea"/>
                              <a:cs typeface="+mn-cs"/>
                            </a:defRPr>
                          </a:lvl4pPr>
                          <a:lvl5pPr marL="1915631" algn="l" defTabSz="957816" rtl="0" eaLnBrk="1" latinLnBrk="0" hangingPunct="1">
                            <a:defRPr sz="1900" kern="1200">
                              <a:solidFill>
                                <a:schemeClr val="tx1"/>
                              </a:solidFill>
                              <a:latin typeface="+mn-lt"/>
                              <a:ea typeface="+mn-ea"/>
                              <a:cs typeface="+mn-cs"/>
                            </a:defRPr>
                          </a:lvl5pPr>
                          <a:lvl6pPr marL="2394539" algn="l" defTabSz="957816" rtl="0" eaLnBrk="1" latinLnBrk="0" hangingPunct="1">
                            <a:defRPr sz="1900" kern="1200">
                              <a:solidFill>
                                <a:schemeClr val="tx1"/>
                              </a:solidFill>
                              <a:latin typeface="+mn-lt"/>
                              <a:ea typeface="+mn-ea"/>
                              <a:cs typeface="+mn-cs"/>
                            </a:defRPr>
                          </a:lvl6pPr>
                          <a:lvl7pPr marL="2873447" algn="l" defTabSz="957816" rtl="0" eaLnBrk="1" latinLnBrk="0" hangingPunct="1">
                            <a:defRPr sz="1900" kern="1200">
                              <a:solidFill>
                                <a:schemeClr val="tx1"/>
                              </a:solidFill>
                              <a:latin typeface="+mn-lt"/>
                              <a:ea typeface="+mn-ea"/>
                              <a:cs typeface="+mn-cs"/>
                            </a:defRPr>
                          </a:lvl7pPr>
                          <a:lvl8pPr marL="3352355" algn="l" defTabSz="957816" rtl="0" eaLnBrk="1" latinLnBrk="0" hangingPunct="1">
                            <a:defRPr sz="1900" kern="1200">
                              <a:solidFill>
                                <a:schemeClr val="tx1"/>
                              </a:solidFill>
                              <a:latin typeface="+mn-lt"/>
                              <a:ea typeface="+mn-ea"/>
                              <a:cs typeface="+mn-cs"/>
                            </a:defRPr>
                          </a:lvl8pPr>
                          <a:lvl9pPr marL="3831263" algn="l" defTabSz="957816" rtl="0" eaLnBrk="1" latinLnBrk="0" hangingPunct="1">
                            <a:defRPr sz="1900" kern="1200">
                              <a:solidFill>
                                <a:schemeClr val="tx1"/>
                              </a:solidFill>
                              <a:latin typeface="+mn-lt"/>
                              <a:ea typeface="+mn-ea"/>
                              <a:cs typeface="+mn-cs"/>
                            </a:defRPr>
                          </a:lvl9pPr>
                        </a:lstStyle>
                        <a:p>
                          <a:r>
                            <a:rPr lang="en-GB" sz="2600" b="1" dirty="0" smtClean="0"/>
                            <a:t>c</a:t>
                          </a:r>
                          <a:endParaRPr lang="en-GB" sz="2600" b="1" dirty="0"/>
                        </a:p>
                      </a:txBody>
                      <a:useSpRect/>
                    </a:txSp>
                  </a:sp>
                </lc:lockedCanvas>
              </a:graphicData>
            </a:graphic>
          </wp:inline>
        </w:drawing>
      </w:r>
    </w:p>
    <w:p w:rsidR="00B50552" w:rsidRDefault="00381546" w:rsidP="00381546">
      <w:pPr>
        <w:spacing w:after="200"/>
        <w:rPr>
          <w:b/>
          <w:bCs/>
          <w:sz w:val="18"/>
          <w:szCs w:val="18"/>
        </w:rPr>
      </w:pPr>
      <w:r w:rsidRPr="00AF4101">
        <w:rPr>
          <w:b/>
          <w:sz w:val="18"/>
          <w:szCs w:val="18"/>
        </w:rPr>
        <w:t>Figure A1.</w:t>
      </w:r>
      <w:r>
        <w:rPr>
          <w:b/>
          <w:sz w:val="18"/>
          <w:szCs w:val="18"/>
        </w:rPr>
        <w:t xml:space="preserve">5 </w:t>
      </w:r>
      <w:r w:rsidRPr="00381546">
        <w:rPr>
          <w:b/>
          <w:bCs/>
          <w:sz w:val="18"/>
          <w:szCs w:val="18"/>
        </w:rPr>
        <w:t xml:space="preserve">Analysis of variation of RL values with concentration for phosphorothioate, 2’-fluoro and 5-hydroxymethyl dsRNA modifications to insect cells. </w:t>
      </w:r>
    </w:p>
    <w:p w:rsidR="00381546" w:rsidRPr="00381546" w:rsidRDefault="00381546" w:rsidP="00381546">
      <w:pPr>
        <w:spacing w:after="200"/>
        <w:rPr>
          <w:sz w:val="18"/>
          <w:szCs w:val="18"/>
        </w:rPr>
      </w:pPr>
      <w:r w:rsidRPr="00381546">
        <w:rPr>
          <w:sz w:val="18"/>
          <w:szCs w:val="18"/>
        </w:rPr>
        <w:t xml:space="preserve">Graphs of normalised RL values from the luciferase assay results for all concentrations of PS (a), 2’F (b), and HMr (c) FLuc dsRNAs compared to the unmodified FLuc and unmodified F59C6.5 controls. </w:t>
      </w:r>
      <w:r w:rsidRPr="00381546">
        <w:rPr>
          <w:i/>
          <w:iCs/>
          <w:sz w:val="18"/>
          <w:szCs w:val="18"/>
        </w:rPr>
        <w:t>Renilla</w:t>
      </w:r>
      <w:r w:rsidRPr="00381546">
        <w:rPr>
          <w:sz w:val="18"/>
          <w:szCs w:val="18"/>
        </w:rPr>
        <w:t xml:space="preserve"> luciferase luminescence intensity (RL) normalised against RL values for control conditions with no dsRNA. </w:t>
      </w:r>
      <w:r w:rsidR="000137D8">
        <w:rPr>
          <w:sz w:val="18"/>
          <w:szCs w:val="18"/>
        </w:rPr>
        <w:t>n = 6.</w:t>
      </w:r>
    </w:p>
    <w:p w:rsidR="00741158" w:rsidRPr="00381546" w:rsidRDefault="00741158" w:rsidP="00381546">
      <w:pPr>
        <w:pStyle w:val="Heading1"/>
        <w:numPr>
          <w:ilvl w:val="0"/>
          <w:numId w:val="0"/>
        </w:numPr>
        <w:jc w:val="center"/>
        <w:rPr>
          <w:sz w:val="52"/>
          <w:szCs w:val="52"/>
        </w:rPr>
      </w:pPr>
      <w:bookmarkStart w:id="270" w:name="_Toc35334017"/>
      <w:r w:rsidRPr="00381546">
        <w:rPr>
          <w:sz w:val="52"/>
          <w:szCs w:val="52"/>
        </w:rPr>
        <w:lastRenderedPageBreak/>
        <w:t>Appendix 2</w:t>
      </w:r>
      <w:bookmarkEnd w:id="270"/>
    </w:p>
    <w:p w:rsidR="00741158" w:rsidRDefault="00D16286" w:rsidP="00741158">
      <w:r w:rsidRPr="00D16286">
        <w:rPr>
          <w:noProof/>
          <w:lang w:eastAsia="en-GB"/>
        </w:rPr>
        <w:drawing>
          <wp:inline distT="0" distB="0" distL="0" distR="0">
            <wp:extent cx="5731510" cy="4893215"/>
            <wp:effectExtent l="0" t="0" r="2540" b="0"/>
            <wp:docPr id="23"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10600" cy="7350443"/>
                      <a:chOff x="533400" y="1717357"/>
                      <a:chExt cx="8610600" cy="7350443"/>
                    </a:xfrm>
                  </a:grpSpPr>
                  <a:pic>
                    <a:nvPicPr>
                      <a:cNvPr id="22530" name="Picture 2"/>
                      <a:cNvPicPr>
                        <a:picLocks noChangeAspect="1" noChangeArrowheads="1"/>
                      </a:cNvPicPr>
                    </a:nvPicPr>
                    <a:blipFill>
                      <a:blip r:embed="rId117" cstate="print"/>
                      <a:srcRect/>
                      <a:stretch>
                        <a:fillRect/>
                      </a:stretch>
                    </a:blipFill>
                    <a:spPr bwMode="auto">
                      <a:xfrm>
                        <a:off x="990600" y="1905000"/>
                        <a:ext cx="2971800" cy="2901696"/>
                      </a:xfrm>
                      <a:prstGeom prst="rect">
                        <a:avLst/>
                      </a:prstGeom>
                      <a:noFill/>
                      <a:ln w="9525">
                        <a:noFill/>
                        <a:miter lim="800000"/>
                        <a:headEnd/>
                        <a:tailEnd/>
                      </a:ln>
                    </a:spPr>
                  </a:pic>
                  <a:pic>
                    <a:nvPicPr>
                      <a:cNvPr id="22531" name="Picture 3"/>
                      <a:cNvPicPr>
                        <a:picLocks noChangeAspect="1" noChangeArrowheads="1"/>
                      </a:cNvPicPr>
                    </a:nvPicPr>
                    <a:blipFill>
                      <a:blip r:embed="rId118" cstate="print"/>
                      <a:srcRect/>
                      <a:stretch>
                        <a:fillRect/>
                      </a:stretch>
                    </a:blipFill>
                    <a:spPr bwMode="auto">
                      <a:xfrm>
                        <a:off x="3581400" y="1905000"/>
                        <a:ext cx="2971800" cy="2901696"/>
                      </a:xfrm>
                      <a:prstGeom prst="rect">
                        <a:avLst/>
                      </a:prstGeom>
                      <a:noFill/>
                      <a:ln w="9525">
                        <a:noFill/>
                        <a:miter lim="800000"/>
                        <a:headEnd/>
                        <a:tailEnd/>
                      </a:ln>
                    </a:spPr>
                  </a:pic>
                  <a:pic>
                    <a:nvPicPr>
                      <a:cNvPr id="22532" name="Picture 4"/>
                      <a:cNvPicPr>
                        <a:picLocks noChangeAspect="1" noChangeArrowheads="1"/>
                      </a:cNvPicPr>
                    </a:nvPicPr>
                    <a:blipFill>
                      <a:blip r:embed="rId119" cstate="print"/>
                      <a:srcRect/>
                      <a:stretch>
                        <a:fillRect/>
                      </a:stretch>
                    </a:blipFill>
                    <a:spPr bwMode="auto">
                      <a:xfrm>
                        <a:off x="6172200" y="1905000"/>
                        <a:ext cx="2971800" cy="2901696"/>
                      </a:xfrm>
                      <a:prstGeom prst="rect">
                        <a:avLst/>
                      </a:prstGeom>
                      <a:noFill/>
                      <a:ln w="9525">
                        <a:noFill/>
                        <a:miter lim="800000"/>
                        <a:headEnd/>
                        <a:tailEnd/>
                      </a:ln>
                    </a:spPr>
                  </a:pic>
                  <a:pic>
                    <a:nvPicPr>
                      <a:cNvPr id="22533" name="Picture 5"/>
                      <a:cNvPicPr>
                        <a:picLocks noChangeAspect="1" noChangeArrowheads="1"/>
                      </a:cNvPicPr>
                    </a:nvPicPr>
                    <a:blipFill>
                      <a:blip r:embed="rId120" cstate="print"/>
                      <a:srcRect/>
                      <a:stretch>
                        <a:fillRect/>
                      </a:stretch>
                    </a:blipFill>
                    <a:spPr bwMode="auto">
                      <a:xfrm>
                        <a:off x="990600" y="5017008"/>
                        <a:ext cx="2971800" cy="2901696"/>
                      </a:xfrm>
                      <a:prstGeom prst="rect">
                        <a:avLst/>
                      </a:prstGeom>
                      <a:noFill/>
                      <a:ln w="9525">
                        <a:noFill/>
                        <a:miter lim="800000"/>
                        <a:headEnd/>
                        <a:tailEnd/>
                      </a:ln>
                    </a:spPr>
                  </a:pic>
                  <a:pic>
                    <a:nvPicPr>
                      <a:cNvPr id="22534" name="Picture 6"/>
                      <a:cNvPicPr>
                        <a:picLocks noChangeAspect="1" noChangeArrowheads="1"/>
                      </a:cNvPicPr>
                    </a:nvPicPr>
                    <a:blipFill>
                      <a:blip r:embed="rId121" cstate="print"/>
                      <a:srcRect/>
                      <a:stretch>
                        <a:fillRect/>
                      </a:stretch>
                    </a:blipFill>
                    <a:spPr bwMode="auto">
                      <a:xfrm>
                        <a:off x="3581400" y="5023104"/>
                        <a:ext cx="2971800" cy="2901696"/>
                      </a:xfrm>
                      <a:prstGeom prst="rect">
                        <a:avLst/>
                      </a:prstGeom>
                      <a:noFill/>
                      <a:ln w="9525">
                        <a:noFill/>
                        <a:miter lim="800000"/>
                        <a:headEnd/>
                        <a:tailEnd/>
                      </a:ln>
                    </a:spPr>
                  </a:pic>
                  <a:pic>
                    <a:nvPicPr>
                      <a:cNvPr id="22535" name="Picture 7"/>
                      <a:cNvPicPr>
                        <a:picLocks noChangeAspect="1" noChangeArrowheads="1"/>
                      </a:cNvPicPr>
                    </a:nvPicPr>
                    <a:blipFill>
                      <a:blip r:embed="rId122" cstate="print"/>
                      <a:srcRect/>
                      <a:stretch>
                        <a:fillRect/>
                      </a:stretch>
                    </a:blipFill>
                    <a:spPr bwMode="auto">
                      <a:xfrm>
                        <a:off x="6172200" y="5013960"/>
                        <a:ext cx="2971800" cy="2904744"/>
                      </a:xfrm>
                      <a:prstGeom prst="rect">
                        <a:avLst/>
                      </a:prstGeom>
                      <a:noFill/>
                      <a:ln w="9525">
                        <a:noFill/>
                        <a:miter lim="800000"/>
                        <a:headEnd/>
                        <a:tailEnd/>
                      </a:ln>
                    </a:spPr>
                  </a:pic>
                  <a:sp>
                    <a:nvSpPr>
                      <a:cNvPr id="10" name="TextBox 9"/>
                      <a:cNvSpPr txBox="1"/>
                    </a:nvSpPr>
                    <a:spPr>
                      <a:xfrm>
                        <a:off x="533400" y="2362200"/>
                        <a:ext cx="430887" cy="1676400"/>
                      </a:xfrm>
                      <a:prstGeom prst="rect">
                        <a:avLst/>
                      </a:prstGeom>
                      <a:noFill/>
                    </a:spPr>
                    <a:txSp>
                      <a:txBody>
                        <a:bodyPr vert="vert270"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600" b="1" dirty="0" smtClean="0"/>
                            <a:t>Replicate 1</a:t>
                          </a:r>
                          <a:endParaRPr lang="en-GB" sz="1600" b="1" dirty="0"/>
                        </a:p>
                      </a:txBody>
                      <a:useSpRect/>
                    </a:txSp>
                  </a:sp>
                  <a:sp>
                    <a:nvSpPr>
                      <a:cNvPr id="11" name="TextBox 10"/>
                      <a:cNvSpPr txBox="1"/>
                    </a:nvSpPr>
                    <a:spPr>
                      <a:xfrm>
                        <a:off x="533400" y="5556504"/>
                        <a:ext cx="430887" cy="1676400"/>
                      </a:xfrm>
                      <a:prstGeom prst="rect">
                        <a:avLst/>
                      </a:prstGeom>
                      <a:noFill/>
                    </a:spPr>
                    <a:txSp>
                      <a:txBody>
                        <a:bodyPr vert="vert270"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600" b="1" dirty="0" smtClean="0"/>
                            <a:t>Replicate 2</a:t>
                          </a:r>
                          <a:endParaRPr lang="en-GB" sz="1600" b="1" dirty="0"/>
                        </a:p>
                      </a:txBody>
                      <a:useSpRect/>
                    </a:txSp>
                  </a:sp>
                  <a:pic>
                    <a:nvPicPr>
                      <a:cNvPr id="15362" name="Picture 2"/>
                      <a:cNvPicPr>
                        <a:picLocks noChangeAspect="1" noChangeArrowheads="1"/>
                      </a:cNvPicPr>
                    </a:nvPicPr>
                    <a:blipFill>
                      <a:blip r:embed="rId123" cstate="print"/>
                      <a:srcRect l="61686" t="44467" r="817" b="28285"/>
                      <a:stretch>
                        <a:fillRect/>
                      </a:stretch>
                    </a:blipFill>
                    <a:spPr bwMode="auto">
                      <a:xfrm>
                        <a:off x="1524000" y="8153400"/>
                        <a:ext cx="2209800" cy="914400"/>
                      </a:xfrm>
                      <a:prstGeom prst="rect">
                        <a:avLst/>
                      </a:prstGeom>
                      <a:noFill/>
                      <a:ln w="9525">
                        <a:noFill/>
                        <a:miter lim="800000"/>
                        <a:headEnd/>
                        <a:tailEnd/>
                      </a:ln>
                    </a:spPr>
                  </a:pic>
                  <a:sp>
                    <a:nvSpPr>
                      <a:cNvPr id="14" name="TextBox 13"/>
                      <a:cNvSpPr txBox="1"/>
                    </a:nvSpPr>
                    <a:spPr>
                      <a:xfrm>
                        <a:off x="990600" y="17173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5" name="TextBox 14"/>
                      <a:cNvSpPr txBox="1"/>
                    </a:nvSpPr>
                    <a:spPr>
                      <a:xfrm>
                        <a:off x="3505200" y="17173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6" name="TextBox 15"/>
                      <a:cNvSpPr txBox="1"/>
                    </a:nvSpPr>
                    <a:spPr>
                      <a:xfrm>
                        <a:off x="6096000" y="17173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7" name="TextBox 16"/>
                      <a:cNvSpPr txBox="1"/>
                    </a:nvSpPr>
                    <a:spPr>
                      <a:xfrm>
                        <a:off x="990600" y="48415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sp>
                    <a:nvSpPr>
                      <a:cNvPr id="18" name="TextBox 17"/>
                      <a:cNvSpPr txBox="1"/>
                    </a:nvSpPr>
                    <a:spPr>
                      <a:xfrm>
                        <a:off x="3505200" y="48415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e</a:t>
                          </a:r>
                          <a:endParaRPr lang="en-GB" sz="2600" b="1" dirty="0"/>
                        </a:p>
                      </a:txBody>
                      <a:useSpRect/>
                    </a:txSp>
                  </a:sp>
                  <a:sp>
                    <a:nvSpPr>
                      <a:cNvPr id="19" name="TextBox 18"/>
                      <a:cNvSpPr txBox="1"/>
                    </a:nvSpPr>
                    <a:spPr>
                      <a:xfrm>
                        <a:off x="6096000" y="48415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f</a:t>
                          </a:r>
                          <a:endParaRPr lang="en-GB" sz="2600" b="1" dirty="0"/>
                        </a:p>
                      </a:txBody>
                      <a:useSpRect/>
                    </a:txSp>
                  </a:sp>
                </lc:lockedCanvas>
              </a:graphicData>
            </a:graphic>
          </wp:inline>
        </w:drawing>
      </w:r>
    </w:p>
    <w:p w:rsidR="00741158" w:rsidRDefault="00741158" w:rsidP="00741158"/>
    <w:p w:rsidR="00B50552" w:rsidRDefault="00D16286" w:rsidP="00D16286">
      <w:pPr>
        <w:spacing w:after="200" w:line="240" w:lineRule="auto"/>
        <w:rPr>
          <w:sz w:val="18"/>
          <w:szCs w:val="18"/>
        </w:rPr>
      </w:pPr>
      <w:r w:rsidRPr="00D16286">
        <w:rPr>
          <w:b/>
          <w:bCs/>
          <w:sz w:val="18"/>
          <w:szCs w:val="18"/>
        </w:rPr>
        <w:t xml:space="preserve">Figure A2.1 </w:t>
      </w:r>
      <w:r w:rsidRPr="00D16286">
        <w:rPr>
          <w:b/>
          <w:sz w:val="18"/>
          <w:szCs w:val="18"/>
        </w:rPr>
        <w:t>WCR modified 1PS dsRNA plate feeding assay.</w:t>
      </w:r>
      <w:r w:rsidRPr="00D16286">
        <w:rPr>
          <w:sz w:val="18"/>
          <w:szCs w:val="18"/>
        </w:rPr>
        <w:t xml:space="preserve"> </w:t>
      </w:r>
    </w:p>
    <w:p w:rsidR="00D16286" w:rsidRPr="00D16286" w:rsidRDefault="00D16286" w:rsidP="00D16286">
      <w:pPr>
        <w:spacing w:after="200" w:line="240" w:lineRule="auto"/>
        <w:rPr>
          <w:sz w:val="18"/>
          <w:szCs w:val="18"/>
        </w:rPr>
      </w:pPr>
      <w:r w:rsidRPr="00D16286">
        <w:rPr>
          <w:sz w:val="18"/>
          <w:szCs w:val="18"/>
        </w:rPr>
        <w:t xml:space="preserve">WCR fed on an artificial diet containing dsRNA in well plates and mortality measured over 7 days. GFP Rep 1 n = 47, Rep 2 n = 50; Unmod Rep 1 n = 47, 43, Rep 2 n = 49, 54; Un-1PS Rep 1 n = 45, 52, Rep 2 n = 47, 49; 1PS-Un Rep 1 n = 48, 48, Rep 2 n = 46, 48; 1PS-1PS Rep 1 n = 48, 49, Rep 2 n = 50, 48; No dsRNA Rep 1 n = 96, Rep 2 n = 97; (a) Survival timecourse for Un-1PS dsRNA, replicate 1. (b) Survival timecourse, for 1PS-Un dsRNA, replicate 1. (c) Survival timecourse for 1PS-1PS dsRNA, replicate 1. (d) Survival timecourse for Un-1PS dsRNA, replicate 2. (e) Survival timecourse for 1PS-Un dsRNA, replicate 2. (c) Survival timecourse for 1PS-1PS dsRNA, replicate 2. </w:t>
      </w:r>
    </w:p>
    <w:p w:rsidR="00D16286" w:rsidRDefault="00741158" w:rsidP="00D16286">
      <w:pPr>
        <w:spacing w:after="200"/>
        <w:jc w:val="left"/>
        <w:rPr>
          <w:rFonts w:ascii="Calibri" w:eastAsia="+mn-ea" w:hAnsi="Calibri" w:cs="+mn-cs"/>
          <w:b/>
          <w:bCs/>
          <w:color w:val="000000"/>
          <w:kern w:val="24"/>
          <w:sz w:val="20"/>
          <w:szCs w:val="20"/>
          <w:lang w:eastAsia="en-GB"/>
        </w:rPr>
      </w:pPr>
      <w:r>
        <w:br w:type="page"/>
      </w:r>
      <w:r w:rsidR="00D16286" w:rsidRPr="00D16286">
        <w:rPr>
          <w:noProof/>
          <w:lang w:eastAsia="en-GB"/>
        </w:rPr>
        <w:lastRenderedPageBreak/>
        <w:drawing>
          <wp:inline distT="0" distB="0" distL="0" distR="0">
            <wp:extent cx="5731510" cy="4896889"/>
            <wp:effectExtent l="0" t="0" r="2540" b="0"/>
            <wp:docPr id="28" name="Objec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10600" cy="7356539"/>
                      <a:chOff x="381000" y="1793557"/>
                      <a:chExt cx="8610600" cy="7356539"/>
                    </a:xfrm>
                  </a:grpSpPr>
                  <a:pic>
                    <a:nvPicPr>
                      <a:cNvPr id="23560" name="Picture 8"/>
                      <a:cNvPicPr>
                        <a:picLocks noChangeAspect="1" noChangeArrowheads="1"/>
                      </a:cNvPicPr>
                    </a:nvPicPr>
                    <a:blipFill>
                      <a:blip r:embed="rId124" cstate="print"/>
                      <a:srcRect/>
                      <a:stretch>
                        <a:fillRect/>
                      </a:stretch>
                    </a:blipFill>
                    <a:spPr bwMode="auto">
                      <a:xfrm>
                        <a:off x="838200" y="2057400"/>
                        <a:ext cx="2974848" cy="2901696"/>
                      </a:xfrm>
                      <a:prstGeom prst="rect">
                        <a:avLst/>
                      </a:prstGeom>
                      <a:noFill/>
                      <a:ln w="9525">
                        <a:noFill/>
                        <a:miter lim="800000"/>
                        <a:headEnd/>
                        <a:tailEnd/>
                      </a:ln>
                    </a:spPr>
                  </a:pic>
                  <a:pic>
                    <a:nvPicPr>
                      <a:cNvPr id="23556" name="Picture 4"/>
                      <a:cNvPicPr>
                        <a:picLocks noChangeAspect="1" noChangeArrowheads="1"/>
                      </a:cNvPicPr>
                    </a:nvPicPr>
                    <a:blipFill>
                      <a:blip r:embed="rId125" cstate="print"/>
                      <a:srcRect/>
                      <a:stretch>
                        <a:fillRect/>
                      </a:stretch>
                    </a:blipFill>
                    <a:spPr bwMode="auto">
                      <a:xfrm>
                        <a:off x="838200" y="5105400"/>
                        <a:ext cx="2971800" cy="2901696"/>
                      </a:xfrm>
                      <a:prstGeom prst="rect">
                        <a:avLst/>
                      </a:prstGeom>
                      <a:noFill/>
                      <a:ln w="9525">
                        <a:noFill/>
                        <a:miter lim="800000"/>
                        <a:headEnd/>
                        <a:tailEnd/>
                      </a:ln>
                    </a:spPr>
                  </a:pic>
                  <a:pic>
                    <a:nvPicPr>
                      <a:cNvPr id="23554" name="Picture 2"/>
                      <a:cNvPicPr>
                        <a:picLocks noChangeAspect="1" noChangeArrowheads="1"/>
                      </a:cNvPicPr>
                    </a:nvPicPr>
                    <a:blipFill>
                      <a:blip r:embed="rId126" cstate="print"/>
                      <a:srcRect/>
                      <a:stretch>
                        <a:fillRect/>
                      </a:stretch>
                    </a:blipFill>
                    <a:spPr bwMode="auto">
                      <a:xfrm>
                        <a:off x="3429000" y="2057400"/>
                        <a:ext cx="2971800" cy="2901696"/>
                      </a:xfrm>
                      <a:prstGeom prst="rect">
                        <a:avLst/>
                      </a:prstGeom>
                      <a:noFill/>
                      <a:ln w="9525">
                        <a:noFill/>
                        <a:miter lim="800000"/>
                        <a:headEnd/>
                        <a:tailEnd/>
                      </a:ln>
                    </a:spPr>
                  </a:pic>
                  <a:pic>
                    <a:nvPicPr>
                      <a:cNvPr id="23555" name="Picture 3"/>
                      <a:cNvPicPr>
                        <a:picLocks noChangeAspect="1" noChangeArrowheads="1"/>
                      </a:cNvPicPr>
                    </a:nvPicPr>
                    <a:blipFill>
                      <a:blip r:embed="rId127" cstate="print"/>
                      <a:srcRect/>
                      <a:stretch>
                        <a:fillRect/>
                      </a:stretch>
                    </a:blipFill>
                    <a:spPr bwMode="auto">
                      <a:xfrm>
                        <a:off x="6019800" y="2057400"/>
                        <a:ext cx="2971800" cy="2901696"/>
                      </a:xfrm>
                      <a:prstGeom prst="rect">
                        <a:avLst/>
                      </a:prstGeom>
                      <a:noFill/>
                      <a:ln w="9525">
                        <a:noFill/>
                        <a:miter lim="800000"/>
                        <a:headEnd/>
                        <a:tailEnd/>
                      </a:ln>
                    </a:spPr>
                  </a:pic>
                  <a:pic>
                    <a:nvPicPr>
                      <a:cNvPr id="23557" name="Picture 5"/>
                      <a:cNvPicPr>
                        <a:picLocks noChangeAspect="1" noChangeArrowheads="1"/>
                      </a:cNvPicPr>
                    </a:nvPicPr>
                    <a:blipFill>
                      <a:blip r:embed="rId128" cstate="print"/>
                      <a:srcRect/>
                      <a:stretch>
                        <a:fillRect/>
                      </a:stretch>
                    </a:blipFill>
                    <a:spPr bwMode="auto">
                      <a:xfrm>
                        <a:off x="3429000" y="5105400"/>
                        <a:ext cx="2971800" cy="2901696"/>
                      </a:xfrm>
                      <a:prstGeom prst="rect">
                        <a:avLst/>
                      </a:prstGeom>
                      <a:noFill/>
                      <a:ln w="9525">
                        <a:noFill/>
                        <a:miter lim="800000"/>
                        <a:headEnd/>
                        <a:tailEnd/>
                      </a:ln>
                    </a:spPr>
                  </a:pic>
                  <a:pic>
                    <a:nvPicPr>
                      <a:cNvPr id="23558" name="Picture 6"/>
                      <a:cNvPicPr>
                        <a:picLocks noChangeAspect="1" noChangeArrowheads="1"/>
                      </a:cNvPicPr>
                    </a:nvPicPr>
                    <a:blipFill>
                      <a:blip r:embed="rId129" cstate="print"/>
                      <a:srcRect/>
                      <a:stretch>
                        <a:fillRect/>
                      </a:stretch>
                    </a:blipFill>
                    <a:spPr bwMode="auto">
                      <a:xfrm>
                        <a:off x="6019800" y="5105400"/>
                        <a:ext cx="2971800" cy="2901696"/>
                      </a:xfrm>
                      <a:prstGeom prst="rect">
                        <a:avLst/>
                      </a:prstGeom>
                      <a:noFill/>
                      <a:ln w="9525">
                        <a:noFill/>
                        <a:miter lim="800000"/>
                        <a:headEnd/>
                        <a:tailEnd/>
                      </a:ln>
                    </a:spPr>
                  </a:pic>
                  <a:sp>
                    <a:nvSpPr>
                      <a:cNvPr id="10" name="TextBox 9"/>
                      <a:cNvSpPr txBox="1"/>
                    </a:nvSpPr>
                    <a:spPr>
                      <a:xfrm>
                        <a:off x="381000" y="2514600"/>
                        <a:ext cx="430887" cy="1676400"/>
                      </a:xfrm>
                      <a:prstGeom prst="rect">
                        <a:avLst/>
                      </a:prstGeom>
                      <a:noFill/>
                    </a:spPr>
                    <a:txSp>
                      <a:txBody>
                        <a:bodyPr vert="vert270"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600" b="1" dirty="0" smtClean="0"/>
                            <a:t>Replicate 1</a:t>
                          </a:r>
                          <a:endParaRPr lang="en-GB" sz="1600" b="1" dirty="0"/>
                        </a:p>
                      </a:txBody>
                      <a:useSpRect/>
                    </a:txSp>
                  </a:sp>
                  <a:sp>
                    <a:nvSpPr>
                      <a:cNvPr id="11" name="TextBox 10"/>
                      <a:cNvSpPr txBox="1"/>
                    </a:nvSpPr>
                    <a:spPr>
                      <a:xfrm>
                        <a:off x="381000" y="5644896"/>
                        <a:ext cx="430887" cy="1676400"/>
                      </a:xfrm>
                      <a:prstGeom prst="rect">
                        <a:avLst/>
                      </a:prstGeom>
                      <a:noFill/>
                    </a:spPr>
                    <a:txSp>
                      <a:txBody>
                        <a:bodyPr vert="vert270"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pPr algn="ctr"/>
                          <a:r>
                            <a:rPr lang="en-GB" sz="1600" b="1" dirty="0" smtClean="0"/>
                            <a:t>Replicate 2</a:t>
                          </a:r>
                          <a:endParaRPr lang="en-GB" sz="1600" b="1" dirty="0"/>
                        </a:p>
                      </a:txBody>
                      <a:useSpRect/>
                    </a:txSp>
                  </a:sp>
                  <a:pic>
                    <a:nvPicPr>
                      <a:cNvPr id="14" name="Picture 2"/>
                      <a:cNvPicPr>
                        <a:picLocks noChangeAspect="1" noChangeArrowheads="1"/>
                      </a:cNvPicPr>
                    </a:nvPicPr>
                    <a:blipFill>
                      <a:blip r:embed="rId123" cstate="print"/>
                      <a:srcRect l="61686" t="44467" r="817" b="28285"/>
                      <a:stretch>
                        <a:fillRect/>
                      </a:stretch>
                    </a:blipFill>
                    <a:spPr bwMode="auto">
                      <a:xfrm>
                        <a:off x="1371600" y="8235696"/>
                        <a:ext cx="2209800" cy="914400"/>
                      </a:xfrm>
                      <a:prstGeom prst="rect">
                        <a:avLst/>
                      </a:prstGeom>
                      <a:noFill/>
                      <a:ln w="9525">
                        <a:noFill/>
                        <a:miter lim="800000"/>
                        <a:headEnd/>
                        <a:tailEnd/>
                      </a:ln>
                    </a:spPr>
                  </a:pic>
                  <a:sp>
                    <a:nvSpPr>
                      <a:cNvPr id="15" name="TextBox 14"/>
                      <a:cNvSpPr txBox="1"/>
                    </a:nvSpPr>
                    <a:spPr>
                      <a:xfrm>
                        <a:off x="990600" y="17935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6" name="TextBox 15"/>
                      <a:cNvSpPr txBox="1"/>
                    </a:nvSpPr>
                    <a:spPr>
                      <a:xfrm>
                        <a:off x="3505200" y="17935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7" name="TextBox 16"/>
                      <a:cNvSpPr txBox="1"/>
                    </a:nvSpPr>
                    <a:spPr>
                      <a:xfrm>
                        <a:off x="6096000" y="17935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8" name="TextBox 17"/>
                      <a:cNvSpPr txBox="1"/>
                    </a:nvSpPr>
                    <a:spPr>
                      <a:xfrm>
                        <a:off x="990600" y="49177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sp>
                    <a:nvSpPr>
                      <a:cNvPr id="19" name="TextBox 18"/>
                      <a:cNvSpPr txBox="1"/>
                    </a:nvSpPr>
                    <a:spPr>
                      <a:xfrm>
                        <a:off x="3505200" y="49177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e</a:t>
                          </a:r>
                          <a:endParaRPr lang="en-GB" sz="2600" b="1" dirty="0"/>
                        </a:p>
                      </a:txBody>
                      <a:useSpRect/>
                    </a:txSp>
                  </a:sp>
                  <a:sp>
                    <a:nvSpPr>
                      <a:cNvPr id="20" name="TextBox 19"/>
                      <a:cNvSpPr txBox="1"/>
                    </a:nvSpPr>
                    <a:spPr>
                      <a:xfrm>
                        <a:off x="6096000" y="49177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f</a:t>
                          </a:r>
                          <a:endParaRPr lang="en-GB" sz="2600" b="1" dirty="0"/>
                        </a:p>
                      </a:txBody>
                      <a:useSpRect/>
                    </a:txSp>
                  </a:sp>
                </lc:lockedCanvas>
              </a:graphicData>
            </a:graphic>
          </wp:inline>
        </w:drawing>
      </w:r>
      <w:r w:rsidR="00D16286" w:rsidRPr="00D16286">
        <w:rPr>
          <w:rFonts w:ascii="Calibri" w:eastAsia="+mn-ea" w:hAnsi="Calibri" w:cs="+mn-cs"/>
          <w:b/>
          <w:bCs/>
          <w:color w:val="000000"/>
          <w:kern w:val="24"/>
          <w:sz w:val="20"/>
          <w:szCs w:val="20"/>
          <w:lang w:eastAsia="en-GB"/>
        </w:rPr>
        <w:t xml:space="preserve"> </w:t>
      </w:r>
    </w:p>
    <w:p w:rsidR="00B50552" w:rsidRDefault="00D16286" w:rsidP="00D16286">
      <w:pPr>
        <w:spacing w:after="200" w:line="240" w:lineRule="auto"/>
        <w:rPr>
          <w:sz w:val="18"/>
          <w:szCs w:val="18"/>
        </w:rPr>
      </w:pPr>
      <w:r w:rsidRPr="00D16286">
        <w:rPr>
          <w:b/>
          <w:bCs/>
          <w:sz w:val="18"/>
          <w:szCs w:val="18"/>
        </w:rPr>
        <w:t>Figure A</w:t>
      </w:r>
      <w:r>
        <w:rPr>
          <w:b/>
          <w:bCs/>
          <w:sz w:val="18"/>
          <w:szCs w:val="18"/>
        </w:rPr>
        <w:t>2.</w:t>
      </w:r>
      <w:r w:rsidRPr="00D16286">
        <w:rPr>
          <w:b/>
          <w:bCs/>
          <w:sz w:val="18"/>
          <w:szCs w:val="18"/>
        </w:rPr>
        <w:t xml:space="preserve">2 </w:t>
      </w:r>
      <w:r w:rsidRPr="00D16286">
        <w:rPr>
          <w:b/>
          <w:sz w:val="18"/>
          <w:szCs w:val="18"/>
        </w:rPr>
        <w:t>WCR modified 2PS dsRNA plate feeding assay.</w:t>
      </w:r>
      <w:r w:rsidRPr="00D16286">
        <w:rPr>
          <w:sz w:val="18"/>
          <w:szCs w:val="18"/>
        </w:rPr>
        <w:t xml:space="preserve"> </w:t>
      </w:r>
    </w:p>
    <w:p w:rsidR="00D16286" w:rsidRPr="00D16286" w:rsidRDefault="00D16286" w:rsidP="00D16286">
      <w:pPr>
        <w:spacing w:after="200" w:line="240" w:lineRule="auto"/>
        <w:rPr>
          <w:sz w:val="18"/>
          <w:szCs w:val="18"/>
        </w:rPr>
      </w:pPr>
      <w:r w:rsidRPr="00D16286">
        <w:rPr>
          <w:sz w:val="18"/>
          <w:szCs w:val="18"/>
        </w:rPr>
        <w:t xml:space="preserve">WCR fed on an artificial diet containing dsRNA in well plates and mortality measured over 7 days. GFP Rep 1 n = 47, Rep 2 n = 50; Unmod Rep 1 n = 47, 43, Rep 2 n = 49, 54; Un-2PS Rep 1 n = 55, 54, Rep 2 n = 50, 42; 2PS-Un Rep 1 n = 44, 50, Rep 2 n = 49, 48; 2PS-2PS Rep 1 n = 49, 48, Rep 2 n = 46, 45; No dsRNA Rep 1 n = 96, Rep 2 n = 97; (a) Survival timecourse for Un-2PS dsRNA, replicate 1. (b) Survival timecourse, for 2PS-Un dsRNA, replicate 1. (c) Survival timecourse for 2PS-2PS dsRNA, replicate 1. (d) Survival timecourse for Un-2PS dsRNA, replicate 2. (e) Survival timecourse for 2PS-Un dsRNA, replicate 2. (c) Survival timecourse for 2PS-2PS dsRNA, replicate 2. </w:t>
      </w:r>
    </w:p>
    <w:p w:rsidR="00D16286" w:rsidRDefault="00D16286" w:rsidP="00D16286">
      <w:pPr>
        <w:spacing w:after="200" w:line="240" w:lineRule="auto"/>
        <w:rPr>
          <w:sz w:val="18"/>
          <w:szCs w:val="18"/>
        </w:rPr>
      </w:pPr>
      <w:r w:rsidRPr="00D16286">
        <w:rPr>
          <w:sz w:val="18"/>
          <w:szCs w:val="18"/>
        </w:rPr>
        <w:br w:type="page"/>
      </w:r>
    </w:p>
    <w:p w:rsidR="00D16286" w:rsidRDefault="00D16286" w:rsidP="00D16286">
      <w:pPr>
        <w:spacing w:after="200" w:line="240" w:lineRule="auto"/>
        <w:rPr>
          <w:sz w:val="18"/>
          <w:szCs w:val="18"/>
        </w:rPr>
      </w:pPr>
      <w:r w:rsidRPr="00D16286">
        <w:rPr>
          <w:noProof/>
          <w:sz w:val="18"/>
          <w:szCs w:val="18"/>
          <w:lang w:eastAsia="en-GB"/>
        </w:rPr>
        <w:lastRenderedPageBreak/>
        <w:drawing>
          <wp:inline distT="0" distB="0" distL="0" distR="0">
            <wp:extent cx="5731510" cy="4180451"/>
            <wp:effectExtent l="0" t="0" r="2540" b="0"/>
            <wp:docPr id="36"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02752" cy="6055043"/>
                      <a:chOff x="1066800" y="1717357"/>
                      <a:chExt cx="8302752" cy="6055043"/>
                    </a:xfrm>
                  </a:grpSpPr>
                  <a:pic>
                    <a:nvPicPr>
                      <a:cNvPr id="15362" name="Picture 2"/>
                      <a:cNvPicPr>
                        <a:picLocks noChangeAspect="1" noChangeArrowheads="1"/>
                      </a:cNvPicPr>
                    </a:nvPicPr>
                    <a:blipFill>
                      <a:blip r:embed="rId130" cstate="print"/>
                      <a:srcRect r="29929"/>
                      <a:stretch>
                        <a:fillRect/>
                      </a:stretch>
                    </a:blipFill>
                    <a:spPr bwMode="auto">
                      <a:xfrm>
                        <a:off x="1143000" y="1905000"/>
                        <a:ext cx="2603496" cy="2901696"/>
                      </a:xfrm>
                      <a:prstGeom prst="rect">
                        <a:avLst/>
                      </a:prstGeom>
                      <a:noFill/>
                      <a:ln w="9525">
                        <a:noFill/>
                        <a:miter lim="800000"/>
                        <a:headEnd/>
                        <a:tailEnd/>
                      </a:ln>
                    </a:spPr>
                  </a:pic>
                  <a:pic>
                    <a:nvPicPr>
                      <a:cNvPr id="15365" name="Picture 5"/>
                      <a:cNvPicPr>
                        <a:picLocks noChangeAspect="1" noChangeArrowheads="1"/>
                      </a:cNvPicPr>
                    </a:nvPicPr>
                    <a:blipFill>
                      <a:blip r:embed="rId131" cstate="print"/>
                      <a:srcRect/>
                      <a:stretch>
                        <a:fillRect/>
                      </a:stretch>
                    </a:blipFill>
                    <a:spPr bwMode="auto">
                      <a:xfrm>
                        <a:off x="3810000" y="1905000"/>
                        <a:ext cx="2968752" cy="2901696"/>
                      </a:xfrm>
                      <a:prstGeom prst="rect">
                        <a:avLst/>
                      </a:prstGeom>
                      <a:noFill/>
                      <a:ln w="9525">
                        <a:noFill/>
                        <a:miter lim="800000"/>
                        <a:headEnd/>
                        <a:tailEnd/>
                      </a:ln>
                    </a:spPr>
                  </a:pic>
                  <a:pic>
                    <a:nvPicPr>
                      <a:cNvPr id="15367" name="Picture 7"/>
                      <a:cNvPicPr>
                        <a:picLocks noChangeAspect="1" noChangeArrowheads="1"/>
                      </a:cNvPicPr>
                    </a:nvPicPr>
                    <a:blipFill>
                      <a:blip r:embed="rId132" cstate="print"/>
                      <a:srcRect/>
                      <a:stretch>
                        <a:fillRect/>
                      </a:stretch>
                    </a:blipFill>
                    <a:spPr bwMode="auto">
                      <a:xfrm>
                        <a:off x="3810000" y="4870704"/>
                        <a:ext cx="2968752" cy="2901696"/>
                      </a:xfrm>
                      <a:prstGeom prst="rect">
                        <a:avLst/>
                      </a:prstGeom>
                      <a:noFill/>
                      <a:ln w="9525">
                        <a:noFill/>
                        <a:miter lim="800000"/>
                        <a:headEnd/>
                        <a:tailEnd/>
                      </a:ln>
                    </a:spPr>
                  </a:pic>
                  <a:pic>
                    <a:nvPicPr>
                      <a:cNvPr id="15368" name="Picture 8"/>
                      <a:cNvPicPr>
                        <a:picLocks noChangeAspect="1" noChangeArrowheads="1"/>
                      </a:cNvPicPr>
                    </a:nvPicPr>
                    <a:blipFill>
                      <a:blip r:embed="rId133" cstate="print"/>
                      <a:srcRect/>
                      <a:stretch>
                        <a:fillRect/>
                      </a:stretch>
                    </a:blipFill>
                    <a:spPr bwMode="auto">
                      <a:xfrm>
                        <a:off x="6400800" y="1905000"/>
                        <a:ext cx="2968752" cy="2901696"/>
                      </a:xfrm>
                      <a:prstGeom prst="rect">
                        <a:avLst/>
                      </a:prstGeom>
                      <a:noFill/>
                      <a:ln w="9525">
                        <a:noFill/>
                        <a:miter lim="800000"/>
                        <a:headEnd/>
                        <a:tailEnd/>
                      </a:ln>
                    </a:spPr>
                  </a:pic>
                  <a:pic>
                    <a:nvPicPr>
                      <a:cNvPr id="15369" name="Picture 9"/>
                      <a:cNvPicPr>
                        <a:picLocks noChangeAspect="1" noChangeArrowheads="1"/>
                      </a:cNvPicPr>
                    </a:nvPicPr>
                    <a:blipFill>
                      <a:blip r:embed="rId134" cstate="print"/>
                      <a:srcRect/>
                      <a:stretch>
                        <a:fillRect/>
                      </a:stretch>
                    </a:blipFill>
                    <a:spPr bwMode="auto">
                      <a:xfrm>
                        <a:off x="6400800" y="4794504"/>
                        <a:ext cx="2968752" cy="2901696"/>
                      </a:xfrm>
                      <a:prstGeom prst="rect">
                        <a:avLst/>
                      </a:prstGeom>
                      <a:noFill/>
                      <a:ln w="9525">
                        <a:noFill/>
                        <a:miter lim="800000"/>
                        <a:headEnd/>
                        <a:tailEnd/>
                      </a:ln>
                    </a:spPr>
                  </a:pic>
                  <a:pic>
                    <a:nvPicPr>
                      <a:cNvPr id="10" name="Picture 9"/>
                      <a:cNvPicPr>
                        <a:picLocks noChangeAspect="1" noChangeArrowheads="1"/>
                      </a:cNvPicPr>
                    </a:nvPicPr>
                    <a:blipFill>
                      <a:blip r:embed="rId93" cstate="print"/>
                      <a:srcRect l="16898" t="80673" r="33479" b="4125"/>
                      <a:stretch>
                        <a:fillRect/>
                      </a:stretch>
                    </a:blipFill>
                    <a:spPr bwMode="auto">
                      <a:xfrm>
                        <a:off x="1524000" y="5029200"/>
                        <a:ext cx="2209800" cy="838200"/>
                      </a:xfrm>
                      <a:prstGeom prst="rect">
                        <a:avLst/>
                      </a:prstGeom>
                      <a:noFill/>
                      <a:ln w="9525">
                        <a:noFill/>
                        <a:miter lim="800000"/>
                        <a:headEnd/>
                        <a:tailEnd/>
                      </a:ln>
                    </a:spPr>
                  </a:pic>
                  <a:pic>
                    <a:nvPicPr>
                      <a:cNvPr id="11" name="Picture 10"/>
                      <a:cNvPicPr>
                        <a:picLocks noChangeAspect="1" noChangeArrowheads="1"/>
                      </a:cNvPicPr>
                    </a:nvPicPr>
                    <a:blipFill>
                      <a:blip r:embed="rId94" cstate="print"/>
                      <a:srcRect l="15186" t="79577" r="33479" b="4098"/>
                      <a:stretch>
                        <a:fillRect/>
                      </a:stretch>
                    </a:blipFill>
                    <a:spPr bwMode="auto">
                      <a:xfrm>
                        <a:off x="1447800" y="6404610"/>
                        <a:ext cx="2286000" cy="910590"/>
                      </a:xfrm>
                      <a:prstGeom prst="rect">
                        <a:avLst/>
                      </a:prstGeom>
                      <a:noFill/>
                      <a:ln w="9525">
                        <a:noFill/>
                        <a:miter lim="800000"/>
                        <a:headEnd/>
                        <a:tailEnd/>
                      </a:ln>
                    </a:spPr>
                  </a:pic>
                  <a:sp>
                    <a:nvSpPr>
                      <a:cNvPr id="12" name="TextBox 11"/>
                      <a:cNvSpPr txBox="1"/>
                    </a:nvSpPr>
                    <a:spPr>
                      <a:xfrm>
                        <a:off x="1600200" y="6123801"/>
                        <a:ext cx="1905000" cy="276999"/>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200" b="1" dirty="0" smtClean="0">
                              <a:latin typeface="Arial" pitchFamily="34" charset="0"/>
                              <a:cs typeface="Arial" pitchFamily="34" charset="0"/>
                            </a:rPr>
                            <a:t>Legend: b, c, d, e</a:t>
                          </a:r>
                          <a:endParaRPr lang="en-GB" sz="1200" b="1" dirty="0">
                            <a:latin typeface="Arial" pitchFamily="34" charset="0"/>
                            <a:cs typeface="Arial" pitchFamily="34" charset="0"/>
                          </a:endParaRPr>
                        </a:p>
                      </a:txBody>
                      <a:useSpRect/>
                    </a:txSp>
                  </a:sp>
                  <a:sp>
                    <a:nvSpPr>
                      <a:cNvPr id="13" name="TextBox 12"/>
                      <a:cNvSpPr txBox="1"/>
                    </a:nvSpPr>
                    <a:spPr>
                      <a:xfrm>
                        <a:off x="1600200" y="4800600"/>
                        <a:ext cx="1905000" cy="276999"/>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1200" b="1" dirty="0" smtClean="0">
                              <a:latin typeface="Arial" pitchFamily="34" charset="0"/>
                              <a:cs typeface="Arial" pitchFamily="34" charset="0"/>
                            </a:rPr>
                            <a:t>Legend: a</a:t>
                          </a:r>
                          <a:endParaRPr lang="en-GB" sz="1200" b="1" dirty="0">
                            <a:latin typeface="Arial" pitchFamily="34" charset="0"/>
                            <a:cs typeface="Arial" pitchFamily="34" charset="0"/>
                          </a:endParaRPr>
                        </a:p>
                      </a:txBody>
                      <a:useSpRect/>
                    </a:txSp>
                  </a:sp>
                  <a:sp>
                    <a:nvSpPr>
                      <a:cNvPr id="15" name="TextBox 14"/>
                      <a:cNvSpPr txBox="1"/>
                    </a:nvSpPr>
                    <a:spPr>
                      <a:xfrm>
                        <a:off x="1066800" y="17173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a</a:t>
                          </a:r>
                          <a:endParaRPr lang="en-GB" sz="2600" b="1" dirty="0"/>
                        </a:p>
                      </a:txBody>
                      <a:useSpRect/>
                    </a:txSp>
                  </a:sp>
                  <a:sp>
                    <a:nvSpPr>
                      <a:cNvPr id="16" name="TextBox 15"/>
                      <a:cNvSpPr txBox="1"/>
                    </a:nvSpPr>
                    <a:spPr>
                      <a:xfrm>
                        <a:off x="3733800" y="1752600"/>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b</a:t>
                          </a:r>
                          <a:endParaRPr lang="en-GB" sz="2600" b="1" dirty="0"/>
                        </a:p>
                      </a:txBody>
                      <a:useSpRect/>
                    </a:txSp>
                  </a:sp>
                  <a:sp>
                    <a:nvSpPr>
                      <a:cNvPr id="17" name="TextBox 16"/>
                      <a:cNvSpPr txBox="1"/>
                    </a:nvSpPr>
                    <a:spPr>
                      <a:xfrm>
                        <a:off x="6324600" y="17173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c</a:t>
                          </a:r>
                          <a:endParaRPr lang="en-GB" sz="2600" b="1" dirty="0"/>
                        </a:p>
                      </a:txBody>
                      <a:useSpRect/>
                    </a:txSp>
                  </a:sp>
                  <a:sp>
                    <a:nvSpPr>
                      <a:cNvPr id="18" name="TextBox 17"/>
                      <a:cNvSpPr txBox="1"/>
                    </a:nvSpPr>
                    <a:spPr>
                      <a:xfrm>
                        <a:off x="3733800" y="46891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d</a:t>
                          </a:r>
                          <a:endParaRPr lang="en-GB" sz="2600" b="1" dirty="0"/>
                        </a:p>
                      </a:txBody>
                      <a:useSpRect/>
                    </a:txSp>
                  </a:sp>
                  <a:sp>
                    <a:nvSpPr>
                      <a:cNvPr id="19" name="TextBox 18"/>
                      <a:cNvSpPr txBox="1"/>
                    </a:nvSpPr>
                    <a:spPr>
                      <a:xfrm>
                        <a:off x="6324600" y="4689157"/>
                        <a:ext cx="304800" cy="492443"/>
                      </a:xfrm>
                      <a:prstGeom prst="rect">
                        <a:avLst/>
                      </a:prstGeom>
                      <a:noFill/>
                    </a:spPr>
                    <a:txSp>
                      <a:txBody>
                        <a:bodyPr wrap="square" rtlCol="0">
                          <a:spAutoFit/>
                        </a:bodyPr>
                        <a:lstStyle>
                          <a:defPPr>
                            <a:defRPr lang="en-US"/>
                          </a:defPPr>
                          <a:lvl1pPr marL="0" algn="l" defTabSz="1280160" rtl="0" eaLnBrk="1" latinLnBrk="0" hangingPunct="1">
                            <a:defRPr sz="2500" kern="1200">
                              <a:solidFill>
                                <a:schemeClr val="tx1"/>
                              </a:solidFill>
                              <a:latin typeface="+mn-lt"/>
                              <a:ea typeface="+mn-ea"/>
                              <a:cs typeface="+mn-cs"/>
                            </a:defRPr>
                          </a:lvl1pPr>
                          <a:lvl2pPr marL="640080" algn="l" defTabSz="1280160" rtl="0" eaLnBrk="1" latinLnBrk="0" hangingPunct="1">
                            <a:defRPr sz="2500" kern="1200">
                              <a:solidFill>
                                <a:schemeClr val="tx1"/>
                              </a:solidFill>
                              <a:latin typeface="+mn-lt"/>
                              <a:ea typeface="+mn-ea"/>
                              <a:cs typeface="+mn-cs"/>
                            </a:defRPr>
                          </a:lvl2pPr>
                          <a:lvl3pPr marL="1280160" algn="l" defTabSz="1280160" rtl="0" eaLnBrk="1" latinLnBrk="0" hangingPunct="1">
                            <a:defRPr sz="2500" kern="1200">
                              <a:solidFill>
                                <a:schemeClr val="tx1"/>
                              </a:solidFill>
                              <a:latin typeface="+mn-lt"/>
                              <a:ea typeface="+mn-ea"/>
                              <a:cs typeface="+mn-cs"/>
                            </a:defRPr>
                          </a:lvl3pPr>
                          <a:lvl4pPr marL="1920240" algn="l" defTabSz="1280160" rtl="0" eaLnBrk="1" latinLnBrk="0" hangingPunct="1">
                            <a:defRPr sz="2500" kern="1200">
                              <a:solidFill>
                                <a:schemeClr val="tx1"/>
                              </a:solidFill>
                              <a:latin typeface="+mn-lt"/>
                              <a:ea typeface="+mn-ea"/>
                              <a:cs typeface="+mn-cs"/>
                            </a:defRPr>
                          </a:lvl4pPr>
                          <a:lvl5pPr marL="2560320" algn="l" defTabSz="1280160" rtl="0" eaLnBrk="1" latinLnBrk="0" hangingPunct="1">
                            <a:defRPr sz="2500" kern="1200">
                              <a:solidFill>
                                <a:schemeClr val="tx1"/>
                              </a:solidFill>
                              <a:latin typeface="+mn-lt"/>
                              <a:ea typeface="+mn-ea"/>
                              <a:cs typeface="+mn-cs"/>
                            </a:defRPr>
                          </a:lvl5pPr>
                          <a:lvl6pPr marL="3200400" algn="l" defTabSz="1280160" rtl="0" eaLnBrk="1" latinLnBrk="0" hangingPunct="1">
                            <a:defRPr sz="2500" kern="1200">
                              <a:solidFill>
                                <a:schemeClr val="tx1"/>
                              </a:solidFill>
                              <a:latin typeface="+mn-lt"/>
                              <a:ea typeface="+mn-ea"/>
                              <a:cs typeface="+mn-cs"/>
                            </a:defRPr>
                          </a:lvl6pPr>
                          <a:lvl7pPr marL="3840480" algn="l" defTabSz="1280160" rtl="0" eaLnBrk="1" latinLnBrk="0" hangingPunct="1">
                            <a:defRPr sz="2500" kern="1200">
                              <a:solidFill>
                                <a:schemeClr val="tx1"/>
                              </a:solidFill>
                              <a:latin typeface="+mn-lt"/>
                              <a:ea typeface="+mn-ea"/>
                              <a:cs typeface="+mn-cs"/>
                            </a:defRPr>
                          </a:lvl7pPr>
                          <a:lvl8pPr marL="4480560" algn="l" defTabSz="1280160" rtl="0" eaLnBrk="1" latinLnBrk="0" hangingPunct="1">
                            <a:defRPr sz="2500" kern="1200">
                              <a:solidFill>
                                <a:schemeClr val="tx1"/>
                              </a:solidFill>
                              <a:latin typeface="+mn-lt"/>
                              <a:ea typeface="+mn-ea"/>
                              <a:cs typeface="+mn-cs"/>
                            </a:defRPr>
                          </a:lvl8pPr>
                          <a:lvl9pPr marL="5120640" algn="l" defTabSz="1280160" rtl="0" eaLnBrk="1" latinLnBrk="0" hangingPunct="1">
                            <a:defRPr sz="2500" kern="1200">
                              <a:solidFill>
                                <a:schemeClr val="tx1"/>
                              </a:solidFill>
                              <a:latin typeface="+mn-lt"/>
                              <a:ea typeface="+mn-ea"/>
                              <a:cs typeface="+mn-cs"/>
                            </a:defRPr>
                          </a:lvl9pPr>
                        </a:lstStyle>
                        <a:p>
                          <a:r>
                            <a:rPr lang="en-GB" sz="2600" b="1" dirty="0" smtClean="0"/>
                            <a:t>e</a:t>
                          </a:r>
                          <a:endParaRPr lang="en-GB" sz="2600" b="1" dirty="0"/>
                        </a:p>
                      </a:txBody>
                      <a:useSpRect/>
                    </a:txSp>
                  </a:sp>
                </lc:lockedCanvas>
              </a:graphicData>
            </a:graphic>
          </wp:inline>
        </w:drawing>
      </w:r>
    </w:p>
    <w:p w:rsidR="00D16286" w:rsidRPr="00D16286" w:rsidRDefault="00D16286" w:rsidP="00D16286">
      <w:pPr>
        <w:spacing w:after="200" w:line="240" w:lineRule="auto"/>
        <w:rPr>
          <w:sz w:val="18"/>
          <w:szCs w:val="18"/>
        </w:rPr>
      </w:pPr>
    </w:p>
    <w:p w:rsidR="00B50552" w:rsidRDefault="00595094" w:rsidP="00D16286">
      <w:pPr>
        <w:spacing w:after="200" w:line="240" w:lineRule="auto"/>
        <w:rPr>
          <w:rFonts w:eastAsiaTheme="majorEastAsia" w:cstheme="majorBidi"/>
          <w:b/>
          <w:bCs/>
          <w:sz w:val="18"/>
          <w:szCs w:val="18"/>
        </w:rPr>
      </w:pPr>
      <w:r>
        <w:rPr>
          <w:rFonts w:eastAsiaTheme="majorEastAsia" w:cstheme="majorBidi"/>
          <w:b/>
          <w:bCs/>
          <w:sz w:val="18"/>
          <w:szCs w:val="18"/>
        </w:rPr>
        <w:t>Figure A2.</w:t>
      </w:r>
      <w:r w:rsidR="00D16286" w:rsidRPr="00D16286">
        <w:rPr>
          <w:rFonts w:eastAsiaTheme="majorEastAsia" w:cstheme="majorBidi"/>
          <w:b/>
          <w:bCs/>
          <w:sz w:val="18"/>
          <w:szCs w:val="18"/>
        </w:rPr>
        <w:t xml:space="preserve">3 WCR modified 1&amp;2PS dsRNA soil feeding assay, week 1 time point. </w:t>
      </w:r>
    </w:p>
    <w:p w:rsidR="00D16286" w:rsidRPr="00D16286" w:rsidRDefault="00D16286" w:rsidP="00D16286">
      <w:pPr>
        <w:spacing w:after="200" w:line="240" w:lineRule="auto"/>
        <w:rPr>
          <w:rFonts w:eastAsiaTheme="majorEastAsia" w:cstheme="majorBidi"/>
          <w:b/>
          <w:bCs/>
          <w:sz w:val="18"/>
          <w:szCs w:val="18"/>
        </w:rPr>
      </w:pPr>
      <w:r w:rsidRPr="00D16286">
        <w:rPr>
          <w:rFonts w:eastAsiaTheme="majorEastAsia" w:cstheme="majorBidi"/>
          <w:bCs/>
          <w:sz w:val="18"/>
          <w:szCs w:val="18"/>
        </w:rPr>
        <w:t>WCR were left on soil containing dsRNA for 1 day, then transferred to diet plates and mortality measured until day 7. GFP n = 124; Unmod n = 112, 126, 115; Un-1PS n = 109, 121, 124; 1PS-1PS n = 116, 121, 117; Un-2PS n = 120, 126, 117; 2PS-2PS n = 118, 125, 117; No dsRNA n = 119. (a) Survival timecourse for Unmod dsRNA. (b) Survival timecourse for Un-1PS dsRNA. (c) Survival timecourse for 1PS-1PS dsRNA. (d) Survival timecourse for Un-2PS dsRNA. (e) Survival timecourse for 2PS-2PS dsRNA.</w:t>
      </w:r>
      <w:r w:rsidRPr="00D16286">
        <w:rPr>
          <w:rFonts w:eastAsiaTheme="majorEastAsia" w:cstheme="majorBidi"/>
          <w:b/>
          <w:bCs/>
          <w:sz w:val="18"/>
          <w:szCs w:val="18"/>
        </w:rPr>
        <w:t xml:space="preserve"> </w:t>
      </w:r>
    </w:p>
    <w:p w:rsidR="002B585B" w:rsidRDefault="002B585B">
      <w:pPr>
        <w:spacing w:after="200"/>
        <w:jc w:val="left"/>
        <w:rPr>
          <w:rFonts w:eastAsiaTheme="majorEastAsia" w:cstheme="majorBidi"/>
          <w:b/>
          <w:bCs/>
          <w:sz w:val="28"/>
          <w:szCs w:val="28"/>
        </w:rPr>
      </w:pPr>
      <w:r>
        <w:rPr>
          <w:rFonts w:eastAsiaTheme="majorEastAsia" w:cstheme="majorBidi"/>
          <w:b/>
          <w:bCs/>
          <w:sz w:val="28"/>
          <w:szCs w:val="28"/>
        </w:rPr>
        <w:br w:type="page"/>
      </w:r>
    </w:p>
    <w:p w:rsidR="002B585B" w:rsidRPr="00381546" w:rsidRDefault="002B585B" w:rsidP="002B585B">
      <w:pPr>
        <w:pStyle w:val="Heading1"/>
        <w:numPr>
          <w:ilvl w:val="0"/>
          <w:numId w:val="0"/>
        </w:numPr>
        <w:jc w:val="center"/>
        <w:rPr>
          <w:sz w:val="52"/>
          <w:szCs w:val="52"/>
        </w:rPr>
      </w:pPr>
      <w:bookmarkStart w:id="271" w:name="_Toc35334018"/>
      <w:r w:rsidRPr="00381546">
        <w:rPr>
          <w:sz w:val="52"/>
          <w:szCs w:val="52"/>
        </w:rPr>
        <w:lastRenderedPageBreak/>
        <w:t xml:space="preserve">Appendix </w:t>
      </w:r>
      <w:r w:rsidR="00DF5ABB">
        <w:rPr>
          <w:sz w:val="52"/>
          <w:szCs w:val="52"/>
        </w:rPr>
        <w:t>3</w:t>
      </w:r>
      <w:bookmarkEnd w:id="271"/>
    </w:p>
    <w:p w:rsidR="00DF5ABB" w:rsidRDefault="00DF5ABB" w:rsidP="002B585B">
      <w:pPr>
        <w:spacing w:after="200"/>
        <w:jc w:val="center"/>
        <w:rPr>
          <w:rFonts w:eastAsiaTheme="majorEastAsia" w:cstheme="majorBidi"/>
          <w:b/>
          <w:bCs/>
          <w:noProof/>
          <w:sz w:val="28"/>
          <w:szCs w:val="28"/>
          <w:lang w:eastAsia="en-GB"/>
        </w:rPr>
      </w:pPr>
    </w:p>
    <w:p w:rsidR="00DF5ABB" w:rsidRDefault="00DF5ABB" w:rsidP="002B585B">
      <w:pPr>
        <w:spacing w:after="200"/>
        <w:jc w:val="center"/>
        <w:rPr>
          <w:rFonts w:eastAsiaTheme="majorEastAsia" w:cstheme="majorBidi"/>
          <w:b/>
          <w:bCs/>
          <w:noProof/>
          <w:sz w:val="28"/>
          <w:szCs w:val="28"/>
          <w:lang w:eastAsia="en-GB"/>
        </w:rPr>
      </w:pPr>
    </w:p>
    <w:p w:rsidR="002B585B" w:rsidRDefault="00DF5ABB" w:rsidP="002B585B">
      <w:pPr>
        <w:spacing w:after="200"/>
        <w:jc w:val="center"/>
        <w:rPr>
          <w:rFonts w:eastAsiaTheme="majorEastAsia" w:cstheme="majorBidi"/>
          <w:b/>
          <w:bCs/>
          <w:sz w:val="28"/>
          <w:szCs w:val="28"/>
        </w:rPr>
      </w:pPr>
      <w:r>
        <w:rPr>
          <w:rFonts w:eastAsiaTheme="majorEastAsia" w:cstheme="majorBidi"/>
          <w:b/>
          <w:bCs/>
          <w:noProof/>
          <w:sz w:val="28"/>
          <w:szCs w:val="28"/>
          <w:lang w:eastAsia="en-GB"/>
        </w:rPr>
        <w:drawing>
          <wp:inline distT="0" distB="0" distL="0" distR="0">
            <wp:extent cx="5489575" cy="1234440"/>
            <wp:effectExtent l="0" t="0" r="0" b="0"/>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srcRect l="1205" r="2361"/>
                    <a:stretch>
                      <a:fillRect/>
                    </a:stretch>
                  </pic:blipFill>
                  <pic:spPr bwMode="auto">
                    <a:xfrm>
                      <a:off x="0" y="0"/>
                      <a:ext cx="5489575" cy="1234440"/>
                    </a:xfrm>
                    <a:prstGeom prst="rect">
                      <a:avLst/>
                    </a:prstGeom>
                    <a:noFill/>
                  </pic:spPr>
                </pic:pic>
              </a:graphicData>
            </a:graphic>
          </wp:inline>
        </w:drawing>
      </w:r>
    </w:p>
    <w:p w:rsidR="00DF5ABB" w:rsidRDefault="00DF5ABB" w:rsidP="002B585B">
      <w:pPr>
        <w:spacing w:after="200"/>
        <w:jc w:val="center"/>
        <w:rPr>
          <w:rFonts w:eastAsiaTheme="majorEastAsia" w:cstheme="majorBidi"/>
          <w:b/>
          <w:bCs/>
          <w:sz w:val="28"/>
          <w:szCs w:val="28"/>
        </w:rPr>
      </w:pPr>
    </w:p>
    <w:p w:rsidR="002B585B" w:rsidRDefault="002B585B" w:rsidP="002B585B">
      <w:pPr>
        <w:spacing w:after="200" w:line="240" w:lineRule="auto"/>
        <w:rPr>
          <w:rFonts w:eastAsiaTheme="majorEastAsia" w:cstheme="majorBidi"/>
          <w:b/>
          <w:bCs/>
          <w:sz w:val="18"/>
          <w:szCs w:val="18"/>
        </w:rPr>
      </w:pPr>
      <w:r>
        <w:rPr>
          <w:rFonts w:eastAsiaTheme="majorEastAsia" w:cstheme="majorBidi"/>
          <w:b/>
          <w:bCs/>
          <w:sz w:val="18"/>
          <w:szCs w:val="18"/>
        </w:rPr>
        <w:t>Figure A3.1</w:t>
      </w:r>
      <w:r w:rsidRPr="00D16286">
        <w:rPr>
          <w:rFonts w:eastAsiaTheme="majorEastAsia" w:cstheme="majorBidi"/>
          <w:b/>
          <w:bCs/>
          <w:sz w:val="18"/>
          <w:szCs w:val="18"/>
        </w:rPr>
        <w:t xml:space="preserve"> </w:t>
      </w:r>
      <w:r>
        <w:rPr>
          <w:rFonts w:eastAsiaTheme="majorEastAsia" w:cstheme="majorBidi"/>
          <w:b/>
          <w:bCs/>
          <w:sz w:val="18"/>
          <w:szCs w:val="18"/>
        </w:rPr>
        <w:t xml:space="preserve">Incubation of </w:t>
      </w:r>
      <w:r w:rsidRPr="002B585B">
        <w:rPr>
          <w:rFonts w:eastAsiaTheme="majorEastAsia" w:cstheme="majorBidi"/>
          <w:b/>
          <w:bCs/>
          <w:i/>
          <w:sz w:val="18"/>
          <w:szCs w:val="18"/>
        </w:rPr>
        <w:t>E. coli</w:t>
      </w:r>
      <w:r>
        <w:rPr>
          <w:rFonts w:eastAsiaTheme="majorEastAsia" w:cstheme="majorBidi"/>
          <w:b/>
          <w:bCs/>
          <w:sz w:val="18"/>
          <w:szCs w:val="18"/>
        </w:rPr>
        <w:t xml:space="preserve"> RNase III with a variety of phosphorothioate dsRNAs</w:t>
      </w:r>
      <w:r w:rsidRPr="00D16286">
        <w:rPr>
          <w:rFonts w:eastAsiaTheme="majorEastAsia" w:cstheme="majorBidi"/>
          <w:b/>
          <w:bCs/>
          <w:sz w:val="18"/>
          <w:szCs w:val="18"/>
        </w:rPr>
        <w:t xml:space="preserve"> </w:t>
      </w:r>
    </w:p>
    <w:p w:rsidR="002B585B" w:rsidRPr="00D16286" w:rsidRDefault="002B585B" w:rsidP="002B585B">
      <w:pPr>
        <w:spacing w:after="200" w:line="240" w:lineRule="auto"/>
        <w:rPr>
          <w:rFonts w:eastAsiaTheme="majorEastAsia" w:cstheme="majorBidi"/>
          <w:b/>
          <w:bCs/>
          <w:sz w:val="18"/>
          <w:szCs w:val="18"/>
        </w:rPr>
      </w:pPr>
      <w:r>
        <w:rPr>
          <w:rFonts w:eastAsiaTheme="majorEastAsia" w:cstheme="majorBidi"/>
          <w:bCs/>
          <w:sz w:val="18"/>
          <w:szCs w:val="18"/>
        </w:rPr>
        <w:t>Gel electrophoretogram of Target B unmodified, Un-1PS, 1PS, Un-2PS and 2PS dsRNAs incubated with 1 U of E. coli RNase III at 37 C for 20 mins, followed by EDTA quenching</w:t>
      </w:r>
      <w:r w:rsidR="00DF5ABB">
        <w:rPr>
          <w:rFonts w:eastAsiaTheme="majorEastAsia" w:cstheme="majorBidi"/>
          <w:bCs/>
          <w:sz w:val="18"/>
          <w:szCs w:val="18"/>
        </w:rPr>
        <w:t xml:space="preserve"> of the reactions and agarose gel electrophoresis analysis. The successful cleavage of 2PS phosphorothioate dsRNA by RNase III demonstrated here, contradicts results presented in section 4.3.1.1, and further investigation is therefore required.</w:t>
      </w:r>
    </w:p>
    <w:p w:rsidR="002B585B" w:rsidRDefault="002B585B" w:rsidP="002B585B">
      <w:pPr>
        <w:spacing w:after="200"/>
        <w:rPr>
          <w:rFonts w:eastAsiaTheme="majorEastAsia" w:cstheme="majorBidi"/>
          <w:b/>
          <w:bCs/>
          <w:sz w:val="28"/>
          <w:szCs w:val="28"/>
        </w:rPr>
      </w:pPr>
    </w:p>
    <w:p w:rsidR="002B585B" w:rsidRDefault="002B585B" w:rsidP="002B585B">
      <w:pPr>
        <w:spacing w:after="200"/>
        <w:jc w:val="center"/>
        <w:rPr>
          <w:rFonts w:eastAsiaTheme="majorEastAsia" w:cstheme="majorBidi"/>
          <w:b/>
          <w:bCs/>
          <w:sz w:val="28"/>
          <w:szCs w:val="28"/>
        </w:rPr>
      </w:pPr>
      <w:r>
        <w:rPr>
          <w:rFonts w:eastAsiaTheme="majorEastAsia" w:cstheme="majorBidi"/>
          <w:b/>
          <w:bCs/>
          <w:sz w:val="28"/>
          <w:szCs w:val="28"/>
        </w:rPr>
        <w:br w:type="page"/>
      </w:r>
    </w:p>
    <w:p w:rsidR="00741158" w:rsidRDefault="00741158" w:rsidP="00741158">
      <w:pPr>
        <w:pStyle w:val="Heading1"/>
        <w:numPr>
          <w:ilvl w:val="0"/>
          <w:numId w:val="0"/>
        </w:numPr>
      </w:pPr>
      <w:bookmarkStart w:id="272" w:name="_Toc35334019"/>
      <w:r>
        <w:lastRenderedPageBreak/>
        <w:t>References</w:t>
      </w:r>
      <w:bookmarkEnd w:id="272"/>
      <w:r>
        <w:t xml:space="preserve"> </w:t>
      </w:r>
    </w:p>
    <w:p w:rsidR="00741158" w:rsidRDefault="00741158" w:rsidP="00741158"/>
    <w:p w:rsidR="00C57A7E" w:rsidRPr="00C57A7E" w:rsidRDefault="005C0E76" w:rsidP="00C57A7E">
      <w:pPr>
        <w:widowControl w:val="0"/>
        <w:autoSpaceDE w:val="0"/>
        <w:autoSpaceDN w:val="0"/>
        <w:adjustRightInd w:val="0"/>
        <w:spacing w:after="120" w:line="240" w:lineRule="auto"/>
        <w:rPr>
          <w:rFonts w:ascii="Calibri" w:hAnsi="Calibri" w:cs="Times New Roman"/>
          <w:noProof/>
          <w:szCs w:val="24"/>
        </w:rPr>
      </w:pPr>
      <w:r>
        <w:fldChar w:fldCharType="begin" w:fldLock="1"/>
      </w:r>
      <w:r w:rsidR="00C57A7E">
        <w:instrText xml:space="preserve">ADDIN Mendeley Bibliography CSL_BIBLIOGRAPHY </w:instrText>
      </w:r>
      <w:r>
        <w:fldChar w:fldCharType="separate"/>
      </w:r>
      <w:r w:rsidR="00C57A7E" w:rsidRPr="00C57A7E">
        <w:rPr>
          <w:rFonts w:ascii="Calibri" w:hAnsi="Calibri" w:cs="Times New Roman"/>
          <w:noProof/>
          <w:szCs w:val="24"/>
        </w:rPr>
        <w:t xml:space="preserve">Abrieux, A. and Chiu, J. C. (2016) ‘Oral delivery of dsRNA by microbes: Beyond pest control’, </w:t>
      </w:r>
      <w:r w:rsidR="00C57A7E" w:rsidRPr="00C57A7E">
        <w:rPr>
          <w:rFonts w:ascii="Calibri" w:hAnsi="Calibri" w:cs="Times New Roman"/>
          <w:i/>
          <w:iCs/>
          <w:noProof/>
          <w:szCs w:val="24"/>
        </w:rPr>
        <w:t>Communicative and Integrative Biology</w:t>
      </w:r>
      <w:r w:rsidR="00C57A7E" w:rsidRPr="00C57A7E">
        <w:rPr>
          <w:rFonts w:ascii="Calibri" w:hAnsi="Calibri" w:cs="Times New Roman"/>
          <w:noProof/>
          <w:szCs w:val="24"/>
        </w:rPr>
        <w:t>. Taylor &amp; Francis, 9(6), pp. 1–4. doi: 10.1080/19420889.2016.1236163.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Airs, P. M. and Bartholomay, L. C. (2017) ‘RNA interference for mosquito and mosquito-borne disease control’, </w:t>
      </w:r>
      <w:r w:rsidRPr="00C57A7E">
        <w:rPr>
          <w:rFonts w:ascii="Calibri" w:hAnsi="Calibri" w:cs="Times New Roman"/>
          <w:i/>
          <w:iCs/>
          <w:noProof/>
          <w:szCs w:val="24"/>
        </w:rPr>
        <w:t>Insects</w:t>
      </w:r>
      <w:r w:rsidRPr="00C57A7E">
        <w:rPr>
          <w:rFonts w:ascii="Calibri" w:hAnsi="Calibri" w:cs="Times New Roman"/>
          <w:noProof/>
          <w:szCs w:val="24"/>
        </w:rPr>
        <w:t>, 8(1). doi: 10.3390/insects8010004.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Aliyari, R. and Ding, S.-W. (2009) ‘RNA-based viral immunity initiated by the Dicer family of host immune receptors.’, </w:t>
      </w:r>
      <w:r w:rsidRPr="00C57A7E">
        <w:rPr>
          <w:rFonts w:ascii="Calibri" w:hAnsi="Calibri" w:cs="Times New Roman"/>
          <w:i/>
          <w:iCs/>
          <w:noProof/>
          <w:szCs w:val="24"/>
        </w:rPr>
        <w:t>Immunological reviews</w:t>
      </w:r>
      <w:r w:rsidRPr="00C57A7E">
        <w:rPr>
          <w:rFonts w:ascii="Calibri" w:hAnsi="Calibri" w:cs="Times New Roman"/>
          <w:noProof/>
          <w:szCs w:val="24"/>
        </w:rPr>
        <w:t>. NIH Public Access, 227(1), pp. 176–88. doi: 10.1111/j.1600-065X.2008.00722.x.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Amarzguioui, M. </w:t>
      </w:r>
      <w:r w:rsidRPr="00C57A7E">
        <w:rPr>
          <w:rFonts w:ascii="Calibri" w:hAnsi="Calibri" w:cs="Times New Roman"/>
          <w:i/>
          <w:iCs/>
          <w:noProof/>
          <w:szCs w:val="24"/>
        </w:rPr>
        <w:t>et al.</w:t>
      </w:r>
      <w:r w:rsidRPr="00C57A7E">
        <w:rPr>
          <w:rFonts w:ascii="Calibri" w:hAnsi="Calibri" w:cs="Times New Roman"/>
          <w:noProof/>
          <w:szCs w:val="24"/>
        </w:rPr>
        <w:t xml:space="preserve"> (2003) ‘Tolerance for mutations and chemical modifications in a siRNA’, </w:t>
      </w:r>
      <w:r w:rsidRPr="00C57A7E">
        <w:rPr>
          <w:rFonts w:ascii="Calibri" w:hAnsi="Calibri" w:cs="Times New Roman"/>
          <w:i/>
          <w:iCs/>
          <w:noProof/>
          <w:szCs w:val="24"/>
        </w:rPr>
        <w:t>Nucleic Acids Research</w:t>
      </w:r>
      <w:r w:rsidRPr="00C57A7E">
        <w:rPr>
          <w:rFonts w:ascii="Calibri" w:hAnsi="Calibri" w:cs="Times New Roman"/>
          <w:noProof/>
          <w:szCs w:val="24"/>
        </w:rPr>
        <w:t>, 31(2), pp. 589–595. doi: 10.1093/nar/gkg147.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Ambion (2012) </w:t>
      </w:r>
      <w:r w:rsidRPr="00C57A7E">
        <w:rPr>
          <w:rFonts w:ascii="Calibri" w:hAnsi="Calibri" w:cs="Times New Roman"/>
          <w:i/>
          <w:iCs/>
          <w:noProof/>
          <w:szCs w:val="24"/>
        </w:rPr>
        <w:t>MEGAscript ® Kit User Guide</w:t>
      </w:r>
      <w:r w:rsidRPr="00C57A7E">
        <w:rPr>
          <w:rFonts w:ascii="Calibri" w:hAnsi="Calibri" w:cs="Times New Roman"/>
          <w:noProof/>
          <w:szCs w:val="24"/>
        </w:rPr>
        <w:t>. Available at: http://tools.thermofisher.com/content/sfs/manuals/1330M_G.pdf (Accessed: 22 August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Amdam, G. V </w:t>
      </w:r>
      <w:r w:rsidRPr="00C57A7E">
        <w:rPr>
          <w:rFonts w:ascii="Calibri" w:hAnsi="Calibri" w:cs="Times New Roman"/>
          <w:i/>
          <w:iCs/>
          <w:noProof/>
          <w:szCs w:val="24"/>
        </w:rPr>
        <w:t>et al.</w:t>
      </w:r>
      <w:r w:rsidRPr="00C57A7E">
        <w:rPr>
          <w:rFonts w:ascii="Calibri" w:hAnsi="Calibri" w:cs="Times New Roman"/>
          <w:noProof/>
          <w:szCs w:val="24"/>
        </w:rPr>
        <w:t xml:space="preserve"> (2003) ‘Disruption of vitellogenin gene function in adult honeybees by intra-abdominal injection of double-stranded RNA’, </w:t>
      </w:r>
      <w:r w:rsidRPr="00C57A7E">
        <w:rPr>
          <w:rFonts w:ascii="Calibri" w:hAnsi="Calibri" w:cs="Times New Roman"/>
          <w:i/>
          <w:iCs/>
          <w:noProof/>
          <w:szCs w:val="24"/>
        </w:rPr>
        <w:t>BMC Biotechnology</w:t>
      </w:r>
      <w:r w:rsidRPr="00C57A7E">
        <w:rPr>
          <w:rFonts w:ascii="Calibri" w:hAnsi="Calibri" w:cs="Times New Roman"/>
          <w:noProof/>
          <w:szCs w:val="24"/>
        </w:rPr>
        <w:t>. BioMed Central, 3(1), p. 1. doi: 10.1186/1472-6750-3-1.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Ares, P. </w:t>
      </w:r>
      <w:r w:rsidRPr="00C57A7E">
        <w:rPr>
          <w:rFonts w:ascii="Calibri" w:hAnsi="Calibri" w:cs="Times New Roman"/>
          <w:i/>
          <w:iCs/>
          <w:noProof/>
          <w:szCs w:val="24"/>
        </w:rPr>
        <w:t>et al.</w:t>
      </w:r>
      <w:r w:rsidRPr="00C57A7E">
        <w:rPr>
          <w:rFonts w:ascii="Calibri" w:hAnsi="Calibri" w:cs="Times New Roman"/>
          <w:noProof/>
          <w:szCs w:val="24"/>
        </w:rPr>
        <w:t xml:space="preserve"> (2016) ‘High resolution atomic force microscopy of double-stranded RNA.’, </w:t>
      </w:r>
      <w:r w:rsidRPr="00C57A7E">
        <w:rPr>
          <w:rFonts w:ascii="Calibri" w:hAnsi="Calibri" w:cs="Times New Roman"/>
          <w:i/>
          <w:iCs/>
          <w:noProof/>
          <w:szCs w:val="24"/>
        </w:rPr>
        <w:t>Nanoscale</w:t>
      </w:r>
      <w:r w:rsidRPr="00C57A7E">
        <w:rPr>
          <w:rFonts w:ascii="Calibri" w:hAnsi="Calibri" w:cs="Times New Roman"/>
          <w:noProof/>
          <w:szCs w:val="24"/>
        </w:rPr>
        <w:t>, 8(23), pp. 11818–26. doi: 10.1039/c5nr07445b.</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Azarani, A. and Hecker, K. H. (2001) ‘RNA analysis by ion-pair reversed-phase high performance liquid chromatography.’,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29(2), p. E7. Available at: http://www.ncbi.nlm.nih.gov/pubmed/11139637 (Accessed: 4 December 2018).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Azlan, A., Dzaki, N. and Azzam, G. (2016) ‘Argonaute: The executor of small RNA function’, </w:t>
      </w:r>
      <w:r w:rsidRPr="00C57A7E">
        <w:rPr>
          <w:rFonts w:ascii="Calibri" w:hAnsi="Calibri" w:cs="Times New Roman"/>
          <w:i/>
          <w:iCs/>
          <w:noProof/>
          <w:szCs w:val="24"/>
        </w:rPr>
        <w:t>Journal of Genetics and Genomics</w:t>
      </w:r>
      <w:r w:rsidRPr="00C57A7E">
        <w:rPr>
          <w:rFonts w:ascii="Calibri" w:hAnsi="Calibri" w:cs="Times New Roman"/>
          <w:noProof/>
          <w:szCs w:val="24"/>
        </w:rPr>
        <w:t>. Elsevier Limited and Science Press, 43(8), pp. 481–494. doi: 10.1016/j.jgg.2016.06.002.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Baca, F. (1994) ‘New member of the harmful entomofauna of Yugoslavia, Diabrotica virgifera virgifera LeConte (Coleoptera, Chrysomelidae)’, </w:t>
      </w:r>
      <w:r w:rsidRPr="00C57A7E">
        <w:rPr>
          <w:rFonts w:ascii="Calibri" w:hAnsi="Calibri" w:cs="Times New Roman"/>
          <w:i/>
          <w:iCs/>
          <w:noProof/>
          <w:szCs w:val="24"/>
        </w:rPr>
        <w:t>Zaštita Bilja</w:t>
      </w:r>
      <w:r w:rsidRPr="00C57A7E">
        <w:rPr>
          <w:rFonts w:ascii="Calibri" w:hAnsi="Calibri" w:cs="Times New Roman"/>
          <w:noProof/>
          <w:szCs w:val="24"/>
        </w:rPr>
        <w:t>, 45(2), pp. 125–131. Available at: https://www.cabdirect.org/cabdirect/abstract/19951105412 (Accessed: 17 July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Bachman, P. M. </w:t>
      </w:r>
      <w:r w:rsidRPr="00C57A7E">
        <w:rPr>
          <w:rFonts w:ascii="Calibri" w:hAnsi="Calibri" w:cs="Times New Roman"/>
          <w:i/>
          <w:iCs/>
          <w:noProof/>
          <w:szCs w:val="24"/>
        </w:rPr>
        <w:t>et al.</w:t>
      </w:r>
      <w:r w:rsidRPr="00C57A7E">
        <w:rPr>
          <w:rFonts w:ascii="Calibri" w:hAnsi="Calibri" w:cs="Times New Roman"/>
          <w:noProof/>
          <w:szCs w:val="24"/>
        </w:rPr>
        <w:t xml:space="preserve"> (2016a) ‘Ecological risk assessment for DvSnf7 RNA: A plant-incorporated protectant with targeted activity against western corn rootworm’, </w:t>
      </w:r>
      <w:r w:rsidRPr="00C57A7E">
        <w:rPr>
          <w:rFonts w:ascii="Calibri" w:hAnsi="Calibri" w:cs="Times New Roman"/>
          <w:i/>
          <w:iCs/>
          <w:noProof/>
          <w:szCs w:val="24"/>
        </w:rPr>
        <w:t>Regulatory Toxicology and Pharmacology</w:t>
      </w:r>
      <w:r w:rsidRPr="00C57A7E">
        <w:rPr>
          <w:rFonts w:ascii="Calibri" w:hAnsi="Calibri" w:cs="Times New Roman"/>
          <w:noProof/>
          <w:szCs w:val="24"/>
        </w:rPr>
        <w:t>. Elsevier Ltd, 81, pp. 77–88. doi: 10.1016/j.yrtph.2016.08.001.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Bachman, P. M. </w:t>
      </w:r>
      <w:r w:rsidRPr="00C57A7E">
        <w:rPr>
          <w:rFonts w:ascii="Calibri" w:hAnsi="Calibri" w:cs="Times New Roman"/>
          <w:i/>
          <w:iCs/>
          <w:noProof/>
          <w:szCs w:val="24"/>
        </w:rPr>
        <w:t>et al.</w:t>
      </w:r>
      <w:r w:rsidRPr="00C57A7E">
        <w:rPr>
          <w:rFonts w:ascii="Calibri" w:hAnsi="Calibri" w:cs="Times New Roman"/>
          <w:noProof/>
          <w:szCs w:val="24"/>
        </w:rPr>
        <w:t xml:space="preserve"> (2016b) ‘Ecological risk assessment for DvSnf7 RNA: A plant-incorporated protectant with targeted activity against western corn rootworm’, </w:t>
      </w:r>
      <w:r w:rsidRPr="00C57A7E">
        <w:rPr>
          <w:rFonts w:ascii="Calibri" w:hAnsi="Calibri" w:cs="Times New Roman"/>
          <w:i/>
          <w:iCs/>
          <w:noProof/>
          <w:szCs w:val="24"/>
        </w:rPr>
        <w:t>Regulatory Toxicology and Pharmacology</w:t>
      </w:r>
      <w:r w:rsidRPr="00C57A7E">
        <w:rPr>
          <w:rFonts w:ascii="Calibri" w:hAnsi="Calibri" w:cs="Times New Roman"/>
          <w:noProof/>
          <w:szCs w:val="24"/>
        </w:rPr>
        <w:t>. Academic Press, 81, pp. 77–88. doi: 10.1016/J.YRTPH.2016.08.001.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Baulcombe, D. (2004) ‘RNA silencing in plants’, </w:t>
      </w:r>
      <w:r w:rsidRPr="00C57A7E">
        <w:rPr>
          <w:rFonts w:ascii="Calibri" w:hAnsi="Calibri" w:cs="Times New Roman"/>
          <w:i/>
          <w:iCs/>
          <w:noProof/>
          <w:szCs w:val="24"/>
        </w:rPr>
        <w:t>Nature</w:t>
      </w:r>
      <w:r w:rsidRPr="00C57A7E">
        <w:rPr>
          <w:rFonts w:ascii="Calibri" w:hAnsi="Calibri" w:cs="Times New Roman"/>
          <w:noProof/>
          <w:szCs w:val="24"/>
        </w:rPr>
        <w:t>, 431(7006), pp. 356–363. doi: 10.1038/nature02874.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Baum, J. A. </w:t>
      </w:r>
      <w:r w:rsidRPr="00C57A7E">
        <w:rPr>
          <w:rFonts w:ascii="Calibri" w:hAnsi="Calibri" w:cs="Times New Roman"/>
          <w:i/>
          <w:iCs/>
          <w:noProof/>
          <w:szCs w:val="24"/>
        </w:rPr>
        <w:t>et al.</w:t>
      </w:r>
      <w:r w:rsidRPr="00C57A7E">
        <w:rPr>
          <w:rFonts w:ascii="Calibri" w:hAnsi="Calibri" w:cs="Times New Roman"/>
          <w:noProof/>
          <w:szCs w:val="24"/>
        </w:rPr>
        <w:t xml:space="preserve"> (2007) ‘Control of coleopteran insect pests through RNA interference’, </w:t>
      </w:r>
      <w:r w:rsidRPr="00C57A7E">
        <w:rPr>
          <w:rFonts w:ascii="Calibri" w:hAnsi="Calibri" w:cs="Times New Roman"/>
          <w:i/>
          <w:iCs/>
          <w:noProof/>
          <w:szCs w:val="24"/>
        </w:rPr>
        <w:t>Nature Biotechnology</w:t>
      </w:r>
      <w:r w:rsidRPr="00C57A7E">
        <w:rPr>
          <w:rFonts w:ascii="Calibri" w:hAnsi="Calibri" w:cs="Times New Roman"/>
          <w:noProof/>
          <w:szCs w:val="24"/>
        </w:rPr>
        <w:t>, 25(11), pp. 1322–1326. doi: 10.1038/nbt1359.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Bebber, D. P. (2015) ‘Range-Expanding Pests and Pathogens in a Warming World’, </w:t>
      </w:r>
      <w:r w:rsidRPr="00C57A7E">
        <w:rPr>
          <w:rFonts w:ascii="Calibri" w:hAnsi="Calibri" w:cs="Times New Roman"/>
          <w:i/>
          <w:iCs/>
          <w:noProof/>
          <w:szCs w:val="24"/>
        </w:rPr>
        <w:t>Annual Review of Phytopathology</w:t>
      </w:r>
      <w:r w:rsidRPr="00C57A7E">
        <w:rPr>
          <w:rFonts w:ascii="Calibri" w:hAnsi="Calibri" w:cs="Times New Roman"/>
          <w:noProof/>
          <w:szCs w:val="24"/>
        </w:rPr>
        <w:t>.  Annual Reviews , 53(1), pp. 335–356. doi: 10.1146/annurev-phyto-080614-120207.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Bellés, X. (2010) ‘Beyond </w:t>
      </w:r>
      <w:r w:rsidRPr="00C57A7E">
        <w:rPr>
          <w:rFonts w:ascii="Calibri" w:hAnsi="Calibri" w:cs="Times New Roman"/>
          <w:i/>
          <w:iCs/>
          <w:noProof/>
          <w:szCs w:val="24"/>
        </w:rPr>
        <w:t>Drosophila:</w:t>
      </w:r>
      <w:r w:rsidRPr="00C57A7E">
        <w:rPr>
          <w:rFonts w:ascii="Calibri" w:hAnsi="Calibri" w:cs="Times New Roman"/>
          <w:noProof/>
          <w:szCs w:val="24"/>
        </w:rPr>
        <w:t xml:space="preserve"> RNAi In Vivo and Functional Genomics in Insects’, </w:t>
      </w:r>
      <w:r w:rsidRPr="00C57A7E">
        <w:rPr>
          <w:rFonts w:ascii="Calibri" w:hAnsi="Calibri" w:cs="Times New Roman"/>
          <w:i/>
          <w:iCs/>
          <w:noProof/>
          <w:szCs w:val="24"/>
        </w:rPr>
        <w:t>Annual Review of Entomology</w:t>
      </w:r>
      <w:r w:rsidRPr="00C57A7E">
        <w:rPr>
          <w:rFonts w:ascii="Calibri" w:hAnsi="Calibri" w:cs="Times New Roman"/>
          <w:noProof/>
          <w:szCs w:val="24"/>
        </w:rPr>
        <w:t>, 55(1), pp. 111–128. doi: 10.1146/annurev-ento-112408-085301.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Bernstein, E. </w:t>
      </w:r>
      <w:r w:rsidRPr="00C57A7E">
        <w:rPr>
          <w:rFonts w:ascii="Calibri" w:hAnsi="Calibri" w:cs="Times New Roman"/>
          <w:i/>
          <w:iCs/>
          <w:noProof/>
          <w:szCs w:val="24"/>
        </w:rPr>
        <w:t>et al.</w:t>
      </w:r>
      <w:r w:rsidRPr="00C57A7E">
        <w:rPr>
          <w:rFonts w:ascii="Calibri" w:hAnsi="Calibri" w:cs="Times New Roman"/>
          <w:noProof/>
          <w:szCs w:val="24"/>
        </w:rPr>
        <w:t xml:space="preserve"> (2001) ‘Role for a bidentate ribonuclease in the initiation step of RNA interference’, </w:t>
      </w:r>
      <w:r w:rsidRPr="00C57A7E">
        <w:rPr>
          <w:rFonts w:ascii="Calibri" w:hAnsi="Calibri" w:cs="Times New Roman"/>
          <w:i/>
          <w:iCs/>
          <w:noProof/>
          <w:szCs w:val="24"/>
        </w:rPr>
        <w:t>Nature</w:t>
      </w:r>
      <w:r w:rsidRPr="00C57A7E">
        <w:rPr>
          <w:rFonts w:ascii="Calibri" w:hAnsi="Calibri" w:cs="Times New Roman"/>
          <w:noProof/>
          <w:szCs w:val="24"/>
        </w:rPr>
        <w:t>, 409(6818), pp. 363–366. doi: 10.1038/35053110.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lastRenderedPageBreak/>
        <w:t xml:space="preserve">Betancur, J. G. and Tomari, Y. (2012) ‘Dicer is dispensable for asymmetric RISC loading in mammals.’, </w:t>
      </w:r>
      <w:r w:rsidRPr="00C57A7E">
        <w:rPr>
          <w:rFonts w:ascii="Calibri" w:hAnsi="Calibri" w:cs="Times New Roman"/>
          <w:i/>
          <w:iCs/>
          <w:noProof/>
          <w:szCs w:val="24"/>
        </w:rPr>
        <w:t>RNA (New York, N.Y.)</w:t>
      </w:r>
      <w:r w:rsidRPr="00C57A7E">
        <w:rPr>
          <w:rFonts w:ascii="Calibri" w:hAnsi="Calibri" w:cs="Times New Roman"/>
          <w:noProof/>
          <w:szCs w:val="24"/>
        </w:rPr>
        <w:t>. Cold Spring Harbor Laboratory Press, 18(1), pp. 24–30. doi: 10.1261/rna.029785.111.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Billmann, M. </w:t>
      </w:r>
      <w:r w:rsidRPr="00C57A7E">
        <w:rPr>
          <w:rFonts w:ascii="Calibri" w:hAnsi="Calibri" w:cs="Times New Roman"/>
          <w:i/>
          <w:iCs/>
          <w:noProof/>
          <w:szCs w:val="24"/>
        </w:rPr>
        <w:t>et al.</w:t>
      </w:r>
      <w:r w:rsidRPr="00C57A7E">
        <w:rPr>
          <w:rFonts w:ascii="Calibri" w:hAnsi="Calibri" w:cs="Times New Roman"/>
          <w:noProof/>
          <w:szCs w:val="24"/>
        </w:rPr>
        <w:t xml:space="preserve"> (2016) ‘A genetic interaction map of cell cycle regulators’, </w:t>
      </w:r>
      <w:r w:rsidRPr="00C57A7E">
        <w:rPr>
          <w:rFonts w:ascii="Calibri" w:hAnsi="Calibri" w:cs="Times New Roman"/>
          <w:i/>
          <w:iCs/>
          <w:noProof/>
          <w:szCs w:val="24"/>
        </w:rPr>
        <w:t>Molecular Biology of the Cell</w:t>
      </w:r>
      <w:r w:rsidRPr="00C57A7E">
        <w:rPr>
          <w:rFonts w:ascii="Calibri" w:hAnsi="Calibri" w:cs="Times New Roman"/>
          <w:noProof/>
          <w:szCs w:val="24"/>
        </w:rPr>
        <w:t>, 27(8), pp. 1397–1407. doi: 10.1091/mbc.E15-07-0467.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Boutros, M. and Ahringer, J. (2008) ‘The art and design of genetic screens: RNA interference’, </w:t>
      </w:r>
      <w:r w:rsidRPr="00C57A7E">
        <w:rPr>
          <w:rFonts w:ascii="Calibri" w:hAnsi="Calibri" w:cs="Times New Roman"/>
          <w:i/>
          <w:iCs/>
          <w:noProof/>
          <w:szCs w:val="24"/>
        </w:rPr>
        <w:t>Nature Reviews Genetics</w:t>
      </w:r>
      <w:r w:rsidRPr="00C57A7E">
        <w:rPr>
          <w:rFonts w:ascii="Calibri" w:hAnsi="Calibri" w:cs="Times New Roman"/>
          <w:noProof/>
          <w:szCs w:val="24"/>
        </w:rPr>
        <w:t>, 9(7), pp. 554–566. doi: 10.1038/nrg2364.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Braasch, D. A. </w:t>
      </w:r>
      <w:r w:rsidRPr="00C57A7E">
        <w:rPr>
          <w:rFonts w:ascii="Calibri" w:hAnsi="Calibri" w:cs="Times New Roman"/>
          <w:i/>
          <w:iCs/>
          <w:noProof/>
          <w:szCs w:val="24"/>
        </w:rPr>
        <w:t>et al.</w:t>
      </w:r>
      <w:r w:rsidRPr="00C57A7E">
        <w:rPr>
          <w:rFonts w:ascii="Calibri" w:hAnsi="Calibri" w:cs="Times New Roman"/>
          <w:noProof/>
          <w:szCs w:val="24"/>
        </w:rPr>
        <w:t xml:space="preserve"> (2003) ‘RNA Interference in Mammalian Cells by Chemically-Modified RNA </w:t>
      </w:r>
      <w:r w:rsidRPr="00C57A7E">
        <w:rPr>
          <w:rFonts w:ascii="Calibri" w:hAnsi="Calibri" w:cs="Times New Roman"/>
          <w:noProof/>
          <w:szCs w:val="24"/>
          <w:vertAlign w:val="superscript"/>
        </w:rPr>
        <w:t>†</w:t>
      </w:r>
      <w:r w:rsidRPr="00C57A7E">
        <w:rPr>
          <w:rFonts w:ascii="Calibri" w:hAnsi="Calibri" w:cs="Times New Roman"/>
          <w:noProof/>
          <w:szCs w:val="24"/>
        </w:rPr>
        <w:t xml:space="preserve">’, </w:t>
      </w:r>
      <w:r w:rsidRPr="00C57A7E">
        <w:rPr>
          <w:rFonts w:ascii="Calibri" w:hAnsi="Calibri" w:cs="Times New Roman"/>
          <w:i/>
          <w:iCs/>
          <w:noProof/>
          <w:szCs w:val="24"/>
        </w:rPr>
        <w:t>Biochemistry</w:t>
      </w:r>
      <w:r w:rsidRPr="00C57A7E">
        <w:rPr>
          <w:rFonts w:ascii="Calibri" w:hAnsi="Calibri" w:cs="Times New Roman"/>
          <w:noProof/>
          <w:szCs w:val="24"/>
        </w:rPr>
        <w:t>, 42(26), pp. 7967–7975. doi: 10.1021/bi0343774.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Bramsen, J. B. </w:t>
      </w:r>
      <w:r w:rsidRPr="00C57A7E">
        <w:rPr>
          <w:rFonts w:ascii="Calibri" w:hAnsi="Calibri" w:cs="Times New Roman"/>
          <w:i/>
          <w:iCs/>
          <w:noProof/>
          <w:szCs w:val="24"/>
        </w:rPr>
        <w:t>et al.</w:t>
      </w:r>
      <w:r w:rsidRPr="00C57A7E">
        <w:rPr>
          <w:rFonts w:ascii="Calibri" w:hAnsi="Calibri" w:cs="Times New Roman"/>
          <w:noProof/>
          <w:szCs w:val="24"/>
        </w:rPr>
        <w:t xml:space="preserve"> (2009) ‘A large-scale chemical modification screen identifies design rules to generate siRNAs with high activity, high stability and low toxicity’, </w:t>
      </w:r>
      <w:r w:rsidRPr="00C57A7E">
        <w:rPr>
          <w:rFonts w:ascii="Calibri" w:hAnsi="Calibri" w:cs="Times New Roman"/>
          <w:i/>
          <w:iCs/>
          <w:noProof/>
          <w:szCs w:val="24"/>
        </w:rPr>
        <w:t>Nucleic Acids Research</w:t>
      </w:r>
      <w:r w:rsidRPr="00C57A7E">
        <w:rPr>
          <w:rFonts w:ascii="Calibri" w:hAnsi="Calibri" w:cs="Times New Roman"/>
          <w:noProof/>
          <w:szCs w:val="24"/>
        </w:rPr>
        <w:t>, 37(9), pp. 2867–2881. doi: 10.1093/nar/gkp106.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Brennecke, J. </w:t>
      </w:r>
      <w:r w:rsidRPr="00C57A7E">
        <w:rPr>
          <w:rFonts w:ascii="Calibri" w:hAnsi="Calibri" w:cs="Times New Roman"/>
          <w:i/>
          <w:iCs/>
          <w:noProof/>
          <w:szCs w:val="24"/>
        </w:rPr>
        <w:t>et al.</w:t>
      </w:r>
      <w:r w:rsidRPr="00C57A7E">
        <w:rPr>
          <w:rFonts w:ascii="Calibri" w:hAnsi="Calibri" w:cs="Times New Roman"/>
          <w:noProof/>
          <w:szCs w:val="24"/>
        </w:rPr>
        <w:t xml:space="preserve"> (2007) ‘Discrete Small RNA-Generating Loci as Master Regulators of Transposon Activity in Drosophila’, </w:t>
      </w:r>
      <w:r w:rsidRPr="00C57A7E">
        <w:rPr>
          <w:rFonts w:ascii="Calibri" w:hAnsi="Calibri" w:cs="Times New Roman"/>
          <w:i/>
          <w:iCs/>
          <w:noProof/>
          <w:szCs w:val="24"/>
        </w:rPr>
        <w:t>Cell</w:t>
      </w:r>
      <w:r w:rsidRPr="00C57A7E">
        <w:rPr>
          <w:rFonts w:ascii="Calibri" w:hAnsi="Calibri" w:cs="Times New Roman"/>
          <w:noProof/>
          <w:szCs w:val="24"/>
        </w:rPr>
        <w:t>, 128(6), pp. 1089–1103. doi: 10.1016/j.cell.2007.01.043.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Bronkhorst, A. W. and van Rij, R. P. (2014) ‘The long and short of antiviral defense: small RNA-based immunity in insects’, </w:t>
      </w:r>
      <w:r w:rsidRPr="00C57A7E">
        <w:rPr>
          <w:rFonts w:ascii="Calibri" w:hAnsi="Calibri" w:cs="Times New Roman"/>
          <w:i/>
          <w:iCs/>
          <w:noProof/>
          <w:szCs w:val="24"/>
        </w:rPr>
        <w:t>Current Opinion in Virology</w:t>
      </w:r>
      <w:r w:rsidRPr="00C57A7E">
        <w:rPr>
          <w:rFonts w:ascii="Calibri" w:hAnsi="Calibri" w:cs="Times New Roman"/>
          <w:noProof/>
          <w:szCs w:val="24"/>
        </w:rPr>
        <w:t>. Elsevier, 7, pp. 19–28. doi: 10.1016/J.COVIRO.2014.03.010.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Brown, S., Hu, N. and Hombría, J. C. G. (2001) ‘Identification of the first invertebrate interleukin JAK/STAT receptor, the Drosophila gene domeless’, </w:t>
      </w:r>
      <w:r w:rsidRPr="00C57A7E">
        <w:rPr>
          <w:rFonts w:ascii="Calibri" w:hAnsi="Calibri" w:cs="Times New Roman"/>
          <w:i/>
          <w:iCs/>
          <w:noProof/>
          <w:szCs w:val="24"/>
        </w:rPr>
        <w:t>Current Biology</w:t>
      </w:r>
      <w:r w:rsidRPr="00C57A7E">
        <w:rPr>
          <w:rFonts w:ascii="Calibri" w:hAnsi="Calibri" w:cs="Times New Roman"/>
          <w:noProof/>
          <w:szCs w:val="24"/>
        </w:rPr>
        <w:t>, 11(21), pp. 1700–1705. doi: 10.1016/S0960-9822(01)00524-3.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Campbell, F. E. </w:t>
      </w:r>
      <w:r w:rsidRPr="00C57A7E">
        <w:rPr>
          <w:rFonts w:ascii="Calibri" w:hAnsi="Calibri" w:cs="Times New Roman"/>
          <w:i/>
          <w:iCs/>
          <w:noProof/>
          <w:szCs w:val="24"/>
        </w:rPr>
        <w:t>et al.</w:t>
      </w:r>
      <w:r w:rsidRPr="00C57A7E">
        <w:rPr>
          <w:rFonts w:ascii="Calibri" w:hAnsi="Calibri" w:cs="Times New Roman"/>
          <w:noProof/>
          <w:szCs w:val="24"/>
        </w:rPr>
        <w:t xml:space="preserve"> (2002) ‘Pre-steady-state and stopped-flow fluorescence analysis of Escherichia coli ribonuclease III: insights into mechanism and conformational changes associated with binding and catalysis’, </w:t>
      </w:r>
      <w:r w:rsidRPr="00C57A7E">
        <w:rPr>
          <w:rFonts w:ascii="Calibri" w:hAnsi="Calibri" w:cs="Times New Roman"/>
          <w:i/>
          <w:iCs/>
          <w:noProof/>
          <w:szCs w:val="24"/>
        </w:rPr>
        <w:t>Journal of Molecular Biology</w:t>
      </w:r>
      <w:r w:rsidRPr="00C57A7E">
        <w:rPr>
          <w:rFonts w:ascii="Calibri" w:hAnsi="Calibri" w:cs="Times New Roman"/>
          <w:noProof/>
          <w:szCs w:val="24"/>
        </w:rPr>
        <w:t>. Academic Press, 317(1), pp. 21–40. doi: 10.1006/JMBI.2002.5413.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Campbell, M. A. and Wengel, J. (2011) ‘Locked vs. unlocked nucleic acids (LNA vs. UNA): contrasting structures work towards common therapeutic goals’, </w:t>
      </w:r>
      <w:r w:rsidRPr="00C57A7E">
        <w:rPr>
          <w:rFonts w:ascii="Calibri" w:hAnsi="Calibri" w:cs="Times New Roman"/>
          <w:i/>
          <w:iCs/>
          <w:noProof/>
          <w:szCs w:val="24"/>
        </w:rPr>
        <w:t>Chemical Society Reviews</w:t>
      </w:r>
      <w:r w:rsidRPr="00C57A7E">
        <w:rPr>
          <w:rFonts w:ascii="Calibri" w:hAnsi="Calibri" w:cs="Times New Roman"/>
          <w:noProof/>
          <w:szCs w:val="24"/>
        </w:rPr>
        <w:t>, 40(12), p. 5680. doi: 10.1039/c1cs15048k.</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CaraDonna, P. J., Cunningham, J. L. and Iler, A. M. (2018) ‘Experimental warming in the field delays phenology and reduces body mass, fat content and survival: Implications for the persistence of a pollinator under climate change’, </w:t>
      </w:r>
      <w:r w:rsidRPr="00C57A7E">
        <w:rPr>
          <w:rFonts w:ascii="Calibri" w:hAnsi="Calibri" w:cs="Times New Roman"/>
          <w:i/>
          <w:iCs/>
          <w:noProof/>
          <w:szCs w:val="24"/>
        </w:rPr>
        <w:t>Functional Ecology</w:t>
      </w:r>
      <w:r w:rsidRPr="00C57A7E">
        <w:rPr>
          <w:rFonts w:ascii="Calibri" w:hAnsi="Calibri" w:cs="Times New Roman"/>
          <w:noProof/>
          <w:szCs w:val="24"/>
        </w:rPr>
        <w:t>. Edited by C. Williams. John Wiley &amp; Sons, Ltd (10.1111), 32(10), pp. 2345–2356. doi: 10.1111/1365-2435.13151.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Carbonell, A. and Carrington, J. C. (2015) ‘Antiviral roles of plant ARGONAUTES’, </w:t>
      </w:r>
      <w:r w:rsidRPr="00C57A7E">
        <w:rPr>
          <w:rFonts w:ascii="Calibri" w:hAnsi="Calibri" w:cs="Times New Roman"/>
          <w:i/>
          <w:iCs/>
          <w:noProof/>
          <w:szCs w:val="24"/>
        </w:rPr>
        <w:t>Current Opinion in Plant Biology</w:t>
      </w:r>
      <w:r w:rsidRPr="00C57A7E">
        <w:rPr>
          <w:rFonts w:ascii="Calibri" w:hAnsi="Calibri" w:cs="Times New Roman"/>
          <w:noProof/>
          <w:szCs w:val="24"/>
        </w:rPr>
        <w:t>. Elsevier Ltd, 27(Dcl), pp. 111–117. doi: 10.1016/j.pbi.2015.06.013.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Castanotto, D. and Rossi, J. J. (2009) ‘The promises and pitfalls of RNA-interference-based therapeutics’, </w:t>
      </w:r>
      <w:r w:rsidRPr="00C57A7E">
        <w:rPr>
          <w:rFonts w:ascii="Calibri" w:hAnsi="Calibri" w:cs="Times New Roman"/>
          <w:i/>
          <w:iCs/>
          <w:noProof/>
          <w:szCs w:val="24"/>
        </w:rPr>
        <w:t>Nature</w:t>
      </w:r>
      <w:r w:rsidRPr="00C57A7E">
        <w:rPr>
          <w:rFonts w:ascii="Calibri" w:hAnsi="Calibri" w:cs="Times New Roman"/>
          <w:noProof/>
          <w:szCs w:val="24"/>
        </w:rPr>
        <w:t>, 457(7228), pp. 426–433. doi: 10.1038/nature07758.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Castellanos, N. L. </w:t>
      </w:r>
      <w:r w:rsidRPr="00C57A7E">
        <w:rPr>
          <w:rFonts w:ascii="Calibri" w:hAnsi="Calibri" w:cs="Times New Roman"/>
          <w:i/>
          <w:iCs/>
          <w:noProof/>
          <w:szCs w:val="24"/>
        </w:rPr>
        <w:t>et al.</w:t>
      </w:r>
      <w:r w:rsidRPr="00C57A7E">
        <w:rPr>
          <w:rFonts w:ascii="Calibri" w:hAnsi="Calibri" w:cs="Times New Roman"/>
          <w:noProof/>
          <w:szCs w:val="24"/>
        </w:rPr>
        <w:t xml:space="preserve"> (2019) ‘Liposome encapsulation and EDTA formulation of dsRNA targeting essential genes increase oral RNAi-caused mortality in the Neotropical stink bug </w:t>
      </w:r>
      <w:r w:rsidRPr="00C57A7E">
        <w:rPr>
          <w:rFonts w:ascii="Calibri" w:hAnsi="Calibri" w:cs="Times New Roman"/>
          <w:i/>
          <w:iCs/>
          <w:noProof/>
          <w:szCs w:val="24"/>
        </w:rPr>
        <w:t>Euschistus heros</w:t>
      </w:r>
      <w:r w:rsidRPr="00C57A7E">
        <w:rPr>
          <w:rFonts w:ascii="Calibri" w:hAnsi="Calibri" w:cs="Times New Roman"/>
          <w:noProof/>
          <w:szCs w:val="24"/>
        </w:rPr>
        <w:t xml:space="preserve">’, </w:t>
      </w:r>
      <w:r w:rsidRPr="00C57A7E">
        <w:rPr>
          <w:rFonts w:ascii="Calibri" w:hAnsi="Calibri" w:cs="Times New Roman"/>
          <w:i/>
          <w:iCs/>
          <w:noProof/>
          <w:szCs w:val="24"/>
        </w:rPr>
        <w:t>Pest Management Science</w:t>
      </w:r>
      <w:r w:rsidRPr="00C57A7E">
        <w:rPr>
          <w:rFonts w:ascii="Calibri" w:hAnsi="Calibri" w:cs="Times New Roman"/>
          <w:noProof/>
          <w:szCs w:val="24"/>
        </w:rPr>
        <w:t>, 75(2), pp. 537–548. doi: 10.1002/ps.5167.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Cenik, E. S. </w:t>
      </w:r>
      <w:r w:rsidRPr="00C57A7E">
        <w:rPr>
          <w:rFonts w:ascii="Calibri" w:hAnsi="Calibri" w:cs="Times New Roman"/>
          <w:i/>
          <w:iCs/>
          <w:noProof/>
          <w:szCs w:val="24"/>
        </w:rPr>
        <w:t>et al.</w:t>
      </w:r>
      <w:r w:rsidRPr="00C57A7E">
        <w:rPr>
          <w:rFonts w:ascii="Calibri" w:hAnsi="Calibri" w:cs="Times New Roman"/>
          <w:noProof/>
          <w:szCs w:val="24"/>
        </w:rPr>
        <w:t xml:space="preserve"> (2011) ‘Phosphate and R2D2 restrict the substrate specificity of Dicer-2, an ATP-driven ribonuclease.’, </w:t>
      </w:r>
      <w:r w:rsidRPr="00C57A7E">
        <w:rPr>
          <w:rFonts w:ascii="Calibri" w:hAnsi="Calibri" w:cs="Times New Roman"/>
          <w:i/>
          <w:iCs/>
          <w:noProof/>
          <w:szCs w:val="24"/>
        </w:rPr>
        <w:t>Molecular cell</w:t>
      </w:r>
      <w:r w:rsidRPr="00C57A7E">
        <w:rPr>
          <w:rFonts w:ascii="Calibri" w:hAnsi="Calibri" w:cs="Times New Roman"/>
          <w:noProof/>
          <w:szCs w:val="24"/>
        </w:rPr>
        <w:t>. Elsevier, 42(2), pp. 172–84. doi: 10.1016/j.molcel.2011.03.002.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Chang, W. </w:t>
      </w:r>
      <w:r w:rsidRPr="00C57A7E">
        <w:rPr>
          <w:rFonts w:ascii="Calibri" w:hAnsi="Calibri" w:cs="Times New Roman"/>
          <w:i/>
          <w:iCs/>
          <w:noProof/>
          <w:szCs w:val="24"/>
        </w:rPr>
        <w:t>et al.</w:t>
      </w:r>
      <w:r w:rsidRPr="00C57A7E">
        <w:rPr>
          <w:rFonts w:ascii="Calibri" w:hAnsi="Calibri" w:cs="Times New Roman"/>
          <w:noProof/>
          <w:szCs w:val="24"/>
        </w:rPr>
        <w:t xml:space="preserve"> (2016a) ‘Systematic chemical modifications of single stranded siRNAs significantly improved CTNNB1 mRNA silencing’, </w:t>
      </w:r>
      <w:r w:rsidRPr="00C57A7E">
        <w:rPr>
          <w:rFonts w:ascii="Calibri" w:hAnsi="Calibri" w:cs="Times New Roman"/>
          <w:i/>
          <w:iCs/>
          <w:noProof/>
          <w:szCs w:val="24"/>
        </w:rPr>
        <w:t>Bioorganic and Medicinal Chemistry Letters</w:t>
      </w:r>
      <w:r w:rsidRPr="00C57A7E">
        <w:rPr>
          <w:rFonts w:ascii="Calibri" w:hAnsi="Calibri" w:cs="Times New Roman"/>
          <w:noProof/>
          <w:szCs w:val="24"/>
        </w:rPr>
        <w:t>. Elsevier Ltd, 26(18), pp. 4513–4517. doi: 10.1016/j.bmcl.2016.07.064.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Chang, W. </w:t>
      </w:r>
      <w:r w:rsidRPr="00C57A7E">
        <w:rPr>
          <w:rFonts w:ascii="Calibri" w:hAnsi="Calibri" w:cs="Times New Roman"/>
          <w:i/>
          <w:iCs/>
          <w:noProof/>
          <w:szCs w:val="24"/>
        </w:rPr>
        <w:t>et al.</w:t>
      </w:r>
      <w:r w:rsidRPr="00C57A7E">
        <w:rPr>
          <w:rFonts w:ascii="Calibri" w:hAnsi="Calibri" w:cs="Times New Roman"/>
          <w:noProof/>
          <w:szCs w:val="24"/>
        </w:rPr>
        <w:t xml:space="preserve"> (2016b) ‘Systematic chemical modifications of single stranded siRNAs significantly </w:t>
      </w:r>
      <w:r w:rsidRPr="00C57A7E">
        <w:rPr>
          <w:rFonts w:ascii="Calibri" w:hAnsi="Calibri" w:cs="Times New Roman"/>
          <w:noProof/>
          <w:szCs w:val="24"/>
        </w:rPr>
        <w:lastRenderedPageBreak/>
        <w:t xml:space="preserve">improved CTNNB1 mRNA silencing’, </w:t>
      </w:r>
      <w:r w:rsidRPr="00C57A7E">
        <w:rPr>
          <w:rFonts w:ascii="Calibri" w:hAnsi="Calibri" w:cs="Times New Roman"/>
          <w:i/>
          <w:iCs/>
          <w:noProof/>
          <w:szCs w:val="24"/>
        </w:rPr>
        <w:t>Bioorganic &amp; Medicinal Chemistry Letters</w:t>
      </w:r>
      <w:r w:rsidRPr="00C57A7E">
        <w:rPr>
          <w:rFonts w:ascii="Calibri" w:hAnsi="Calibri" w:cs="Times New Roman"/>
          <w:noProof/>
          <w:szCs w:val="24"/>
        </w:rPr>
        <w:t>, 26(18), pp. 4513–4517. doi: 10.1016/j.bmcl.2016.07.064.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Chelliserrykattil, J. and Ellington, A. D. (2004) ‘Evolution of a T7 RNA polymerase variant that transcribes 2′-O-methyl RNA’, </w:t>
      </w:r>
      <w:r w:rsidRPr="00C57A7E">
        <w:rPr>
          <w:rFonts w:ascii="Calibri" w:hAnsi="Calibri" w:cs="Times New Roman"/>
          <w:i/>
          <w:iCs/>
          <w:noProof/>
          <w:szCs w:val="24"/>
        </w:rPr>
        <w:t>Nature Biotechnology</w:t>
      </w:r>
      <w:r w:rsidRPr="00C57A7E">
        <w:rPr>
          <w:rFonts w:ascii="Calibri" w:hAnsi="Calibri" w:cs="Times New Roman"/>
          <w:noProof/>
          <w:szCs w:val="24"/>
        </w:rPr>
        <w:t>. Nature Publishing Group, 22(9), pp. 1155–1160. doi: 10.1038/nbt1001.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Chiu, Y.-L. and Rana, T. M. (2003) ‘siRNA function in RNAi: A chemical modification analysis’, </w:t>
      </w:r>
      <w:r w:rsidRPr="00C57A7E">
        <w:rPr>
          <w:rFonts w:ascii="Calibri" w:hAnsi="Calibri" w:cs="Times New Roman"/>
          <w:i/>
          <w:iCs/>
          <w:noProof/>
          <w:szCs w:val="24"/>
        </w:rPr>
        <w:t>RNA</w:t>
      </w:r>
      <w:r w:rsidRPr="00C57A7E">
        <w:rPr>
          <w:rFonts w:ascii="Calibri" w:hAnsi="Calibri" w:cs="Times New Roman"/>
          <w:noProof/>
          <w:szCs w:val="24"/>
        </w:rPr>
        <w:t>, 9(9), pp. 1034–1048. doi: 10.1261/rna.5103703.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Christiaens, O. </w:t>
      </w:r>
      <w:r w:rsidRPr="00C57A7E">
        <w:rPr>
          <w:rFonts w:ascii="Calibri" w:hAnsi="Calibri" w:cs="Times New Roman"/>
          <w:i/>
          <w:iCs/>
          <w:noProof/>
          <w:szCs w:val="24"/>
        </w:rPr>
        <w:t>et al.</w:t>
      </w:r>
      <w:r w:rsidRPr="00C57A7E">
        <w:rPr>
          <w:rFonts w:ascii="Calibri" w:hAnsi="Calibri" w:cs="Times New Roman"/>
          <w:noProof/>
          <w:szCs w:val="24"/>
        </w:rPr>
        <w:t xml:space="preserve"> (2018) ‘Increased RNAi Efficacy in Spodoptera exigua via the Formulation of dsRNA With Guanylated Polymers’, </w:t>
      </w:r>
      <w:r w:rsidRPr="00C57A7E">
        <w:rPr>
          <w:rFonts w:ascii="Calibri" w:hAnsi="Calibri" w:cs="Times New Roman"/>
          <w:i/>
          <w:iCs/>
          <w:noProof/>
          <w:szCs w:val="24"/>
        </w:rPr>
        <w:t>Frontiers in Physiology</w:t>
      </w:r>
      <w:r w:rsidRPr="00C57A7E">
        <w:rPr>
          <w:rFonts w:ascii="Calibri" w:hAnsi="Calibri" w:cs="Times New Roman"/>
          <w:noProof/>
          <w:szCs w:val="24"/>
        </w:rPr>
        <w:t>. Frontiers, 9, p. 316. doi: 10.3389/fphys.2018.00316.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Cogoni, C. and Macino, G. (1997) ‘Isolation of quelling-defective (qde) mutants impaired in posttranscriptional transgene-induced gene silencing in Neurospora crassa’, </w:t>
      </w:r>
      <w:r w:rsidRPr="00C57A7E">
        <w:rPr>
          <w:rFonts w:ascii="Calibri" w:hAnsi="Calibri" w:cs="Times New Roman"/>
          <w:i/>
          <w:iCs/>
          <w:noProof/>
          <w:szCs w:val="24"/>
        </w:rPr>
        <w:t>Proceedings of the National Academy of Sciences</w:t>
      </w:r>
      <w:r w:rsidRPr="00C57A7E">
        <w:rPr>
          <w:rFonts w:ascii="Calibri" w:hAnsi="Calibri" w:cs="Times New Roman"/>
          <w:noProof/>
          <w:szCs w:val="24"/>
        </w:rPr>
        <w:t>, 94(19), pp. 10233–10238. doi: 10.1073/pnas.94.19.10233.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Cogoni, C. and Macino, G. (1999) ‘Gene silencing in Neurospora crassa requires a protein homologous to RNA-dependent RNA polymerase’, </w:t>
      </w:r>
      <w:r w:rsidRPr="00C57A7E">
        <w:rPr>
          <w:rFonts w:ascii="Calibri" w:hAnsi="Calibri" w:cs="Times New Roman"/>
          <w:i/>
          <w:iCs/>
          <w:noProof/>
          <w:szCs w:val="24"/>
        </w:rPr>
        <w:t>Nature</w:t>
      </w:r>
      <w:r w:rsidRPr="00C57A7E">
        <w:rPr>
          <w:rFonts w:ascii="Calibri" w:hAnsi="Calibri" w:cs="Times New Roman"/>
          <w:noProof/>
          <w:szCs w:val="24"/>
        </w:rPr>
        <w:t>, 399(6732), pp. 166–169. doi: 10.1038/20215.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Colmenares, S. U. </w:t>
      </w:r>
      <w:r w:rsidRPr="00C57A7E">
        <w:rPr>
          <w:rFonts w:ascii="Calibri" w:hAnsi="Calibri" w:cs="Times New Roman"/>
          <w:i/>
          <w:iCs/>
          <w:noProof/>
          <w:szCs w:val="24"/>
        </w:rPr>
        <w:t>et al.</w:t>
      </w:r>
      <w:r w:rsidRPr="00C57A7E">
        <w:rPr>
          <w:rFonts w:ascii="Calibri" w:hAnsi="Calibri" w:cs="Times New Roman"/>
          <w:noProof/>
          <w:szCs w:val="24"/>
        </w:rPr>
        <w:t xml:space="preserve"> (2007) ‘Coupling of Double-Stranded RNA Synthesis and siRNA Generation in Fission Yeast RNAi’, </w:t>
      </w:r>
      <w:r w:rsidRPr="00C57A7E">
        <w:rPr>
          <w:rFonts w:ascii="Calibri" w:hAnsi="Calibri" w:cs="Times New Roman"/>
          <w:i/>
          <w:iCs/>
          <w:noProof/>
          <w:szCs w:val="24"/>
        </w:rPr>
        <w:t>Molecular Cell</w:t>
      </w:r>
      <w:r w:rsidRPr="00C57A7E">
        <w:rPr>
          <w:rFonts w:ascii="Calibri" w:hAnsi="Calibri" w:cs="Times New Roman"/>
          <w:noProof/>
          <w:szCs w:val="24"/>
        </w:rPr>
        <w:t>. Cell Press, 27(3), pp. 449–461. doi: 10.1016/J.MOLCEL.2007.07.007.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Conrad, C. and Gerlich, D. W. (2010) ‘Automated microscopy for high-content RNAi screening’, </w:t>
      </w:r>
      <w:r w:rsidRPr="00C57A7E">
        <w:rPr>
          <w:rFonts w:ascii="Calibri" w:hAnsi="Calibri" w:cs="Times New Roman"/>
          <w:i/>
          <w:iCs/>
          <w:noProof/>
          <w:szCs w:val="24"/>
        </w:rPr>
        <w:t>The Journal of Cell Biology</w:t>
      </w:r>
      <w:r w:rsidRPr="00C57A7E">
        <w:rPr>
          <w:rFonts w:ascii="Calibri" w:hAnsi="Calibri" w:cs="Times New Roman"/>
          <w:noProof/>
          <w:szCs w:val="24"/>
        </w:rPr>
        <w:t>, 188(4), pp. 453–461. doi: 10.1083/jcb.200910105.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Conrad, F. </w:t>
      </w:r>
      <w:r w:rsidRPr="00C57A7E">
        <w:rPr>
          <w:rFonts w:ascii="Calibri" w:hAnsi="Calibri" w:cs="Times New Roman"/>
          <w:i/>
          <w:iCs/>
          <w:noProof/>
          <w:szCs w:val="24"/>
        </w:rPr>
        <w:t>et al.</w:t>
      </w:r>
      <w:r w:rsidRPr="00C57A7E">
        <w:rPr>
          <w:rFonts w:ascii="Calibri" w:hAnsi="Calibri" w:cs="Times New Roman"/>
          <w:noProof/>
          <w:szCs w:val="24"/>
        </w:rPr>
        <w:t xml:space="preserve"> (1995) ‘Enzymatic synthesis of 2’-modified nucleic acids: identification of important phosphate and ribose moieties in RNase P substrates.’, </w:t>
      </w:r>
      <w:r w:rsidRPr="00C57A7E">
        <w:rPr>
          <w:rFonts w:ascii="Calibri" w:hAnsi="Calibri" w:cs="Times New Roman"/>
          <w:i/>
          <w:iCs/>
          <w:noProof/>
          <w:szCs w:val="24"/>
        </w:rPr>
        <w:t>Nucleic acids research</w:t>
      </w:r>
      <w:r w:rsidRPr="00C57A7E">
        <w:rPr>
          <w:rFonts w:ascii="Calibri" w:hAnsi="Calibri" w:cs="Times New Roman"/>
          <w:noProof/>
          <w:szCs w:val="24"/>
        </w:rPr>
        <w:t>, 23(11), pp. 1845–53. Available at: http://www.pubmedcentral.nih.gov/articlerender.fcgi?artid=306953&amp;tool=pmcentrez&amp;rendertype=abstract.</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Cooper, A. M. </w:t>
      </w:r>
      <w:r w:rsidRPr="00C57A7E">
        <w:rPr>
          <w:rFonts w:ascii="Calibri" w:hAnsi="Calibri" w:cs="Times New Roman"/>
          <w:i/>
          <w:iCs/>
          <w:noProof/>
          <w:szCs w:val="24"/>
        </w:rPr>
        <w:t>et al.</w:t>
      </w:r>
      <w:r w:rsidRPr="00C57A7E">
        <w:rPr>
          <w:rFonts w:ascii="Calibri" w:hAnsi="Calibri" w:cs="Times New Roman"/>
          <w:noProof/>
          <w:szCs w:val="24"/>
        </w:rPr>
        <w:t xml:space="preserve"> (2019) ‘Molecular mechanisms influencing efficiency of RNA interference in insects’, </w:t>
      </w:r>
      <w:r w:rsidRPr="00C57A7E">
        <w:rPr>
          <w:rFonts w:ascii="Calibri" w:hAnsi="Calibri" w:cs="Times New Roman"/>
          <w:i/>
          <w:iCs/>
          <w:noProof/>
          <w:szCs w:val="24"/>
        </w:rPr>
        <w:t>Pest Management Science</w:t>
      </w:r>
      <w:r w:rsidRPr="00C57A7E">
        <w:rPr>
          <w:rFonts w:ascii="Calibri" w:hAnsi="Calibri" w:cs="Times New Roman"/>
          <w:noProof/>
          <w:szCs w:val="24"/>
        </w:rPr>
        <w:t>, 75(1), pp. 18–28. doi: 10.1002/ps.5126.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Cordell-Stewart, B. and Taylor, M. W. (1973) ‘Effect of viral double-stranded RNA on mammalian cells in culture: cytotoxicity under conditions preventing viral replication and protein synthesis.’, </w:t>
      </w:r>
      <w:r w:rsidRPr="00C57A7E">
        <w:rPr>
          <w:rFonts w:ascii="Calibri" w:hAnsi="Calibri" w:cs="Times New Roman"/>
          <w:i/>
          <w:iCs/>
          <w:noProof/>
          <w:szCs w:val="24"/>
        </w:rPr>
        <w:t>Journal of virology</w:t>
      </w:r>
      <w:r w:rsidRPr="00C57A7E">
        <w:rPr>
          <w:rFonts w:ascii="Calibri" w:hAnsi="Calibri" w:cs="Times New Roman"/>
          <w:noProof/>
          <w:szCs w:val="24"/>
        </w:rPr>
        <w:t>. American Society for Microbiology (ASM), 12(2), pp. 360–6. Available at: http://www.ncbi.nlm.nih.gov/pubmed/4795868 (Accessed: 29 January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Cox-Foster, D. L. </w:t>
      </w:r>
      <w:r w:rsidRPr="00C57A7E">
        <w:rPr>
          <w:rFonts w:ascii="Calibri" w:hAnsi="Calibri" w:cs="Times New Roman"/>
          <w:i/>
          <w:iCs/>
          <w:noProof/>
          <w:szCs w:val="24"/>
        </w:rPr>
        <w:t>et al.</w:t>
      </w:r>
      <w:r w:rsidRPr="00C57A7E">
        <w:rPr>
          <w:rFonts w:ascii="Calibri" w:hAnsi="Calibri" w:cs="Times New Roman"/>
          <w:noProof/>
          <w:szCs w:val="24"/>
        </w:rPr>
        <w:t xml:space="preserve"> (2007) ‘A Metagenomic Survey of Microbes in Honey Bee Colony Collapse Disorder’, </w:t>
      </w:r>
      <w:r w:rsidRPr="00C57A7E">
        <w:rPr>
          <w:rFonts w:ascii="Calibri" w:hAnsi="Calibri" w:cs="Times New Roman"/>
          <w:i/>
          <w:iCs/>
          <w:noProof/>
          <w:szCs w:val="24"/>
        </w:rPr>
        <w:t>Science</w:t>
      </w:r>
      <w:r w:rsidRPr="00C57A7E">
        <w:rPr>
          <w:rFonts w:ascii="Calibri" w:hAnsi="Calibri" w:cs="Times New Roman"/>
          <w:noProof/>
          <w:szCs w:val="24"/>
        </w:rPr>
        <w:t>. American Association for the Advancement of Science, 318(5848), pp. 283–287. doi: 10.1126/SCIENCE.1146498.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Cox-Foster, D. and vanEngelsdorp, D. (2009) ‘Saving the honeybee.’, </w:t>
      </w:r>
      <w:r w:rsidRPr="00C57A7E">
        <w:rPr>
          <w:rFonts w:ascii="Calibri" w:hAnsi="Calibri" w:cs="Times New Roman"/>
          <w:i/>
          <w:iCs/>
          <w:noProof/>
          <w:szCs w:val="24"/>
        </w:rPr>
        <w:t>Scientific American</w:t>
      </w:r>
      <w:r w:rsidRPr="00C57A7E">
        <w:rPr>
          <w:rFonts w:ascii="Calibri" w:hAnsi="Calibri" w:cs="Times New Roman"/>
          <w:noProof/>
          <w:szCs w:val="24"/>
        </w:rPr>
        <w:t>, 300(4), pp. 40–7. doi: 10.1038/scientificamerican0409-40.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Cullen, E. M. </w:t>
      </w:r>
      <w:r w:rsidRPr="00C57A7E">
        <w:rPr>
          <w:rFonts w:ascii="Calibri" w:hAnsi="Calibri" w:cs="Times New Roman"/>
          <w:i/>
          <w:iCs/>
          <w:noProof/>
          <w:szCs w:val="24"/>
        </w:rPr>
        <w:t>et al.</w:t>
      </w:r>
      <w:r w:rsidRPr="00C57A7E">
        <w:rPr>
          <w:rFonts w:ascii="Calibri" w:hAnsi="Calibri" w:cs="Times New Roman"/>
          <w:noProof/>
          <w:szCs w:val="24"/>
        </w:rPr>
        <w:t xml:space="preserve"> (2013) ‘Resistance to Bt Corn by Western Corn Rootworm (Coleoptera: Chrysomelidae) in the U.S. Corn Belt’, </w:t>
      </w:r>
      <w:r w:rsidRPr="00C57A7E">
        <w:rPr>
          <w:rFonts w:ascii="Calibri" w:hAnsi="Calibri" w:cs="Times New Roman"/>
          <w:i/>
          <w:iCs/>
          <w:noProof/>
          <w:szCs w:val="24"/>
        </w:rPr>
        <w:t>Journal of Integrated Pest Management</w:t>
      </w:r>
      <w:r w:rsidRPr="00C57A7E">
        <w:rPr>
          <w:rFonts w:ascii="Calibri" w:hAnsi="Calibri" w:cs="Times New Roman"/>
          <w:noProof/>
          <w:szCs w:val="24"/>
        </w:rPr>
        <w:t>. Narnia, 4(3), pp. 1–6. doi: 10.1603/IPM13012.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Cummins, L. L. </w:t>
      </w:r>
      <w:r w:rsidRPr="00C57A7E">
        <w:rPr>
          <w:rFonts w:ascii="Calibri" w:hAnsi="Calibri" w:cs="Times New Roman"/>
          <w:i/>
          <w:iCs/>
          <w:noProof/>
          <w:szCs w:val="24"/>
        </w:rPr>
        <w:t>et al.</w:t>
      </w:r>
      <w:r w:rsidRPr="00C57A7E">
        <w:rPr>
          <w:rFonts w:ascii="Calibri" w:hAnsi="Calibri" w:cs="Times New Roman"/>
          <w:noProof/>
          <w:szCs w:val="24"/>
        </w:rPr>
        <w:t xml:space="preserve"> (1995) ‘Characterization of fully 2’-modified oligoribonucleotide hetero- and homoduplex hybridization and nuclease sensitivity.’,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23(11), pp. 2019–24. doi: 10.1093/nar/23.11.2019.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Czech, B. and Hannon, G. J. (2016) ‘One Loop to Rule Them All: The Ping-Pong Cycle and piRNA-Guided Silencing’, </w:t>
      </w:r>
      <w:r w:rsidRPr="00C57A7E">
        <w:rPr>
          <w:rFonts w:ascii="Calibri" w:hAnsi="Calibri" w:cs="Times New Roman"/>
          <w:i/>
          <w:iCs/>
          <w:noProof/>
          <w:szCs w:val="24"/>
        </w:rPr>
        <w:t>Trends in Biochemical Sciences</w:t>
      </w:r>
      <w:r w:rsidRPr="00C57A7E">
        <w:rPr>
          <w:rFonts w:ascii="Calibri" w:hAnsi="Calibri" w:cs="Times New Roman"/>
          <w:noProof/>
          <w:szCs w:val="24"/>
        </w:rPr>
        <w:t xml:space="preserve">. Elsevier, 41(4), p. 324. doi: </w:t>
      </w:r>
      <w:r w:rsidRPr="00C57A7E">
        <w:rPr>
          <w:rFonts w:ascii="Calibri" w:hAnsi="Calibri" w:cs="Times New Roman"/>
          <w:noProof/>
          <w:szCs w:val="24"/>
        </w:rPr>
        <w:lastRenderedPageBreak/>
        <w:t>10.1016/J.TIBS.2015.12.008.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Dande, P. </w:t>
      </w:r>
      <w:r w:rsidRPr="00C57A7E">
        <w:rPr>
          <w:rFonts w:ascii="Calibri" w:hAnsi="Calibri" w:cs="Times New Roman"/>
          <w:i/>
          <w:iCs/>
          <w:noProof/>
          <w:szCs w:val="24"/>
        </w:rPr>
        <w:t>et al.</w:t>
      </w:r>
      <w:r w:rsidRPr="00C57A7E">
        <w:rPr>
          <w:rFonts w:ascii="Calibri" w:hAnsi="Calibri" w:cs="Times New Roman"/>
          <w:noProof/>
          <w:szCs w:val="24"/>
        </w:rPr>
        <w:t xml:space="preserve"> (2006) ‘Improving RNA interference in mammalian cells by 4’-thio-modified small interfering RNA (siRNA): effect on siRNA activity and nuclease stability when used in combination with 2’-O-alkyl modifications.’, </w:t>
      </w:r>
      <w:r w:rsidRPr="00C57A7E">
        <w:rPr>
          <w:rFonts w:ascii="Calibri" w:hAnsi="Calibri" w:cs="Times New Roman"/>
          <w:i/>
          <w:iCs/>
          <w:noProof/>
          <w:szCs w:val="24"/>
        </w:rPr>
        <w:t>Journal of medicinal chemistry</w:t>
      </w:r>
      <w:r w:rsidRPr="00C57A7E">
        <w:rPr>
          <w:rFonts w:ascii="Calibri" w:hAnsi="Calibri" w:cs="Times New Roman"/>
          <w:noProof/>
          <w:szCs w:val="24"/>
        </w:rPr>
        <w:t>, 49(5), pp. 1624–34. doi: 10.1021/jm050822c.</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D</w:t>
      </w:r>
      <w:r w:rsidR="000163D2">
        <w:rPr>
          <w:rFonts w:ascii="Calibri" w:hAnsi="Calibri" w:cs="Times New Roman"/>
          <w:noProof/>
          <w:szCs w:val="24"/>
        </w:rPr>
        <w:t>avies</w:t>
      </w:r>
      <w:r w:rsidRPr="00C57A7E">
        <w:rPr>
          <w:rFonts w:ascii="Calibri" w:hAnsi="Calibri" w:cs="Times New Roman"/>
          <w:noProof/>
          <w:szCs w:val="24"/>
        </w:rPr>
        <w:t>, T. G. E., F</w:t>
      </w:r>
      <w:r w:rsidR="000163D2">
        <w:rPr>
          <w:rFonts w:ascii="Calibri" w:hAnsi="Calibri" w:cs="Times New Roman"/>
          <w:noProof/>
          <w:szCs w:val="24"/>
        </w:rPr>
        <w:t>ield</w:t>
      </w:r>
      <w:r w:rsidRPr="00C57A7E">
        <w:rPr>
          <w:rFonts w:ascii="Calibri" w:hAnsi="Calibri" w:cs="Times New Roman"/>
          <w:noProof/>
          <w:szCs w:val="24"/>
        </w:rPr>
        <w:t>, L. M. and W</w:t>
      </w:r>
      <w:r w:rsidR="000163D2">
        <w:rPr>
          <w:rFonts w:ascii="Calibri" w:hAnsi="Calibri" w:cs="Times New Roman"/>
          <w:noProof/>
          <w:szCs w:val="24"/>
        </w:rPr>
        <w:t>illiamson</w:t>
      </w:r>
      <w:r w:rsidRPr="00C57A7E">
        <w:rPr>
          <w:rFonts w:ascii="Calibri" w:hAnsi="Calibri" w:cs="Times New Roman"/>
          <w:noProof/>
          <w:szCs w:val="24"/>
        </w:rPr>
        <w:t xml:space="preserve">, M. S. (2012) ‘The re-emergence of the bed bug as a nuisance pest: implications of resistance to the pyrethroid insecticides’, </w:t>
      </w:r>
      <w:r w:rsidRPr="00C57A7E">
        <w:rPr>
          <w:rFonts w:ascii="Calibri" w:hAnsi="Calibri" w:cs="Times New Roman"/>
          <w:i/>
          <w:iCs/>
          <w:noProof/>
          <w:szCs w:val="24"/>
        </w:rPr>
        <w:t>Medical and Veterinary Entomology</w:t>
      </w:r>
      <w:r w:rsidRPr="00C57A7E">
        <w:rPr>
          <w:rFonts w:ascii="Calibri" w:hAnsi="Calibri" w:cs="Times New Roman"/>
          <w:noProof/>
          <w:szCs w:val="24"/>
        </w:rPr>
        <w:t>. John Wiley &amp; Sons, Ltd (10.1111), 26(3), pp. 241–254. doi: 10.1111/j.1365-2915.2011.01006.x.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Davis-Vogel, C. </w:t>
      </w:r>
      <w:r w:rsidRPr="00C57A7E">
        <w:rPr>
          <w:rFonts w:ascii="Calibri" w:hAnsi="Calibri" w:cs="Times New Roman"/>
          <w:i/>
          <w:iCs/>
          <w:noProof/>
          <w:szCs w:val="24"/>
        </w:rPr>
        <w:t>et al.</w:t>
      </w:r>
      <w:r w:rsidRPr="00C57A7E">
        <w:rPr>
          <w:rFonts w:ascii="Calibri" w:hAnsi="Calibri" w:cs="Times New Roman"/>
          <w:noProof/>
          <w:szCs w:val="24"/>
        </w:rPr>
        <w:t xml:space="preserve"> (2018) ‘Identification and comparison of key RNA interference machinery from western corn rootworm, fall armyworm, and southern green stink bug’, </w:t>
      </w:r>
      <w:r w:rsidRPr="00C57A7E">
        <w:rPr>
          <w:rFonts w:ascii="Calibri" w:hAnsi="Calibri" w:cs="Times New Roman"/>
          <w:i/>
          <w:iCs/>
          <w:noProof/>
          <w:szCs w:val="24"/>
        </w:rPr>
        <w:t>PLOS ONE</w:t>
      </w:r>
      <w:r w:rsidRPr="00C57A7E">
        <w:rPr>
          <w:rFonts w:ascii="Calibri" w:hAnsi="Calibri" w:cs="Times New Roman"/>
          <w:noProof/>
          <w:szCs w:val="24"/>
        </w:rPr>
        <w:t>. Edited by J. L. Jurat-Fuentes, 13(9), p. e0203160. doi: 10.1371/journal.pone.0203160.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Deutsch, C. A. </w:t>
      </w:r>
      <w:r w:rsidRPr="00C57A7E">
        <w:rPr>
          <w:rFonts w:ascii="Calibri" w:hAnsi="Calibri" w:cs="Times New Roman"/>
          <w:i/>
          <w:iCs/>
          <w:noProof/>
          <w:szCs w:val="24"/>
        </w:rPr>
        <w:t>et al.</w:t>
      </w:r>
      <w:r w:rsidRPr="00C57A7E">
        <w:rPr>
          <w:rFonts w:ascii="Calibri" w:hAnsi="Calibri" w:cs="Times New Roman"/>
          <w:noProof/>
          <w:szCs w:val="24"/>
        </w:rPr>
        <w:t xml:space="preserve"> (2018) ‘Increase in crop losses to insect pests in a warming climate.’, </w:t>
      </w:r>
      <w:r w:rsidRPr="00C57A7E">
        <w:rPr>
          <w:rFonts w:ascii="Calibri" w:hAnsi="Calibri" w:cs="Times New Roman"/>
          <w:i/>
          <w:iCs/>
          <w:noProof/>
          <w:szCs w:val="24"/>
        </w:rPr>
        <w:t>Science (New York, N.Y.)</w:t>
      </w:r>
      <w:r w:rsidRPr="00C57A7E">
        <w:rPr>
          <w:rFonts w:ascii="Calibri" w:hAnsi="Calibri" w:cs="Times New Roman"/>
          <w:noProof/>
          <w:szCs w:val="24"/>
        </w:rPr>
        <w:t>. American Association for the Advancement of Science, 361(6405), pp. 916–919. doi: 10.1126/science.aat3466.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Doi, N. </w:t>
      </w:r>
      <w:r w:rsidRPr="00C57A7E">
        <w:rPr>
          <w:rFonts w:ascii="Calibri" w:hAnsi="Calibri" w:cs="Times New Roman"/>
          <w:i/>
          <w:iCs/>
          <w:noProof/>
          <w:szCs w:val="24"/>
        </w:rPr>
        <w:t>et al.</w:t>
      </w:r>
      <w:r w:rsidRPr="00C57A7E">
        <w:rPr>
          <w:rFonts w:ascii="Calibri" w:hAnsi="Calibri" w:cs="Times New Roman"/>
          <w:noProof/>
          <w:szCs w:val="24"/>
        </w:rPr>
        <w:t xml:space="preserve"> (2003) ‘Short-Interfering-RNA-Mediated Gene Silencing in Mammalian Cells Requires Dicer and eIF2C Translation Initiation Factors’, </w:t>
      </w:r>
      <w:r w:rsidRPr="00C57A7E">
        <w:rPr>
          <w:rFonts w:ascii="Calibri" w:hAnsi="Calibri" w:cs="Times New Roman"/>
          <w:i/>
          <w:iCs/>
          <w:noProof/>
          <w:szCs w:val="24"/>
        </w:rPr>
        <w:t>Current Biology</w:t>
      </w:r>
      <w:r w:rsidRPr="00C57A7E">
        <w:rPr>
          <w:rFonts w:ascii="Calibri" w:hAnsi="Calibri" w:cs="Times New Roman"/>
          <w:noProof/>
          <w:szCs w:val="24"/>
        </w:rPr>
        <w:t>. Cell Press, 13(1), pp. 41–46. doi: 10.1016/S0960-9822(02)01394-5.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Dominska, M. and Dykxhoorn, D. M. (2010) ‘Breaking down the barriers: siRNA delivery and endosome escape.’, </w:t>
      </w:r>
      <w:r w:rsidRPr="00C57A7E">
        <w:rPr>
          <w:rFonts w:ascii="Calibri" w:hAnsi="Calibri" w:cs="Times New Roman"/>
          <w:i/>
          <w:iCs/>
          <w:noProof/>
          <w:szCs w:val="24"/>
        </w:rPr>
        <w:t>Journal of cell science</w:t>
      </w:r>
      <w:r w:rsidRPr="00C57A7E">
        <w:rPr>
          <w:rFonts w:ascii="Calibri" w:hAnsi="Calibri" w:cs="Times New Roman"/>
          <w:noProof/>
          <w:szCs w:val="24"/>
        </w:rPr>
        <w:t>. The Company of Biologists Ltd, 123(Pt 8), pp. 1183–9. doi: 10.1242/jcs.066399.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Dong, Y. and Friedrich, M. (2005) ‘Nymphal RNAi: systemic RNAi mediated gene knockdown in juvenile grasshopper’, </w:t>
      </w:r>
      <w:r w:rsidRPr="00C57A7E">
        <w:rPr>
          <w:rFonts w:ascii="Calibri" w:hAnsi="Calibri" w:cs="Times New Roman"/>
          <w:i/>
          <w:iCs/>
          <w:noProof/>
          <w:szCs w:val="24"/>
        </w:rPr>
        <w:t>BMC Biotechnology</w:t>
      </w:r>
      <w:r w:rsidRPr="00C57A7E">
        <w:rPr>
          <w:rFonts w:ascii="Calibri" w:hAnsi="Calibri" w:cs="Times New Roman"/>
          <w:noProof/>
          <w:szCs w:val="24"/>
        </w:rPr>
        <w:t>. BioMed Central, 5(1), p. 25. doi: 10.1186/1472-6750-5-25.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Dow (1992) ‘pH GRADIENTS IN LEPIDOPTERAN MIDGUT.’, </w:t>
      </w:r>
      <w:r w:rsidRPr="00C57A7E">
        <w:rPr>
          <w:rFonts w:ascii="Calibri" w:hAnsi="Calibri" w:cs="Times New Roman"/>
          <w:i/>
          <w:iCs/>
          <w:noProof/>
          <w:szCs w:val="24"/>
        </w:rPr>
        <w:t>The Journal of experimental biology</w:t>
      </w:r>
      <w:r w:rsidRPr="00C57A7E">
        <w:rPr>
          <w:rFonts w:ascii="Calibri" w:hAnsi="Calibri" w:cs="Times New Roman"/>
          <w:noProof/>
          <w:szCs w:val="24"/>
        </w:rPr>
        <w:t>, 172(Pt 1), pp. 355–375. Available at: http://www.ncbi.nlm.nih.gov/pubmed/9874748 (Accessed: 16 July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Doyle, M., Jaskiewicz, L. and Filipowicz, W. (2012) ‘Dicer Proteins and Their Role in Gene Silencing Pathways’, </w:t>
      </w:r>
      <w:r w:rsidRPr="00C57A7E">
        <w:rPr>
          <w:rFonts w:ascii="Calibri" w:hAnsi="Calibri" w:cs="Times New Roman"/>
          <w:i/>
          <w:iCs/>
          <w:noProof/>
          <w:szCs w:val="24"/>
        </w:rPr>
        <w:t>The Enzymes</w:t>
      </w:r>
      <w:r w:rsidRPr="00C57A7E">
        <w:rPr>
          <w:rFonts w:ascii="Calibri" w:hAnsi="Calibri" w:cs="Times New Roman"/>
          <w:noProof/>
          <w:szCs w:val="24"/>
        </w:rPr>
        <w:t>. Academic Press, 32, pp. 1–35. doi: 10.1016/B978-0-12-404741-9.00001-5.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Dua, P. </w:t>
      </w:r>
      <w:r w:rsidRPr="00C57A7E">
        <w:rPr>
          <w:rFonts w:ascii="Calibri" w:hAnsi="Calibri" w:cs="Times New Roman"/>
          <w:i/>
          <w:iCs/>
          <w:noProof/>
          <w:szCs w:val="24"/>
        </w:rPr>
        <w:t>et al.</w:t>
      </w:r>
      <w:r w:rsidRPr="00C57A7E">
        <w:rPr>
          <w:rFonts w:ascii="Calibri" w:hAnsi="Calibri" w:cs="Times New Roman"/>
          <w:noProof/>
          <w:szCs w:val="24"/>
        </w:rPr>
        <w:t xml:space="preserve"> (2011) ‘Modified siRNA structure with a single nucleotide bulge overcomes conventional siRNA-mediated off-target silencing.’, </w:t>
      </w:r>
      <w:r w:rsidRPr="00C57A7E">
        <w:rPr>
          <w:rFonts w:ascii="Calibri" w:hAnsi="Calibri" w:cs="Times New Roman"/>
          <w:i/>
          <w:iCs/>
          <w:noProof/>
          <w:szCs w:val="24"/>
        </w:rPr>
        <w:t>Molecular therapy : the journal of the American Society of Gene Therapy</w:t>
      </w:r>
      <w:r w:rsidRPr="00C57A7E">
        <w:rPr>
          <w:rFonts w:ascii="Calibri" w:hAnsi="Calibri" w:cs="Times New Roman"/>
          <w:noProof/>
          <w:szCs w:val="24"/>
        </w:rPr>
        <w:t>. Elsevier, 19(9), pp. 1676–87. doi: 10.1038/mt.2011.109.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Dubelman, S. </w:t>
      </w:r>
      <w:r w:rsidRPr="00C57A7E">
        <w:rPr>
          <w:rFonts w:ascii="Calibri" w:hAnsi="Calibri" w:cs="Times New Roman"/>
          <w:i/>
          <w:iCs/>
          <w:noProof/>
          <w:szCs w:val="24"/>
        </w:rPr>
        <w:t>et al.</w:t>
      </w:r>
      <w:r w:rsidRPr="00C57A7E">
        <w:rPr>
          <w:rFonts w:ascii="Calibri" w:hAnsi="Calibri" w:cs="Times New Roman"/>
          <w:noProof/>
          <w:szCs w:val="24"/>
        </w:rPr>
        <w:t xml:space="preserve"> (2014) ‘Environmental Fate of Double-Stranded RNA in Agricultural Soils’, </w:t>
      </w:r>
      <w:r w:rsidRPr="00C57A7E">
        <w:rPr>
          <w:rFonts w:ascii="Calibri" w:hAnsi="Calibri" w:cs="Times New Roman"/>
          <w:i/>
          <w:iCs/>
          <w:noProof/>
          <w:szCs w:val="24"/>
        </w:rPr>
        <w:t>PLoS ONE</w:t>
      </w:r>
      <w:r w:rsidRPr="00C57A7E">
        <w:rPr>
          <w:rFonts w:ascii="Calibri" w:hAnsi="Calibri" w:cs="Times New Roman"/>
          <w:noProof/>
          <w:szCs w:val="24"/>
        </w:rPr>
        <w:t>. Edited by G. Smagghe. Public Library of Science, 9(3), p. e93155. doi: 10.1371/journal.pone.0093155.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Eaton, B. A., Fetter, R. D. and Davis, G. W. (2002) ‘Dynactin Is Necessary for Synapse Stabilization’, </w:t>
      </w:r>
      <w:r w:rsidRPr="00C57A7E">
        <w:rPr>
          <w:rFonts w:ascii="Calibri" w:hAnsi="Calibri" w:cs="Times New Roman"/>
          <w:i/>
          <w:iCs/>
          <w:noProof/>
          <w:szCs w:val="24"/>
        </w:rPr>
        <w:t>Neuron</w:t>
      </w:r>
      <w:r w:rsidRPr="00C57A7E">
        <w:rPr>
          <w:rFonts w:ascii="Calibri" w:hAnsi="Calibri" w:cs="Times New Roman"/>
          <w:noProof/>
          <w:szCs w:val="24"/>
        </w:rPr>
        <w:t>, 34(5), pp. 729–741. doi: 10.1016/S0896-6273(02)00721-3.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Elbashir, S. M. </w:t>
      </w:r>
      <w:r w:rsidRPr="00C57A7E">
        <w:rPr>
          <w:rFonts w:ascii="Calibri" w:hAnsi="Calibri" w:cs="Times New Roman"/>
          <w:i/>
          <w:iCs/>
          <w:noProof/>
          <w:szCs w:val="24"/>
        </w:rPr>
        <w:t>et al.</w:t>
      </w:r>
      <w:r w:rsidRPr="00C57A7E">
        <w:rPr>
          <w:rFonts w:ascii="Calibri" w:hAnsi="Calibri" w:cs="Times New Roman"/>
          <w:noProof/>
          <w:szCs w:val="24"/>
        </w:rPr>
        <w:t xml:space="preserve"> (2001) ‘Functional anatomy of siRNAs for mediating efficient RNAi in Drosophila melanogaster embryo lysate’, </w:t>
      </w:r>
      <w:r w:rsidRPr="00C57A7E">
        <w:rPr>
          <w:rFonts w:ascii="Calibri" w:hAnsi="Calibri" w:cs="Times New Roman"/>
          <w:i/>
          <w:iCs/>
          <w:noProof/>
          <w:szCs w:val="24"/>
        </w:rPr>
        <w:t>EMBO Journal</w:t>
      </w:r>
      <w:r w:rsidRPr="00C57A7E">
        <w:rPr>
          <w:rFonts w:ascii="Calibri" w:hAnsi="Calibri" w:cs="Times New Roman"/>
          <w:noProof/>
          <w:szCs w:val="24"/>
        </w:rPr>
        <w:t>, 20(23), pp. 6877–6888. doi: 10.1093/emboj/20.23.6877.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Elbashir, S. M., Lendeckel, W. and Tuschl, T. (2001) ‘RNA interference is mediated by 21- and 22-nucleotide RNAs’, </w:t>
      </w:r>
      <w:r w:rsidRPr="00C57A7E">
        <w:rPr>
          <w:rFonts w:ascii="Calibri" w:hAnsi="Calibri" w:cs="Times New Roman"/>
          <w:i/>
          <w:iCs/>
          <w:noProof/>
          <w:szCs w:val="24"/>
        </w:rPr>
        <w:t>Genes &amp; Development</w:t>
      </w:r>
      <w:r w:rsidRPr="00C57A7E">
        <w:rPr>
          <w:rFonts w:ascii="Calibri" w:hAnsi="Calibri" w:cs="Times New Roman"/>
          <w:noProof/>
          <w:szCs w:val="24"/>
        </w:rPr>
        <w:t>. Cold Spring Harbor Laboratory Press, 15(2), pp. 188–200. doi: 10.1101/gad.862301.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Elmén, J. </w:t>
      </w:r>
      <w:r w:rsidRPr="00C57A7E">
        <w:rPr>
          <w:rFonts w:ascii="Calibri" w:hAnsi="Calibri" w:cs="Times New Roman"/>
          <w:i/>
          <w:iCs/>
          <w:noProof/>
          <w:szCs w:val="24"/>
        </w:rPr>
        <w:t>et al.</w:t>
      </w:r>
      <w:r w:rsidRPr="00C57A7E">
        <w:rPr>
          <w:rFonts w:ascii="Calibri" w:hAnsi="Calibri" w:cs="Times New Roman"/>
          <w:noProof/>
          <w:szCs w:val="24"/>
        </w:rPr>
        <w:t xml:space="preserve"> (2005) ‘Locked nucleic acid (LNA) mediated improvements in siRNA stability and functionality.’, </w:t>
      </w:r>
      <w:r w:rsidRPr="00C57A7E">
        <w:rPr>
          <w:rFonts w:ascii="Calibri" w:hAnsi="Calibri" w:cs="Times New Roman"/>
          <w:i/>
          <w:iCs/>
          <w:noProof/>
          <w:szCs w:val="24"/>
        </w:rPr>
        <w:t>Nucleic acids research</w:t>
      </w:r>
      <w:r w:rsidRPr="00C57A7E">
        <w:rPr>
          <w:rFonts w:ascii="Calibri" w:hAnsi="Calibri" w:cs="Times New Roman"/>
          <w:noProof/>
          <w:szCs w:val="24"/>
        </w:rPr>
        <w:t xml:space="preserve">. Oxford University Press, 33(1), pp. 439–47. doi: </w:t>
      </w:r>
      <w:r w:rsidRPr="00C57A7E">
        <w:rPr>
          <w:rFonts w:ascii="Calibri" w:hAnsi="Calibri" w:cs="Times New Roman"/>
          <w:noProof/>
          <w:szCs w:val="24"/>
        </w:rPr>
        <w:lastRenderedPageBreak/>
        <w:t>10.1093/nar/gki193.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Eulalio, A. </w:t>
      </w:r>
      <w:r w:rsidRPr="00C57A7E">
        <w:rPr>
          <w:rFonts w:ascii="Calibri" w:hAnsi="Calibri" w:cs="Times New Roman"/>
          <w:i/>
          <w:iCs/>
          <w:noProof/>
          <w:szCs w:val="24"/>
        </w:rPr>
        <w:t>et al.</w:t>
      </w:r>
      <w:r w:rsidRPr="00C57A7E">
        <w:rPr>
          <w:rFonts w:ascii="Calibri" w:hAnsi="Calibri" w:cs="Times New Roman"/>
          <w:noProof/>
          <w:szCs w:val="24"/>
        </w:rPr>
        <w:t xml:space="preserve"> (2007) ‘P-body formation is a consequence, not the cause, of RNA-mediated gene silencing.’, </w:t>
      </w:r>
      <w:r w:rsidRPr="00C57A7E">
        <w:rPr>
          <w:rFonts w:ascii="Calibri" w:hAnsi="Calibri" w:cs="Times New Roman"/>
          <w:i/>
          <w:iCs/>
          <w:noProof/>
          <w:szCs w:val="24"/>
        </w:rPr>
        <w:t>Molecular and cellular biology</w:t>
      </w:r>
      <w:r w:rsidRPr="00C57A7E">
        <w:rPr>
          <w:rFonts w:ascii="Calibri" w:hAnsi="Calibri" w:cs="Times New Roman"/>
          <w:noProof/>
          <w:szCs w:val="24"/>
        </w:rPr>
        <w:t>. American Society for Microbiology Journals, 27(11), pp. 3970–81. doi: 10.1128/MCB.00128-07.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Feyereisen, R. (2006) ‘Evolution of insect P450’, </w:t>
      </w:r>
      <w:r w:rsidRPr="00C57A7E">
        <w:rPr>
          <w:rFonts w:ascii="Calibri" w:hAnsi="Calibri" w:cs="Times New Roman"/>
          <w:i/>
          <w:iCs/>
          <w:noProof/>
          <w:szCs w:val="24"/>
        </w:rPr>
        <w:t>Biochemical Society Transactions</w:t>
      </w:r>
      <w:r w:rsidRPr="00C57A7E">
        <w:rPr>
          <w:rFonts w:ascii="Calibri" w:hAnsi="Calibri" w:cs="Times New Roman"/>
          <w:noProof/>
          <w:szCs w:val="24"/>
        </w:rPr>
        <w:t>, 34(6), pp. 1252–1255. doi: 10.1042/BST0341252.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Fire, A. </w:t>
      </w:r>
      <w:r w:rsidRPr="00C57A7E">
        <w:rPr>
          <w:rFonts w:ascii="Calibri" w:hAnsi="Calibri" w:cs="Times New Roman"/>
          <w:i/>
          <w:iCs/>
          <w:noProof/>
          <w:szCs w:val="24"/>
        </w:rPr>
        <w:t>et al.</w:t>
      </w:r>
      <w:r w:rsidRPr="00C57A7E">
        <w:rPr>
          <w:rFonts w:ascii="Calibri" w:hAnsi="Calibri" w:cs="Times New Roman"/>
          <w:noProof/>
          <w:szCs w:val="24"/>
        </w:rPr>
        <w:t xml:space="preserve"> (1991) ‘Production of antisense RNA leads to effective and specific inhibition of gene expression in C. elegans muscle.’, </w:t>
      </w:r>
      <w:r w:rsidRPr="00C57A7E">
        <w:rPr>
          <w:rFonts w:ascii="Calibri" w:hAnsi="Calibri" w:cs="Times New Roman"/>
          <w:i/>
          <w:iCs/>
          <w:noProof/>
          <w:szCs w:val="24"/>
        </w:rPr>
        <w:t>Development (Cambridge, England)</w:t>
      </w:r>
      <w:r w:rsidRPr="00C57A7E">
        <w:rPr>
          <w:rFonts w:ascii="Calibri" w:hAnsi="Calibri" w:cs="Times New Roman"/>
          <w:noProof/>
          <w:szCs w:val="24"/>
        </w:rPr>
        <w:t>, 113(2), pp. 503–14. Available at: http://www.ncbi.nlm.nih.gov/pubmed/1782862 (Accessed: 8 September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Fire, A. </w:t>
      </w:r>
      <w:r w:rsidRPr="00C57A7E">
        <w:rPr>
          <w:rFonts w:ascii="Calibri" w:hAnsi="Calibri" w:cs="Times New Roman"/>
          <w:i/>
          <w:iCs/>
          <w:noProof/>
          <w:szCs w:val="24"/>
        </w:rPr>
        <w:t>et al.</w:t>
      </w:r>
      <w:r w:rsidRPr="00C57A7E">
        <w:rPr>
          <w:rFonts w:ascii="Calibri" w:hAnsi="Calibri" w:cs="Times New Roman"/>
          <w:noProof/>
          <w:szCs w:val="24"/>
        </w:rPr>
        <w:t xml:space="preserve"> (1998) ‘Potent and specific genetic interference by double-stranded RNA in Caenorhabditis elegans’, </w:t>
      </w:r>
      <w:r w:rsidRPr="00C57A7E">
        <w:rPr>
          <w:rFonts w:ascii="Calibri" w:hAnsi="Calibri" w:cs="Times New Roman"/>
          <w:i/>
          <w:iCs/>
          <w:noProof/>
          <w:szCs w:val="24"/>
        </w:rPr>
        <w:t>Nature</w:t>
      </w:r>
      <w:r w:rsidRPr="00C57A7E">
        <w:rPr>
          <w:rFonts w:ascii="Calibri" w:hAnsi="Calibri" w:cs="Times New Roman"/>
          <w:noProof/>
          <w:szCs w:val="24"/>
        </w:rPr>
        <w:t>, 391(6669), pp. 806–811. doi: 10.1038/35888.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Fisher, K. H. </w:t>
      </w:r>
      <w:r w:rsidRPr="00C57A7E">
        <w:rPr>
          <w:rFonts w:ascii="Calibri" w:hAnsi="Calibri" w:cs="Times New Roman"/>
          <w:i/>
          <w:iCs/>
          <w:noProof/>
          <w:szCs w:val="24"/>
        </w:rPr>
        <w:t>et al.</w:t>
      </w:r>
      <w:r w:rsidRPr="00C57A7E">
        <w:rPr>
          <w:rFonts w:ascii="Calibri" w:hAnsi="Calibri" w:cs="Times New Roman"/>
          <w:noProof/>
          <w:szCs w:val="24"/>
        </w:rPr>
        <w:t xml:space="preserve"> (2012a) ‘Advances in genome-wide RNAi cellular screens: a case study using the Drosophila JAK/STAT pathway.’, </w:t>
      </w:r>
      <w:r w:rsidRPr="00C57A7E">
        <w:rPr>
          <w:rFonts w:ascii="Calibri" w:hAnsi="Calibri" w:cs="Times New Roman"/>
          <w:i/>
          <w:iCs/>
          <w:noProof/>
          <w:szCs w:val="24"/>
        </w:rPr>
        <w:t>BMC genomics</w:t>
      </w:r>
      <w:r w:rsidRPr="00C57A7E">
        <w:rPr>
          <w:rFonts w:ascii="Calibri" w:hAnsi="Calibri" w:cs="Times New Roman"/>
          <w:noProof/>
          <w:szCs w:val="24"/>
        </w:rPr>
        <w:t>, 13(1), p. 506. doi: 10.1186/1471-2164-13-506.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Fisher, K. H. </w:t>
      </w:r>
      <w:r w:rsidRPr="00C57A7E">
        <w:rPr>
          <w:rFonts w:ascii="Calibri" w:hAnsi="Calibri" w:cs="Times New Roman"/>
          <w:i/>
          <w:iCs/>
          <w:noProof/>
          <w:szCs w:val="24"/>
        </w:rPr>
        <w:t>et al.</w:t>
      </w:r>
      <w:r w:rsidRPr="00C57A7E">
        <w:rPr>
          <w:rFonts w:ascii="Calibri" w:hAnsi="Calibri" w:cs="Times New Roman"/>
          <w:noProof/>
          <w:szCs w:val="24"/>
        </w:rPr>
        <w:t xml:space="preserve"> (2012b) ‘Advances in genome-wide RNAi cellular screens: a case study using the Drosophila JAK/STAT pathway’, </w:t>
      </w:r>
      <w:r w:rsidRPr="00C57A7E">
        <w:rPr>
          <w:rFonts w:ascii="Calibri" w:hAnsi="Calibri" w:cs="Times New Roman"/>
          <w:i/>
          <w:iCs/>
          <w:noProof/>
          <w:szCs w:val="24"/>
        </w:rPr>
        <w:t>BMC Genomics</w:t>
      </w:r>
      <w:r w:rsidRPr="00C57A7E">
        <w:rPr>
          <w:rFonts w:ascii="Calibri" w:hAnsi="Calibri" w:cs="Times New Roman"/>
          <w:noProof/>
          <w:szCs w:val="24"/>
        </w:rPr>
        <w:t>. BMC Genomics, 13(1), p. 506. doi: 10.1186/1471-2164-13-506.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Frayne, E. G. (2016) ‘Conserved mechanism of action of a phosphate analogue in cultured cells’, </w:t>
      </w:r>
      <w:r w:rsidRPr="00C57A7E">
        <w:rPr>
          <w:rFonts w:ascii="Calibri" w:hAnsi="Calibri" w:cs="Times New Roman"/>
          <w:i/>
          <w:iCs/>
          <w:noProof/>
          <w:szCs w:val="24"/>
        </w:rPr>
        <w:t>Molecular and Cellular Biochemistry</w:t>
      </w:r>
      <w:r w:rsidRPr="00C57A7E">
        <w:rPr>
          <w:rFonts w:ascii="Calibri" w:hAnsi="Calibri" w:cs="Times New Roman"/>
          <w:noProof/>
          <w:szCs w:val="24"/>
        </w:rPr>
        <w:t>. Springer US, 415(1–2), pp. 111–117. doi: 10.1007/s11010-016-2681-6.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Fukunaga, R. and Zamore, P. D. (2012) ‘Loquacious, a Dicer Partner Protein, Functions in Both the MicroRNA and siRNA Pathways’, </w:t>
      </w:r>
      <w:r w:rsidRPr="00C57A7E">
        <w:rPr>
          <w:rFonts w:ascii="Calibri" w:hAnsi="Calibri" w:cs="Times New Roman"/>
          <w:i/>
          <w:iCs/>
          <w:noProof/>
          <w:szCs w:val="24"/>
        </w:rPr>
        <w:t>The Enzymes</w:t>
      </w:r>
      <w:r w:rsidRPr="00C57A7E">
        <w:rPr>
          <w:rFonts w:ascii="Calibri" w:hAnsi="Calibri" w:cs="Times New Roman"/>
          <w:noProof/>
          <w:szCs w:val="24"/>
        </w:rPr>
        <w:t>. Academic Press, 32, pp. 37–68. doi: 10.1016/B978-0-12-404741-9.00002-7.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Gan, J. </w:t>
      </w:r>
      <w:r w:rsidRPr="00C57A7E">
        <w:rPr>
          <w:rFonts w:ascii="Calibri" w:hAnsi="Calibri" w:cs="Times New Roman"/>
          <w:i/>
          <w:iCs/>
          <w:noProof/>
          <w:szCs w:val="24"/>
        </w:rPr>
        <w:t>et al.</w:t>
      </w:r>
      <w:r w:rsidRPr="00C57A7E">
        <w:rPr>
          <w:rFonts w:ascii="Calibri" w:hAnsi="Calibri" w:cs="Times New Roman"/>
          <w:noProof/>
          <w:szCs w:val="24"/>
        </w:rPr>
        <w:t xml:space="preserve"> (2006) ‘Structural Insight into the Mechanism of Double-Stranded RNA Processing by Ribonuclease III’, </w:t>
      </w:r>
      <w:r w:rsidRPr="00C57A7E">
        <w:rPr>
          <w:rFonts w:ascii="Calibri" w:hAnsi="Calibri" w:cs="Times New Roman"/>
          <w:i/>
          <w:iCs/>
          <w:noProof/>
          <w:szCs w:val="24"/>
        </w:rPr>
        <w:t>Cell</w:t>
      </w:r>
      <w:r w:rsidRPr="00C57A7E">
        <w:rPr>
          <w:rFonts w:ascii="Calibri" w:hAnsi="Calibri" w:cs="Times New Roman"/>
          <w:noProof/>
          <w:szCs w:val="24"/>
        </w:rPr>
        <w:t>. Cell Press, 124(2), pp. 355–366. doi: 10.1016/J.CELL.2005.11.034.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Gantier, M. P. and Williams, B. R. G. (2007) ‘The response of mammalian cells to double-stranded RNA.’, </w:t>
      </w:r>
      <w:r w:rsidRPr="00C57A7E">
        <w:rPr>
          <w:rFonts w:ascii="Calibri" w:hAnsi="Calibri" w:cs="Times New Roman"/>
          <w:i/>
          <w:iCs/>
          <w:noProof/>
          <w:szCs w:val="24"/>
        </w:rPr>
        <w:t>Cytokine &amp; growth factor reviews</w:t>
      </w:r>
      <w:r w:rsidRPr="00C57A7E">
        <w:rPr>
          <w:rFonts w:ascii="Calibri" w:hAnsi="Calibri" w:cs="Times New Roman"/>
          <w:noProof/>
          <w:szCs w:val="24"/>
        </w:rPr>
        <w:t>. NIH Public Access, 18(5–6), pp. 363–71. doi: 10.1016/j.cytogfr.2007.06.016.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Garbutt, J. S. and Reynolds, S. E. (2012) ‘Induction of RNA interference genes by double-stranded RNA; implications for susceptibility to RNA interference’, </w:t>
      </w:r>
      <w:r w:rsidRPr="00C57A7E">
        <w:rPr>
          <w:rFonts w:ascii="Calibri" w:hAnsi="Calibri" w:cs="Times New Roman"/>
          <w:i/>
          <w:iCs/>
          <w:noProof/>
          <w:szCs w:val="24"/>
        </w:rPr>
        <w:t>Insect Biochemistry and Molecular Biology</w:t>
      </w:r>
      <w:r w:rsidRPr="00C57A7E">
        <w:rPr>
          <w:rFonts w:ascii="Calibri" w:hAnsi="Calibri" w:cs="Times New Roman"/>
          <w:noProof/>
          <w:szCs w:val="24"/>
        </w:rPr>
        <w:t>, 42(9), pp. 621–628. doi: 10.1016/j.ibmb.2012.05.001.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Garci­a, K. </w:t>
      </w:r>
      <w:r w:rsidRPr="00C57A7E">
        <w:rPr>
          <w:rFonts w:ascii="Calibri" w:hAnsi="Calibri" w:cs="Times New Roman"/>
          <w:i/>
          <w:iCs/>
          <w:noProof/>
          <w:szCs w:val="24"/>
        </w:rPr>
        <w:t>et al.</w:t>
      </w:r>
      <w:r w:rsidRPr="00C57A7E">
        <w:rPr>
          <w:rFonts w:ascii="Calibri" w:hAnsi="Calibri" w:cs="Times New Roman"/>
          <w:noProof/>
          <w:szCs w:val="24"/>
        </w:rPr>
        <w:t xml:space="preserve"> (2015) ‘Inactivated E. coli transformed with plasmids that produce dsRNA against infectious salmon anemia virus hemagglutinin show antiviral activity when added to infected ASK cells’, </w:t>
      </w:r>
      <w:r w:rsidRPr="00C57A7E">
        <w:rPr>
          <w:rFonts w:ascii="Calibri" w:hAnsi="Calibri" w:cs="Times New Roman"/>
          <w:i/>
          <w:iCs/>
          <w:noProof/>
          <w:szCs w:val="24"/>
        </w:rPr>
        <w:t>Frontiers in Microbiology</w:t>
      </w:r>
      <w:r w:rsidRPr="00C57A7E">
        <w:rPr>
          <w:rFonts w:ascii="Calibri" w:hAnsi="Calibri" w:cs="Times New Roman"/>
          <w:noProof/>
          <w:szCs w:val="24"/>
        </w:rPr>
        <w:t>. Frontiers, 6, p. 300. doi: 10.3389/fmicb.2015.00300.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Gaynor, J. W., Campbell, B. J. and Cosstick, R. (2010) ‘RNA interference: a chemist’s perspective’, </w:t>
      </w:r>
      <w:r w:rsidRPr="00C57A7E">
        <w:rPr>
          <w:rFonts w:ascii="Calibri" w:hAnsi="Calibri" w:cs="Times New Roman"/>
          <w:i/>
          <w:iCs/>
          <w:noProof/>
          <w:szCs w:val="24"/>
        </w:rPr>
        <w:t>Chemical Society Reviews</w:t>
      </w:r>
      <w:r w:rsidRPr="00C57A7E">
        <w:rPr>
          <w:rFonts w:ascii="Calibri" w:hAnsi="Calibri" w:cs="Times New Roman"/>
          <w:noProof/>
          <w:szCs w:val="24"/>
        </w:rPr>
        <w:t>, 39(11), p. 4169. doi: 10.1039/b920362c.</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Geary, R. S., Yu, R. Z. and Levin, A. A. (2001) ‘Pharmacokinetics of phosphorothioate antisense oligodeoxynucleotides.’, </w:t>
      </w:r>
      <w:r w:rsidRPr="00C57A7E">
        <w:rPr>
          <w:rFonts w:ascii="Calibri" w:hAnsi="Calibri" w:cs="Times New Roman"/>
          <w:i/>
          <w:iCs/>
          <w:noProof/>
          <w:szCs w:val="24"/>
        </w:rPr>
        <w:t>Current opinion in investigational drugs (London, England : 2000)</w:t>
      </w:r>
      <w:r w:rsidRPr="00C57A7E">
        <w:rPr>
          <w:rFonts w:ascii="Calibri" w:hAnsi="Calibri" w:cs="Times New Roman"/>
          <w:noProof/>
          <w:szCs w:val="24"/>
        </w:rPr>
        <w:t>, 2(4), pp. 562–73. Available at: http://www.ncbi.nlm.nih.gov/pubmed/11566019 (Accessed: 8 September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Gholamalipour, Y., Karunanayake Mudiyanselage, A. and Martin, C. T. (2018) ‘3′ end additions by T7 RNA polymerase are RNA self-templated, distributive and diverse in character—RNA-Seq analyses’, </w:t>
      </w:r>
      <w:r w:rsidRPr="00C57A7E">
        <w:rPr>
          <w:rFonts w:ascii="Calibri" w:hAnsi="Calibri" w:cs="Times New Roman"/>
          <w:i/>
          <w:iCs/>
          <w:noProof/>
          <w:szCs w:val="24"/>
        </w:rPr>
        <w:t>Nucleic Acids Research</w:t>
      </w:r>
      <w:r w:rsidRPr="00C57A7E">
        <w:rPr>
          <w:rFonts w:ascii="Calibri" w:hAnsi="Calibri" w:cs="Times New Roman"/>
          <w:noProof/>
          <w:szCs w:val="24"/>
        </w:rPr>
        <w:t>. Narnia, 46(18), pp. 9253–9263. doi: 10.1093/nar/gky796.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Ghosh, S. K. B. </w:t>
      </w:r>
      <w:r w:rsidRPr="00C57A7E">
        <w:rPr>
          <w:rFonts w:ascii="Calibri" w:hAnsi="Calibri" w:cs="Times New Roman"/>
          <w:i/>
          <w:iCs/>
          <w:noProof/>
          <w:szCs w:val="24"/>
        </w:rPr>
        <w:t>et al.</w:t>
      </w:r>
      <w:r w:rsidRPr="00C57A7E">
        <w:rPr>
          <w:rFonts w:ascii="Calibri" w:hAnsi="Calibri" w:cs="Times New Roman"/>
          <w:noProof/>
          <w:szCs w:val="24"/>
        </w:rPr>
        <w:t xml:space="preserve"> (2017) ‘Double strand RNA delivery system for plant-sap-feeding insects’, </w:t>
      </w:r>
      <w:r w:rsidRPr="00C57A7E">
        <w:rPr>
          <w:rFonts w:ascii="Calibri" w:hAnsi="Calibri" w:cs="Times New Roman"/>
          <w:i/>
          <w:iCs/>
          <w:noProof/>
          <w:szCs w:val="24"/>
        </w:rPr>
        <w:t>PLOS ONE</w:t>
      </w:r>
      <w:r w:rsidRPr="00C57A7E">
        <w:rPr>
          <w:rFonts w:ascii="Calibri" w:hAnsi="Calibri" w:cs="Times New Roman"/>
          <w:noProof/>
          <w:szCs w:val="24"/>
        </w:rPr>
        <w:t xml:space="preserve">. Edited by D. Doucet. Public Library of Science, 12(2), p. e0171861. doi: </w:t>
      </w:r>
      <w:r w:rsidRPr="00C57A7E">
        <w:rPr>
          <w:rFonts w:ascii="Calibri" w:hAnsi="Calibri" w:cs="Times New Roman"/>
          <w:noProof/>
          <w:szCs w:val="24"/>
        </w:rPr>
        <w:lastRenderedPageBreak/>
        <w:t>10.1371/journal.pone.0171861.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Gogoi, A. </w:t>
      </w:r>
      <w:r w:rsidRPr="00C57A7E">
        <w:rPr>
          <w:rFonts w:ascii="Calibri" w:hAnsi="Calibri" w:cs="Times New Roman"/>
          <w:i/>
          <w:iCs/>
          <w:noProof/>
          <w:szCs w:val="24"/>
        </w:rPr>
        <w:t>et al.</w:t>
      </w:r>
      <w:r w:rsidRPr="00C57A7E">
        <w:rPr>
          <w:rFonts w:ascii="Calibri" w:hAnsi="Calibri" w:cs="Times New Roman"/>
          <w:noProof/>
          <w:szCs w:val="24"/>
        </w:rPr>
        <w:t xml:space="preserve"> (2017) ‘Plant insects and mites uptake double-stranded RNA upon its exogenous application on tomato leaves’, </w:t>
      </w:r>
      <w:r w:rsidRPr="00C57A7E">
        <w:rPr>
          <w:rFonts w:ascii="Calibri" w:hAnsi="Calibri" w:cs="Times New Roman"/>
          <w:i/>
          <w:iCs/>
          <w:noProof/>
          <w:szCs w:val="24"/>
        </w:rPr>
        <w:t>Planta</w:t>
      </w:r>
      <w:r w:rsidRPr="00C57A7E">
        <w:rPr>
          <w:rFonts w:ascii="Calibri" w:hAnsi="Calibri" w:cs="Times New Roman"/>
          <w:noProof/>
          <w:szCs w:val="24"/>
        </w:rPr>
        <w:t>. Springer Berlin Heidelberg, 246(6), pp. 1233–1241. doi: 10.1007/s00425-017-2776-7.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Gordon, K. H. J. and Waterhouse, P. M. (2007) ‘RNAi for insect-proof plants.’, </w:t>
      </w:r>
      <w:r w:rsidRPr="00C57A7E">
        <w:rPr>
          <w:rFonts w:ascii="Calibri" w:hAnsi="Calibri" w:cs="Times New Roman"/>
          <w:i/>
          <w:iCs/>
          <w:noProof/>
          <w:szCs w:val="24"/>
        </w:rPr>
        <w:t>Nature biotechnology</w:t>
      </w:r>
      <w:r w:rsidRPr="00C57A7E">
        <w:rPr>
          <w:rFonts w:ascii="Calibri" w:hAnsi="Calibri" w:cs="Times New Roman"/>
          <w:noProof/>
          <w:szCs w:val="24"/>
        </w:rPr>
        <w:t>, 25(11), pp. 1231–1232. doi: 10.1038/nbt1107-1231.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Gould, F., Brown, Z. S. and Kuzma, J. (2018) ‘Wicked evolution: Can we address the sociobiological dilemma of pesticide resistance?’, </w:t>
      </w:r>
      <w:r w:rsidRPr="00C57A7E">
        <w:rPr>
          <w:rFonts w:ascii="Calibri" w:hAnsi="Calibri" w:cs="Times New Roman"/>
          <w:i/>
          <w:iCs/>
          <w:noProof/>
          <w:szCs w:val="24"/>
        </w:rPr>
        <w:t>Science (New York, N.Y.)</w:t>
      </w:r>
      <w:r w:rsidRPr="00C57A7E">
        <w:rPr>
          <w:rFonts w:ascii="Calibri" w:hAnsi="Calibri" w:cs="Times New Roman"/>
          <w:noProof/>
          <w:szCs w:val="24"/>
        </w:rPr>
        <w:t>. American Association for the Advancement of Science, 360(6390), pp. 728–732. doi: 10.1126/science.aar3780.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Griffiths, A. D., Potter, B. V and Eperon, I. C. (1987) ‘Stereospecificity of nucleases towards phosphorothioate-substituted RNA: stereochemistry of transcription by T7 RNA polymerase.’,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15(10), pp. 4145–62. doi: 10.1093/nar/15.10.4145.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Grimm, D. (2009) ‘Small silencing RNAs: State-of-the-art’, </w:t>
      </w:r>
      <w:r w:rsidRPr="00C57A7E">
        <w:rPr>
          <w:rFonts w:ascii="Calibri" w:hAnsi="Calibri" w:cs="Times New Roman"/>
          <w:i/>
          <w:iCs/>
          <w:noProof/>
          <w:szCs w:val="24"/>
        </w:rPr>
        <w:t>Advanced Drug Delivery Reviews</w:t>
      </w:r>
      <w:r w:rsidRPr="00C57A7E">
        <w:rPr>
          <w:rFonts w:ascii="Calibri" w:hAnsi="Calibri" w:cs="Times New Roman"/>
          <w:noProof/>
          <w:szCs w:val="24"/>
        </w:rPr>
        <w:t>, 61(9), pp. 672–703. doi: 10.1016/j.addr.2009.05.002.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Guan, R.-B. </w:t>
      </w:r>
      <w:r w:rsidRPr="00C57A7E">
        <w:rPr>
          <w:rFonts w:ascii="Calibri" w:hAnsi="Calibri" w:cs="Times New Roman"/>
          <w:i/>
          <w:iCs/>
          <w:noProof/>
          <w:szCs w:val="24"/>
        </w:rPr>
        <w:t>et al.</w:t>
      </w:r>
      <w:r w:rsidRPr="00C57A7E">
        <w:rPr>
          <w:rFonts w:ascii="Calibri" w:hAnsi="Calibri" w:cs="Times New Roman"/>
          <w:noProof/>
          <w:szCs w:val="24"/>
        </w:rPr>
        <w:t xml:space="preserve"> (2018) ‘A nuclease specific to lepidopteran insects suppresses RNAi’, </w:t>
      </w:r>
      <w:r w:rsidRPr="00C57A7E">
        <w:rPr>
          <w:rFonts w:ascii="Calibri" w:hAnsi="Calibri" w:cs="Times New Roman"/>
          <w:i/>
          <w:iCs/>
          <w:noProof/>
          <w:szCs w:val="24"/>
        </w:rPr>
        <w:t>Journal of Biological Chemistry</w:t>
      </w:r>
      <w:r w:rsidRPr="00C57A7E">
        <w:rPr>
          <w:rFonts w:ascii="Calibri" w:hAnsi="Calibri" w:cs="Times New Roman"/>
          <w:noProof/>
          <w:szCs w:val="24"/>
        </w:rPr>
        <w:t>, 293(16), pp. 6011–6021. doi: 10.1074/jbc.RA117.001553.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Guo, H. (2018) ‘Specialized ribosomes and the control of translation’, </w:t>
      </w:r>
      <w:r w:rsidRPr="00C57A7E">
        <w:rPr>
          <w:rFonts w:ascii="Calibri" w:hAnsi="Calibri" w:cs="Times New Roman"/>
          <w:i/>
          <w:iCs/>
          <w:noProof/>
          <w:szCs w:val="24"/>
        </w:rPr>
        <w:t>Biochemical Society Transactions</w:t>
      </w:r>
      <w:r w:rsidRPr="00C57A7E">
        <w:rPr>
          <w:rFonts w:ascii="Calibri" w:hAnsi="Calibri" w:cs="Times New Roman"/>
          <w:noProof/>
          <w:szCs w:val="24"/>
        </w:rPr>
        <w:t>, 46(4), pp. 855–869. doi: 10.1042/BST20160426.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Guo, S. and Kemphues, K. J. (1995) ‘par-1, a gene required for establishing polarity in C. elegans embryos, encodes a putative Ser/Thr kinase that is asymmetrically distributed’, </w:t>
      </w:r>
      <w:r w:rsidRPr="00C57A7E">
        <w:rPr>
          <w:rFonts w:ascii="Calibri" w:hAnsi="Calibri" w:cs="Times New Roman"/>
          <w:i/>
          <w:iCs/>
          <w:noProof/>
          <w:szCs w:val="24"/>
        </w:rPr>
        <w:t>Cell</w:t>
      </w:r>
      <w:r w:rsidRPr="00C57A7E">
        <w:rPr>
          <w:rFonts w:ascii="Calibri" w:hAnsi="Calibri" w:cs="Times New Roman"/>
          <w:noProof/>
          <w:szCs w:val="24"/>
        </w:rPr>
        <w:t>, 81(4), pp. 611–620. doi: 10.1016/0092-8674(95)90082-9.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Haley, B., Tang, G. and Zamore, P. D. (2003) ‘In vitro analysis of RNA interference in Drosophila melanogaster’, </w:t>
      </w:r>
      <w:r w:rsidRPr="00C57A7E">
        <w:rPr>
          <w:rFonts w:ascii="Calibri" w:hAnsi="Calibri" w:cs="Times New Roman"/>
          <w:i/>
          <w:iCs/>
          <w:noProof/>
          <w:szCs w:val="24"/>
        </w:rPr>
        <w:t>Methods</w:t>
      </w:r>
      <w:r w:rsidRPr="00C57A7E">
        <w:rPr>
          <w:rFonts w:ascii="Calibri" w:hAnsi="Calibri" w:cs="Times New Roman"/>
          <w:noProof/>
          <w:szCs w:val="24"/>
        </w:rPr>
        <w:t>. Academic Press, 30(4), pp. 330–336. doi: 10.1016/S1046-2023(03)00052-5.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Hall, A. H. S. </w:t>
      </w:r>
      <w:r w:rsidRPr="00C57A7E">
        <w:rPr>
          <w:rFonts w:ascii="Calibri" w:hAnsi="Calibri" w:cs="Times New Roman"/>
          <w:i/>
          <w:iCs/>
          <w:noProof/>
          <w:szCs w:val="24"/>
        </w:rPr>
        <w:t>et al.</w:t>
      </w:r>
      <w:r w:rsidRPr="00C57A7E">
        <w:rPr>
          <w:rFonts w:ascii="Calibri" w:hAnsi="Calibri" w:cs="Times New Roman"/>
          <w:noProof/>
          <w:szCs w:val="24"/>
        </w:rPr>
        <w:t xml:space="preserve"> (2006) ‘High potency silencing by single-stranded boranophosphate siRNA’,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34(9), pp. 2773–2781. doi: 10.1093/nar/gkl339.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Hammond, S. M. </w:t>
      </w:r>
      <w:r w:rsidRPr="00C57A7E">
        <w:rPr>
          <w:rFonts w:ascii="Calibri" w:hAnsi="Calibri" w:cs="Times New Roman"/>
          <w:i/>
          <w:iCs/>
          <w:noProof/>
          <w:szCs w:val="24"/>
        </w:rPr>
        <w:t>et al.</w:t>
      </w:r>
      <w:r w:rsidRPr="00C57A7E">
        <w:rPr>
          <w:rFonts w:ascii="Calibri" w:hAnsi="Calibri" w:cs="Times New Roman"/>
          <w:noProof/>
          <w:szCs w:val="24"/>
        </w:rPr>
        <w:t xml:space="preserve"> (2000) ‘An RNA-directed nuclease mediates post-transcriptional gene silencing in Drosophila cells’, </w:t>
      </w:r>
      <w:r w:rsidRPr="00C57A7E">
        <w:rPr>
          <w:rFonts w:ascii="Calibri" w:hAnsi="Calibri" w:cs="Times New Roman"/>
          <w:i/>
          <w:iCs/>
          <w:noProof/>
          <w:szCs w:val="24"/>
        </w:rPr>
        <w:t>Nature</w:t>
      </w:r>
      <w:r w:rsidRPr="00C57A7E">
        <w:rPr>
          <w:rFonts w:ascii="Calibri" w:hAnsi="Calibri" w:cs="Times New Roman"/>
          <w:noProof/>
          <w:szCs w:val="24"/>
        </w:rPr>
        <w:t>, 404(6775), pp. 293–296. doi: 10.1038/35005107.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Hammond, S. M. (2005) ‘Dicing and slicing’, </w:t>
      </w:r>
      <w:r w:rsidRPr="00C57A7E">
        <w:rPr>
          <w:rFonts w:ascii="Calibri" w:hAnsi="Calibri" w:cs="Times New Roman"/>
          <w:i/>
          <w:iCs/>
          <w:noProof/>
          <w:szCs w:val="24"/>
        </w:rPr>
        <w:t>FEBS Letters</w:t>
      </w:r>
      <w:r w:rsidRPr="00C57A7E">
        <w:rPr>
          <w:rFonts w:ascii="Calibri" w:hAnsi="Calibri" w:cs="Times New Roman"/>
          <w:noProof/>
          <w:szCs w:val="24"/>
        </w:rPr>
        <w:t>. John Wiley &amp; Sons, Ltd, 579(26), pp. 5822–5829. doi: 10.1016/j.febslet.2005.08.079.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Han, J. </w:t>
      </w:r>
      <w:r w:rsidRPr="00C57A7E">
        <w:rPr>
          <w:rFonts w:ascii="Calibri" w:hAnsi="Calibri" w:cs="Times New Roman"/>
          <w:i/>
          <w:iCs/>
          <w:noProof/>
          <w:szCs w:val="24"/>
        </w:rPr>
        <w:t>et al.</w:t>
      </w:r>
      <w:r w:rsidRPr="00C57A7E">
        <w:rPr>
          <w:rFonts w:ascii="Calibri" w:hAnsi="Calibri" w:cs="Times New Roman"/>
          <w:noProof/>
          <w:szCs w:val="24"/>
        </w:rPr>
        <w:t xml:space="preserve"> (2004) ‘The Drosha-DGCR8 complex in primary microRNA processing.’, </w:t>
      </w:r>
      <w:r w:rsidRPr="00C57A7E">
        <w:rPr>
          <w:rFonts w:ascii="Calibri" w:hAnsi="Calibri" w:cs="Times New Roman"/>
          <w:i/>
          <w:iCs/>
          <w:noProof/>
          <w:szCs w:val="24"/>
        </w:rPr>
        <w:t>Genes &amp; development</w:t>
      </w:r>
      <w:r w:rsidRPr="00C57A7E">
        <w:rPr>
          <w:rFonts w:ascii="Calibri" w:hAnsi="Calibri" w:cs="Times New Roman"/>
          <w:noProof/>
          <w:szCs w:val="24"/>
        </w:rPr>
        <w:t>. Cold Spring Harbor Laboratory Press, 18(24), pp. 3016–27. doi: 10.1101/gad.1262504.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Höck, J. and Meister, G. (2008) ‘The Argonaute protein family.’, </w:t>
      </w:r>
      <w:r w:rsidRPr="00C57A7E">
        <w:rPr>
          <w:rFonts w:ascii="Calibri" w:hAnsi="Calibri" w:cs="Times New Roman"/>
          <w:i/>
          <w:iCs/>
          <w:noProof/>
          <w:szCs w:val="24"/>
        </w:rPr>
        <w:t>Genome biology</w:t>
      </w:r>
      <w:r w:rsidRPr="00C57A7E">
        <w:rPr>
          <w:rFonts w:ascii="Calibri" w:hAnsi="Calibri" w:cs="Times New Roman"/>
          <w:noProof/>
          <w:szCs w:val="24"/>
        </w:rPr>
        <w:t>. BioMed Central, 9(2), p. 210. doi: 10.1186/gb-2008-9-2-210.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Hombría, J. C. and Brown, S. (2002) ‘The Fertile Field of Drosophila JAK / STAT Signalling’, </w:t>
      </w:r>
      <w:r w:rsidRPr="00C57A7E">
        <w:rPr>
          <w:rFonts w:ascii="Calibri" w:hAnsi="Calibri" w:cs="Times New Roman"/>
          <w:i/>
          <w:iCs/>
          <w:noProof/>
          <w:szCs w:val="24"/>
        </w:rPr>
        <w:t>Current Biology</w:t>
      </w:r>
      <w:r w:rsidRPr="00C57A7E">
        <w:rPr>
          <w:rFonts w:ascii="Calibri" w:hAnsi="Calibri" w:cs="Times New Roman"/>
          <w:noProof/>
          <w:szCs w:val="24"/>
        </w:rPr>
        <w:t>, 12(02), pp. 569–575.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Hopkin, M. (2006) ‘RNAi scoops medical Nobel’, </w:t>
      </w:r>
      <w:r w:rsidRPr="00C57A7E">
        <w:rPr>
          <w:rFonts w:ascii="Calibri" w:hAnsi="Calibri" w:cs="Times New Roman"/>
          <w:i/>
          <w:iCs/>
          <w:noProof/>
          <w:szCs w:val="24"/>
        </w:rPr>
        <w:t>Nature</w:t>
      </w:r>
      <w:r w:rsidRPr="00C57A7E">
        <w:rPr>
          <w:rFonts w:ascii="Calibri" w:hAnsi="Calibri" w:cs="Times New Roman"/>
          <w:noProof/>
          <w:szCs w:val="24"/>
        </w:rPr>
        <w:t>. Nature Publishing Group. doi: 10.1038/news061002-2.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Horn, T., Sandmann, T. and Boutros, M. (2010) ‘Design and evaluation of genome-wide libraries for RNA interference screens.’, </w:t>
      </w:r>
      <w:r w:rsidRPr="00C57A7E">
        <w:rPr>
          <w:rFonts w:ascii="Calibri" w:hAnsi="Calibri" w:cs="Times New Roman"/>
          <w:i/>
          <w:iCs/>
          <w:noProof/>
          <w:szCs w:val="24"/>
        </w:rPr>
        <w:t>Genome biology</w:t>
      </w:r>
      <w:r w:rsidRPr="00C57A7E">
        <w:rPr>
          <w:rFonts w:ascii="Calibri" w:hAnsi="Calibri" w:cs="Times New Roman"/>
          <w:noProof/>
          <w:szCs w:val="24"/>
        </w:rPr>
        <w:t>. BioMed Central, 11(6), p. R61. doi: 10.1186/gb-2010-11-6-r61.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Huang, Z. Y. </w:t>
      </w:r>
      <w:r w:rsidRPr="00C57A7E">
        <w:rPr>
          <w:rFonts w:ascii="Calibri" w:hAnsi="Calibri" w:cs="Times New Roman"/>
          <w:i/>
          <w:iCs/>
          <w:noProof/>
          <w:szCs w:val="24"/>
        </w:rPr>
        <w:t>et al.</w:t>
      </w:r>
      <w:r w:rsidRPr="00C57A7E">
        <w:rPr>
          <w:rFonts w:ascii="Calibri" w:hAnsi="Calibri" w:cs="Times New Roman"/>
          <w:noProof/>
          <w:szCs w:val="24"/>
        </w:rPr>
        <w:t xml:space="preserve"> (2019) ‘Genes important for survival or reproduction in </w:t>
      </w:r>
      <w:r w:rsidRPr="00C57A7E">
        <w:rPr>
          <w:rFonts w:ascii="Calibri" w:hAnsi="Calibri" w:cs="Times New Roman"/>
          <w:i/>
          <w:iCs/>
          <w:noProof/>
          <w:szCs w:val="24"/>
        </w:rPr>
        <w:t>Varroa destructor</w:t>
      </w:r>
      <w:r w:rsidRPr="00C57A7E">
        <w:rPr>
          <w:rFonts w:ascii="Calibri" w:hAnsi="Calibri" w:cs="Times New Roman"/>
          <w:noProof/>
          <w:szCs w:val="24"/>
        </w:rPr>
        <w:t xml:space="preserve"> identified by RNAi’, </w:t>
      </w:r>
      <w:r w:rsidRPr="00C57A7E">
        <w:rPr>
          <w:rFonts w:ascii="Calibri" w:hAnsi="Calibri" w:cs="Times New Roman"/>
          <w:i/>
          <w:iCs/>
          <w:noProof/>
          <w:szCs w:val="24"/>
        </w:rPr>
        <w:t>Insect Science</w:t>
      </w:r>
      <w:r w:rsidRPr="00C57A7E">
        <w:rPr>
          <w:rFonts w:ascii="Calibri" w:hAnsi="Calibri" w:cs="Times New Roman"/>
          <w:noProof/>
          <w:szCs w:val="24"/>
        </w:rPr>
        <w:t>. John Wiley &amp; Sons, Ltd (10.1111), 26(1), pp. 68–75. doi: 10.1111/1744-7917.12513.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lastRenderedPageBreak/>
        <w:t xml:space="preserve">Hughes, C. L. and Kaufman, T. C. (2000) ‘RNAi analysis of Deformed, proboscipedia and Sex combs reduced in the milkweed bug Oncopeltus fasciatus: novel roles for Hox genes in the hemipteran head.’, </w:t>
      </w:r>
      <w:r w:rsidRPr="00C57A7E">
        <w:rPr>
          <w:rFonts w:ascii="Calibri" w:hAnsi="Calibri" w:cs="Times New Roman"/>
          <w:i/>
          <w:iCs/>
          <w:noProof/>
          <w:szCs w:val="24"/>
        </w:rPr>
        <w:t>Development (Cambridge, England)</w:t>
      </w:r>
      <w:r w:rsidRPr="00C57A7E">
        <w:rPr>
          <w:rFonts w:ascii="Calibri" w:hAnsi="Calibri" w:cs="Times New Roman"/>
          <w:noProof/>
          <w:szCs w:val="24"/>
        </w:rPr>
        <w:t>, 127(17), pp. 3683–94. Available at: http://www.ncbi.nlm.nih.gov/pubmed/10934013 (Accessed: 17 July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Huvenne, H. and Smagghe, G. (2010) ‘Mechanisms of dsRNA uptake in insects and potential of RNAi for pest control: A review’, </w:t>
      </w:r>
      <w:r w:rsidRPr="00C57A7E">
        <w:rPr>
          <w:rFonts w:ascii="Calibri" w:hAnsi="Calibri" w:cs="Times New Roman"/>
          <w:i/>
          <w:iCs/>
          <w:noProof/>
          <w:szCs w:val="24"/>
        </w:rPr>
        <w:t>Journal of Insect Physiology</w:t>
      </w:r>
      <w:r w:rsidRPr="00C57A7E">
        <w:rPr>
          <w:rFonts w:ascii="Calibri" w:hAnsi="Calibri" w:cs="Times New Roman"/>
          <w:noProof/>
          <w:szCs w:val="24"/>
        </w:rPr>
        <w:t>. Elsevier Ltd, 56(3), pp. 227–235. doi: 10.1016/j.jinsphys.2009.10.004.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Iribe, H. </w:t>
      </w:r>
      <w:r w:rsidRPr="00C57A7E">
        <w:rPr>
          <w:rFonts w:ascii="Calibri" w:hAnsi="Calibri" w:cs="Times New Roman"/>
          <w:i/>
          <w:iCs/>
          <w:noProof/>
          <w:szCs w:val="24"/>
        </w:rPr>
        <w:t>et al.</w:t>
      </w:r>
      <w:r w:rsidRPr="00C57A7E">
        <w:rPr>
          <w:rFonts w:ascii="Calibri" w:hAnsi="Calibri" w:cs="Times New Roman"/>
          <w:noProof/>
          <w:szCs w:val="24"/>
        </w:rPr>
        <w:t xml:space="preserve"> (2017) ‘Chemical Modification of the siRNA Seed Region Suppresses Off-Target Effects by Steric Hindrance to Base-Pairing with Targets.’, </w:t>
      </w:r>
      <w:r w:rsidRPr="00C57A7E">
        <w:rPr>
          <w:rFonts w:ascii="Calibri" w:hAnsi="Calibri" w:cs="Times New Roman"/>
          <w:i/>
          <w:iCs/>
          <w:noProof/>
          <w:szCs w:val="24"/>
        </w:rPr>
        <w:t>ACS omega</w:t>
      </w:r>
      <w:r w:rsidRPr="00C57A7E">
        <w:rPr>
          <w:rFonts w:ascii="Calibri" w:hAnsi="Calibri" w:cs="Times New Roman"/>
          <w:noProof/>
          <w:szCs w:val="24"/>
        </w:rPr>
        <w:t>. American Chemical Society, 2(5), pp. 2055–2064. doi: 10.1021/acsomega.7b00291.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Iwamoto, N. </w:t>
      </w:r>
      <w:r w:rsidRPr="00C57A7E">
        <w:rPr>
          <w:rFonts w:ascii="Calibri" w:hAnsi="Calibri" w:cs="Times New Roman"/>
          <w:i/>
          <w:iCs/>
          <w:noProof/>
          <w:szCs w:val="24"/>
        </w:rPr>
        <w:t>et al.</w:t>
      </w:r>
      <w:r w:rsidRPr="00C57A7E">
        <w:rPr>
          <w:rFonts w:ascii="Calibri" w:hAnsi="Calibri" w:cs="Times New Roman"/>
          <w:noProof/>
          <w:szCs w:val="24"/>
        </w:rPr>
        <w:t xml:space="preserve"> (2017) ‘Control of phosphorothioate stereochemistry substantially increases the efficacy of antisense oligonucleotides’, </w:t>
      </w:r>
      <w:r w:rsidRPr="00C57A7E">
        <w:rPr>
          <w:rFonts w:ascii="Calibri" w:hAnsi="Calibri" w:cs="Times New Roman"/>
          <w:i/>
          <w:iCs/>
          <w:noProof/>
          <w:szCs w:val="24"/>
        </w:rPr>
        <w:t>Nature Biotechnology</w:t>
      </w:r>
      <w:r w:rsidRPr="00C57A7E">
        <w:rPr>
          <w:rFonts w:ascii="Calibri" w:hAnsi="Calibri" w:cs="Times New Roman"/>
          <w:noProof/>
          <w:szCs w:val="24"/>
        </w:rPr>
        <w:t>. Nature Publishing Group, 35(9), pp. 845–851. doi: 10.1038/nbt.3948.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Jahns, H. </w:t>
      </w:r>
      <w:r w:rsidRPr="00C57A7E">
        <w:rPr>
          <w:rFonts w:ascii="Calibri" w:hAnsi="Calibri" w:cs="Times New Roman"/>
          <w:i/>
          <w:iCs/>
          <w:noProof/>
          <w:szCs w:val="24"/>
        </w:rPr>
        <w:t>et al.</w:t>
      </w:r>
      <w:r w:rsidRPr="00C57A7E">
        <w:rPr>
          <w:rFonts w:ascii="Calibri" w:hAnsi="Calibri" w:cs="Times New Roman"/>
          <w:noProof/>
          <w:szCs w:val="24"/>
        </w:rPr>
        <w:t xml:space="preserve"> (2015a) ‘Stereochemical bias introduced during RNA synthesis modulates the activity of phosphorothioate siRNAs’, </w:t>
      </w:r>
      <w:r w:rsidRPr="00C57A7E">
        <w:rPr>
          <w:rFonts w:ascii="Calibri" w:hAnsi="Calibri" w:cs="Times New Roman"/>
          <w:i/>
          <w:iCs/>
          <w:noProof/>
          <w:szCs w:val="24"/>
        </w:rPr>
        <w:t>Nature Communications</w:t>
      </w:r>
      <w:r w:rsidRPr="00C57A7E">
        <w:rPr>
          <w:rFonts w:ascii="Calibri" w:hAnsi="Calibri" w:cs="Times New Roman"/>
          <w:noProof/>
          <w:szCs w:val="24"/>
        </w:rPr>
        <w:t>. Nature Publishing Group, 6(May 2014), pp. 1–9. doi: 10.1038/ncomms7317.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Jahns, H. </w:t>
      </w:r>
      <w:r w:rsidRPr="00C57A7E">
        <w:rPr>
          <w:rFonts w:ascii="Calibri" w:hAnsi="Calibri" w:cs="Times New Roman"/>
          <w:i/>
          <w:iCs/>
          <w:noProof/>
          <w:szCs w:val="24"/>
        </w:rPr>
        <w:t>et al.</w:t>
      </w:r>
      <w:r w:rsidRPr="00C57A7E">
        <w:rPr>
          <w:rFonts w:ascii="Calibri" w:hAnsi="Calibri" w:cs="Times New Roman"/>
          <w:noProof/>
          <w:szCs w:val="24"/>
        </w:rPr>
        <w:t xml:space="preserve"> (2015b) ‘Stereochemical bias introduced during RNA synthesis modulates the activity of phosphorothioate siRNAs’, </w:t>
      </w:r>
      <w:r w:rsidRPr="00C57A7E">
        <w:rPr>
          <w:rFonts w:ascii="Calibri" w:hAnsi="Calibri" w:cs="Times New Roman"/>
          <w:i/>
          <w:iCs/>
          <w:noProof/>
          <w:szCs w:val="24"/>
        </w:rPr>
        <w:t>Nature Communications</w:t>
      </w:r>
      <w:r w:rsidRPr="00C57A7E">
        <w:rPr>
          <w:rFonts w:ascii="Calibri" w:hAnsi="Calibri" w:cs="Times New Roman"/>
          <w:noProof/>
          <w:szCs w:val="24"/>
        </w:rPr>
        <w:t>. Nature Publishing Group, 6(1), p. 6317. doi: 10.1038/ncomms7317.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Jin, B., Li, Y. and Robertson, K. D. (2011) ‘DNA methylation: superior or subordinate in the epigenetic hierarchy?’, </w:t>
      </w:r>
      <w:r w:rsidRPr="00C57A7E">
        <w:rPr>
          <w:rFonts w:ascii="Calibri" w:hAnsi="Calibri" w:cs="Times New Roman"/>
          <w:i/>
          <w:iCs/>
          <w:noProof/>
          <w:szCs w:val="24"/>
        </w:rPr>
        <w:t>Genes &amp; cancer</w:t>
      </w:r>
      <w:r w:rsidRPr="00C57A7E">
        <w:rPr>
          <w:rFonts w:ascii="Calibri" w:hAnsi="Calibri" w:cs="Times New Roman"/>
          <w:noProof/>
          <w:szCs w:val="24"/>
        </w:rPr>
        <w:t>. Impact Journals, LLC, 2(6), pp. 607–17. doi: 10.1177/1947601910393957.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Joga, M. R. </w:t>
      </w:r>
      <w:r w:rsidRPr="00C57A7E">
        <w:rPr>
          <w:rFonts w:ascii="Calibri" w:hAnsi="Calibri" w:cs="Times New Roman"/>
          <w:i/>
          <w:iCs/>
          <w:noProof/>
          <w:szCs w:val="24"/>
        </w:rPr>
        <w:t>et al.</w:t>
      </w:r>
      <w:r w:rsidRPr="00C57A7E">
        <w:rPr>
          <w:rFonts w:ascii="Calibri" w:hAnsi="Calibri" w:cs="Times New Roman"/>
          <w:noProof/>
          <w:szCs w:val="24"/>
        </w:rPr>
        <w:t xml:space="preserve"> (2016) ‘RNAi efficiency, systemic properties, and novel delivery methods for pest insect control: What we know so far’, </w:t>
      </w:r>
      <w:r w:rsidRPr="00C57A7E">
        <w:rPr>
          <w:rFonts w:ascii="Calibri" w:hAnsi="Calibri" w:cs="Times New Roman"/>
          <w:i/>
          <w:iCs/>
          <w:noProof/>
          <w:szCs w:val="24"/>
        </w:rPr>
        <w:t>Frontiers in Physiology</w:t>
      </w:r>
      <w:r w:rsidRPr="00C57A7E">
        <w:rPr>
          <w:rFonts w:ascii="Calibri" w:hAnsi="Calibri" w:cs="Times New Roman"/>
          <w:noProof/>
          <w:szCs w:val="24"/>
        </w:rPr>
        <w:t>, 7(NOV), pp. 1–14. doi: 10.3389/fphys.2016.00553.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 Nair, J. </w:t>
      </w:r>
      <w:r w:rsidRPr="00C57A7E">
        <w:rPr>
          <w:rFonts w:ascii="Calibri" w:hAnsi="Calibri" w:cs="Times New Roman"/>
          <w:i/>
          <w:iCs/>
          <w:noProof/>
          <w:szCs w:val="24"/>
        </w:rPr>
        <w:t>et al.</w:t>
      </w:r>
      <w:r w:rsidRPr="00C57A7E">
        <w:rPr>
          <w:rFonts w:ascii="Calibri" w:hAnsi="Calibri" w:cs="Times New Roman"/>
          <w:noProof/>
          <w:szCs w:val="24"/>
        </w:rPr>
        <w:t xml:space="preserve"> (2014) ‘Multivalent N-Acetylgalactosamine-Conjugated siRNA Localizes in Hepatocytes and Elicits Robust RNAi-mediated Gene Silencing’, </w:t>
      </w:r>
      <w:r w:rsidRPr="00C57A7E">
        <w:rPr>
          <w:rFonts w:ascii="Calibri" w:hAnsi="Calibri" w:cs="Times New Roman"/>
          <w:i/>
          <w:iCs/>
          <w:noProof/>
          <w:szCs w:val="24"/>
        </w:rPr>
        <w:t>Jacs</w:t>
      </w:r>
      <w:r w:rsidRPr="00C57A7E">
        <w:rPr>
          <w:rFonts w:ascii="Calibri" w:hAnsi="Calibri" w:cs="Times New Roman"/>
          <w:noProof/>
          <w:szCs w:val="24"/>
        </w:rPr>
        <w:t>. doi: 10.1021/ja505986a.</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Kandasamy, S. K. and Fukunaga, R. (2016) ‘Phosphate-binding pocket in Dicer-2 PAZ domain for high-fidelity siRNA production.’, </w:t>
      </w:r>
      <w:r w:rsidRPr="00C57A7E">
        <w:rPr>
          <w:rFonts w:ascii="Calibri" w:hAnsi="Calibri" w:cs="Times New Roman"/>
          <w:i/>
          <w:iCs/>
          <w:noProof/>
          <w:szCs w:val="24"/>
        </w:rPr>
        <w:t>Proceedings of the National Academy of Sciences of the United States of America</w:t>
      </w:r>
      <w:r w:rsidRPr="00C57A7E">
        <w:rPr>
          <w:rFonts w:ascii="Calibri" w:hAnsi="Calibri" w:cs="Times New Roman"/>
          <w:noProof/>
          <w:szCs w:val="24"/>
        </w:rPr>
        <w:t>. National Academy of Sciences, 113(49), pp. 14031–14036. doi: 10.1073/pnas.1612393113.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Karlikow, M. </w:t>
      </w:r>
      <w:r w:rsidRPr="00C57A7E">
        <w:rPr>
          <w:rFonts w:ascii="Calibri" w:hAnsi="Calibri" w:cs="Times New Roman"/>
          <w:i/>
          <w:iCs/>
          <w:noProof/>
          <w:szCs w:val="24"/>
        </w:rPr>
        <w:t>et al.</w:t>
      </w:r>
      <w:r w:rsidRPr="00C57A7E">
        <w:rPr>
          <w:rFonts w:ascii="Calibri" w:hAnsi="Calibri" w:cs="Times New Roman"/>
          <w:noProof/>
          <w:szCs w:val="24"/>
        </w:rPr>
        <w:t xml:space="preserve"> (2016) ‘Drosophila cells use nanotube-like structures to transfer dsRNA and RNAi machinery between cells’, </w:t>
      </w:r>
      <w:r w:rsidRPr="00C57A7E">
        <w:rPr>
          <w:rFonts w:ascii="Calibri" w:hAnsi="Calibri" w:cs="Times New Roman"/>
          <w:i/>
          <w:iCs/>
          <w:noProof/>
          <w:szCs w:val="24"/>
        </w:rPr>
        <w:t>Scientific Reports</w:t>
      </w:r>
      <w:r w:rsidRPr="00C57A7E">
        <w:rPr>
          <w:rFonts w:ascii="Calibri" w:hAnsi="Calibri" w:cs="Times New Roman"/>
          <w:noProof/>
          <w:szCs w:val="24"/>
        </w:rPr>
        <w:t>, 6(1), p. 27085. doi: 10.1038/srep27085.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Karunaratne, S. H. P. P. </w:t>
      </w:r>
      <w:r w:rsidRPr="00C57A7E">
        <w:rPr>
          <w:rFonts w:ascii="Calibri" w:hAnsi="Calibri" w:cs="Times New Roman"/>
          <w:i/>
          <w:iCs/>
          <w:noProof/>
          <w:szCs w:val="24"/>
        </w:rPr>
        <w:t>et al.</w:t>
      </w:r>
      <w:r w:rsidRPr="00C57A7E">
        <w:rPr>
          <w:rFonts w:ascii="Calibri" w:hAnsi="Calibri" w:cs="Times New Roman"/>
          <w:noProof/>
          <w:szCs w:val="24"/>
        </w:rPr>
        <w:t xml:space="preserve"> (2007) ‘Insecticide resistance in the tropical bedbug Cimex hemipterus’, </w:t>
      </w:r>
      <w:r w:rsidRPr="00C57A7E">
        <w:rPr>
          <w:rFonts w:ascii="Calibri" w:hAnsi="Calibri" w:cs="Times New Roman"/>
          <w:i/>
          <w:iCs/>
          <w:noProof/>
          <w:szCs w:val="24"/>
        </w:rPr>
        <w:t>Pesticide Biochemistry and Physiology</w:t>
      </w:r>
      <w:r w:rsidRPr="00C57A7E">
        <w:rPr>
          <w:rFonts w:ascii="Calibri" w:hAnsi="Calibri" w:cs="Times New Roman"/>
          <w:noProof/>
          <w:szCs w:val="24"/>
        </w:rPr>
        <w:t>. Academic Press, 88(1), pp. 102–107. doi: 10.1016/J.PESTBP.2006.09.006.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Karwowski, B. T. (2015) ‘The influence of phosphorothioate on charge migration in single and double stranded DNA: a theoretical approach’, </w:t>
      </w:r>
      <w:r w:rsidRPr="00C57A7E">
        <w:rPr>
          <w:rFonts w:ascii="Calibri" w:hAnsi="Calibri" w:cs="Times New Roman"/>
          <w:i/>
          <w:iCs/>
          <w:noProof/>
          <w:szCs w:val="24"/>
        </w:rPr>
        <w:t>Physical Chemistry Chemical Physics</w:t>
      </w:r>
      <w:r w:rsidRPr="00C57A7E">
        <w:rPr>
          <w:rFonts w:ascii="Calibri" w:hAnsi="Calibri" w:cs="Times New Roman"/>
          <w:noProof/>
          <w:szCs w:val="24"/>
        </w:rPr>
        <w:t>. The Royal Society of Chemistry, 17(33), pp. 21507–21516. doi: 10.1039/C5CP01382H.</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Kennerdell, J. R. and Carthew, R. W. (1998) ‘Use of dsRNA-Mediated Genetic Interference to Demonstrate that frizzled and frizzled 2 Act in the Wingless Pathway’, </w:t>
      </w:r>
      <w:r w:rsidRPr="00C57A7E">
        <w:rPr>
          <w:rFonts w:ascii="Calibri" w:hAnsi="Calibri" w:cs="Times New Roman"/>
          <w:i/>
          <w:iCs/>
          <w:noProof/>
          <w:szCs w:val="24"/>
        </w:rPr>
        <w:t>Cell</w:t>
      </w:r>
      <w:r w:rsidRPr="00C57A7E">
        <w:rPr>
          <w:rFonts w:ascii="Calibri" w:hAnsi="Calibri" w:cs="Times New Roman"/>
          <w:noProof/>
          <w:szCs w:val="24"/>
        </w:rPr>
        <w:t>, 95(7), pp. 1017–1026. doi: 10.1016/S0092-8674(00)81725-0.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Ketting, R. F. and Plasterk, R. H. (2000) ‘A genetic link between co-suppression and RNA interference in C. elegans’, </w:t>
      </w:r>
      <w:r w:rsidRPr="00C57A7E">
        <w:rPr>
          <w:rFonts w:ascii="Calibri" w:hAnsi="Calibri" w:cs="Times New Roman"/>
          <w:i/>
          <w:iCs/>
          <w:noProof/>
          <w:szCs w:val="24"/>
        </w:rPr>
        <w:t>Nature</w:t>
      </w:r>
      <w:r w:rsidRPr="00C57A7E">
        <w:rPr>
          <w:rFonts w:ascii="Calibri" w:hAnsi="Calibri" w:cs="Times New Roman"/>
          <w:noProof/>
          <w:szCs w:val="24"/>
        </w:rPr>
        <w:t>, 404(6775), pp. 296–298. doi: 10.1038/35005113.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Khajuria, C. </w:t>
      </w:r>
      <w:r w:rsidRPr="00C57A7E">
        <w:rPr>
          <w:rFonts w:ascii="Calibri" w:hAnsi="Calibri" w:cs="Times New Roman"/>
          <w:i/>
          <w:iCs/>
          <w:noProof/>
          <w:szCs w:val="24"/>
        </w:rPr>
        <w:t>et al.</w:t>
      </w:r>
      <w:r w:rsidRPr="00C57A7E">
        <w:rPr>
          <w:rFonts w:ascii="Calibri" w:hAnsi="Calibri" w:cs="Times New Roman"/>
          <w:noProof/>
          <w:szCs w:val="24"/>
        </w:rPr>
        <w:t xml:space="preserve"> (2018) ‘Development and characterization of the first dsRNA-resistant insect population from western corn rootworm, Diabrotica virgifera virgifera LeConte’, </w:t>
      </w:r>
      <w:r w:rsidRPr="00C57A7E">
        <w:rPr>
          <w:rFonts w:ascii="Calibri" w:hAnsi="Calibri" w:cs="Times New Roman"/>
          <w:i/>
          <w:iCs/>
          <w:noProof/>
          <w:szCs w:val="24"/>
        </w:rPr>
        <w:t>PLOS ONE</w:t>
      </w:r>
      <w:r w:rsidRPr="00C57A7E">
        <w:rPr>
          <w:rFonts w:ascii="Calibri" w:hAnsi="Calibri" w:cs="Times New Roman"/>
          <w:noProof/>
          <w:szCs w:val="24"/>
        </w:rPr>
        <w:t xml:space="preserve">. Edited </w:t>
      </w:r>
      <w:r w:rsidRPr="00C57A7E">
        <w:rPr>
          <w:rFonts w:ascii="Calibri" w:hAnsi="Calibri" w:cs="Times New Roman"/>
          <w:noProof/>
          <w:szCs w:val="24"/>
        </w:rPr>
        <w:lastRenderedPageBreak/>
        <w:t>by S. R. Palli. Public Library of Science, 13(5), p. e0197059. doi: 10.1371/journal.pone.0197059.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Kim, E. </w:t>
      </w:r>
      <w:r w:rsidRPr="00C57A7E">
        <w:rPr>
          <w:rFonts w:ascii="Calibri" w:hAnsi="Calibri" w:cs="Times New Roman"/>
          <w:i/>
          <w:iCs/>
          <w:noProof/>
          <w:szCs w:val="24"/>
        </w:rPr>
        <w:t>et al.</w:t>
      </w:r>
      <w:r w:rsidRPr="00C57A7E">
        <w:rPr>
          <w:rFonts w:ascii="Calibri" w:hAnsi="Calibri" w:cs="Times New Roman"/>
          <w:noProof/>
          <w:szCs w:val="24"/>
        </w:rPr>
        <w:t xml:space="preserve"> (2015) ‘A transformed bacterium expressing double-stranded RNA specific to integrin β1 enhances Bt Toxin efficacy against a polyphagous insect pest, Spodoptera exigua’, </w:t>
      </w:r>
      <w:r w:rsidRPr="00C57A7E">
        <w:rPr>
          <w:rFonts w:ascii="Calibri" w:hAnsi="Calibri" w:cs="Times New Roman"/>
          <w:i/>
          <w:iCs/>
          <w:noProof/>
          <w:szCs w:val="24"/>
        </w:rPr>
        <w:t>PLoS ONE</w:t>
      </w:r>
      <w:r w:rsidRPr="00C57A7E">
        <w:rPr>
          <w:rFonts w:ascii="Calibri" w:hAnsi="Calibri" w:cs="Times New Roman"/>
          <w:noProof/>
          <w:szCs w:val="24"/>
        </w:rPr>
        <w:t>, 10(7), pp. 1–15. doi: 10.1371/journal.pone.0132631.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Kim, K., Lee, Y. S. and Carthew, R. W. (2007) ‘Conversion of pre-RISC to holo-RISC by Ago2 during assembly of RNAi complexes.’, </w:t>
      </w:r>
      <w:r w:rsidRPr="00C57A7E">
        <w:rPr>
          <w:rFonts w:ascii="Calibri" w:hAnsi="Calibri" w:cs="Times New Roman"/>
          <w:i/>
          <w:iCs/>
          <w:noProof/>
          <w:szCs w:val="24"/>
        </w:rPr>
        <w:t>RNA (New York, N.Y.)</w:t>
      </w:r>
      <w:r w:rsidRPr="00C57A7E">
        <w:rPr>
          <w:rFonts w:ascii="Calibri" w:hAnsi="Calibri" w:cs="Times New Roman"/>
          <w:noProof/>
          <w:szCs w:val="24"/>
        </w:rPr>
        <w:t>. Cold Spring Harbor Laboratory Press, 13(1), pp. 22–9. doi: 10.1261/rna.283207.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Kim, V. N., Han, J. and Siomi, M. C. (2009) ‘Biogenesis of small RNAs in animals’, </w:t>
      </w:r>
      <w:r w:rsidRPr="00C57A7E">
        <w:rPr>
          <w:rFonts w:ascii="Calibri" w:hAnsi="Calibri" w:cs="Times New Roman"/>
          <w:i/>
          <w:iCs/>
          <w:noProof/>
          <w:szCs w:val="24"/>
        </w:rPr>
        <w:t>Nature Reviews Molecular Cell Biology</w:t>
      </w:r>
      <w:r w:rsidRPr="00C57A7E">
        <w:rPr>
          <w:rFonts w:ascii="Calibri" w:hAnsi="Calibri" w:cs="Times New Roman"/>
          <w:noProof/>
          <w:szCs w:val="24"/>
        </w:rPr>
        <w:t>, 10(2), pp. 126–139. doi: 10.1038/nrm2632.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Kraynack, B. A. and Baker, B. F. (2006) ‘Small interfering RNAs containing full 2’-O-methylribonucleotide-modified sense strands display Argonaute2/eIF2C2-dependent activity.’, </w:t>
      </w:r>
      <w:r w:rsidRPr="00C57A7E">
        <w:rPr>
          <w:rFonts w:ascii="Calibri" w:hAnsi="Calibri" w:cs="Times New Roman"/>
          <w:i/>
          <w:iCs/>
          <w:noProof/>
          <w:szCs w:val="24"/>
        </w:rPr>
        <w:t>RNA (New York, N.Y.)</w:t>
      </w:r>
      <w:r w:rsidRPr="00C57A7E">
        <w:rPr>
          <w:rFonts w:ascii="Calibri" w:hAnsi="Calibri" w:cs="Times New Roman"/>
          <w:noProof/>
          <w:szCs w:val="24"/>
        </w:rPr>
        <w:t>. Cold Spring Harbor Laboratory Press, 12(1), pp. 163–76. doi: 10.1261/rna.2150806.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van der Krol, A. R. </w:t>
      </w:r>
      <w:r w:rsidRPr="00C57A7E">
        <w:rPr>
          <w:rFonts w:ascii="Calibri" w:hAnsi="Calibri" w:cs="Times New Roman"/>
          <w:i/>
          <w:iCs/>
          <w:noProof/>
          <w:szCs w:val="24"/>
        </w:rPr>
        <w:t>et al.</w:t>
      </w:r>
      <w:r w:rsidRPr="00C57A7E">
        <w:rPr>
          <w:rFonts w:ascii="Calibri" w:hAnsi="Calibri" w:cs="Times New Roman"/>
          <w:noProof/>
          <w:szCs w:val="24"/>
        </w:rPr>
        <w:t xml:space="preserve"> (1988) ‘An anti-sense chalcone synthase gene in transgenic plants inhibits flower pigmentation’, </w:t>
      </w:r>
      <w:r w:rsidRPr="00C57A7E">
        <w:rPr>
          <w:rFonts w:ascii="Calibri" w:hAnsi="Calibri" w:cs="Times New Roman"/>
          <w:i/>
          <w:iCs/>
          <w:noProof/>
          <w:szCs w:val="24"/>
        </w:rPr>
        <w:t>Nature</w:t>
      </w:r>
      <w:r w:rsidRPr="00C57A7E">
        <w:rPr>
          <w:rFonts w:ascii="Calibri" w:hAnsi="Calibri" w:cs="Times New Roman"/>
          <w:noProof/>
          <w:szCs w:val="24"/>
        </w:rPr>
        <w:t>. Nature Publishing Group, 333(6176), pp. 866–869. doi: 10.1038/333866a0.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Kutter, E. M. and Wiberg, J. S. (1969) ‘Biological effects of substituting cytosine for 5-hydroxymethylcytosine in the deoxyribonucleic acid of bacteriophage T4.’, </w:t>
      </w:r>
      <w:r w:rsidRPr="00C57A7E">
        <w:rPr>
          <w:rFonts w:ascii="Calibri" w:hAnsi="Calibri" w:cs="Times New Roman"/>
          <w:i/>
          <w:iCs/>
          <w:noProof/>
          <w:szCs w:val="24"/>
        </w:rPr>
        <w:t>Journal of virology</w:t>
      </w:r>
      <w:r w:rsidRPr="00C57A7E">
        <w:rPr>
          <w:rFonts w:ascii="Calibri" w:hAnsi="Calibri" w:cs="Times New Roman"/>
          <w:noProof/>
          <w:szCs w:val="24"/>
        </w:rPr>
        <w:t>, 4(4), pp. 439–53. Available at: http://www.ncbi.nlm.nih.gov/pubmed/4309878 (Accessed: 22 August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Lane, A. N. and Fan, T. W. M. (2015) ‘Regulation of mammalian nucleotide metabolism and biosynthesis’, </w:t>
      </w:r>
      <w:r w:rsidRPr="00C57A7E">
        <w:rPr>
          <w:rFonts w:ascii="Calibri" w:hAnsi="Calibri" w:cs="Times New Roman"/>
          <w:i/>
          <w:iCs/>
          <w:noProof/>
          <w:szCs w:val="24"/>
        </w:rPr>
        <w:t>Nucleic Acids Research</w:t>
      </w:r>
      <w:r w:rsidRPr="00C57A7E">
        <w:rPr>
          <w:rFonts w:ascii="Calibri" w:hAnsi="Calibri" w:cs="Times New Roman"/>
          <w:noProof/>
          <w:szCs w:val="24"/>
        </w:rPr>
        <w:t>, 43(4), pp. 2466–2485. doi: 10.1093/nar/gkv047.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Lavore, A. </w:t>
      </w:r>
      <w:r w:rsidRPr="00C57A7E">
        <w:rPr>
          <w:rFonts w:ascii="Calibri" w:hAnsi="Calibri" w:cs="Times New Roman"/>
          <w:i/>
          <w:iCs/>
          <w:noProof/>
          <w:szCs w:val="24"/>
        </w:rPr>
        <w:t>et al.</w:t>
      </w:r>
      <w:r w:rsidRPr="00C57A7E">
        <w:rPr>
          <w:rFonts w:ascii="Calibri" w:hAnsi="Calibri" w:cs="Times New Roman"/>
          <w:noProof/>
          <w:szCs w:val="24"/>
        </w:rPr>
        <w:t xml:space="preserve"> (2018) ‘Nezara viridula (Hemiptera: Pentatomidae) transcriptomic analysis and neuropeptidomics’, </w:t>
      </w:r>
      <w:r w:rsidRPr="00C57A7E">
        <w:rPr>
          <w:rFonts w:ascii="Calibri" w:hAnsi="Calibri" w:cs="Times New Roman"/>
          <w:i/>
          <w:iCs/>
          <w:noProof/>
          <w:szCs w:val="24"/>
        </w:rPr>
        <w:t>Scientific Reports</w:t>
      </w:r>
      <w:r w:rsidRPr="00C57A7E">
        <w:rPr>
          <w:rFonts w:ascii="Calibri" w:hAnsi="Calibri" w:cs="Times New Roman"/>
          <w:noProof/>
          <w:szCs w:val="24"/>
        </w:rPr>
        <w:t>. Nature Publishing Group, 8(1), p. 17244. doi: 10.1038/s41598-018-35386-4.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Lee, R. C., Feinbaum, R. L. and Ambros, V. (1993) ‘The C. elegans heterochronic gene lin-4 encodes small RNAs with antisense complementarity to lin-14.’, </w:t>
      </w:r>
      <w:r w:rsidRPr="00C57A7E">
        <w:rPr>
          <w:rFonts w:ascii="Calibri" w:hAnsi="Calibri" w:cs="Times New Roman"/>
          <w:i/>
          <w:iCs/>
          <w:noProof/>
          <w:szCs w:val="24"/>
        </w:rPr>
        <w:t>Cell</w:t>
      </w:r>
      <w:r w:rsidRPr="00C57A7E">
        <w:rPr>
          <w:rFonts w:ascii="Calibri" w:hAnsi="Calibri" w:cs="Times New Roman"/>
          <w:noProof/>
          <w:szCs w:val="24"/>
        </w:rPr>
        <w:t>. Elsevier, 75(5), pp. 843–54. doi: 10.1016/0092-8674(93)90529-y.</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Lee, S. J. </w:t>
      </w:r>
      <w:r w:rsidRPr="00C57A7E">
        <w:rPr>
          <w:rFonts w:ascii="Calibri" w:hAnsi="Calibri" w:cs="Times New Roman"/>
          <w:i/>
          <w:iCs/>
          <w:noProof/>
          <w:szCs w:val="24"/>
        </w:rPr>
        <w:t>et al.</w:t>
      </w:r>
      <w:r w:rsidRPr="00C57A7E">
        <w:rPr>
          <w:rFonts w:ascii="Calibri" w:hAnsi="Calibri" w:cs="Times New Roman"/>
          <w:noProof/>
          <w:szCs w:val="24"/>
        </w:rPr>
        <w:t xml:space="preserve"> (2013) ‘Structural modification of siRNA for efficient gene silencing’, </w:t>
      </w:r>
      <w:r w:rsidRPr="00C57A7E">
        <w:rPr>
          <w:rFonts w:ascii="Calibri" w:hAnsi="Calibri" w:cs="Times New Roman"/>
          <w:i/>
          <w:iCs/>
          <w:noProof/>
          <w:szCs w:val="24"/>
        </w:rPr>
        <w:t>Biotechnology Advances</w:t>
      </w:r>
      <w:r w:rsidRPr="00C57A7E">
        <w:rPr>
          <w:rFonts w:ascii="Calibri" w:hAnsi="Calibri" w:cs="Times New Roman"/>
          <w:noProof/>
          <w:szCs w:val="24"/>
        </w:rPr>
        <w:t>, 31(5), pp. 491–503. doi: 10.1016/j.biotechadv.2012.09.002.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Lee, Y. S., Nakahara, K., Pham, John W, </w:t>
      </w:r>
      <w:r w:rsidRPr="00C57A7E">
        <w:rPr>
          <w:rFonts w:ascii="Calibri" w:hAnsi="Calibri" w:cs="Times New Roman"/>
          <w:i/>
          <w:iCs/>
          <w:noProof/>
          <w:szCs w:val="24"/>
        </w:rPr>
        <w:t>et al.</w:t>
      </w:r>
      <w:r w:rsidRPr="00C57A7E">
        <w:rPr>
          <w:rFonts w:ascii="Calibri" w:hAnsi="Calibri" w:cs="Times New Roman"/>
          <w:noProof/>
          <w:szCs w:val="24"/>
        </w:rPr>
        <w:t xml:space="preserve"> (2004) ‘Distinct roles for Drosophila Dicer-1 and Dicer-2 in the siRNA/miRNA silencing pathways.’, </w:t>
      </w:r>
      <w:r w:rsidRPr="00C57A7E">
        <w:rPr>
          <w:rFonts w:ascii="Calibri" w:hAnsi="Calibri" w:cs="Times New Roman"/>
          <w:i/>
          <w:iCs/>
          <w:noProof/>
          <w:szCs w:val="24"/>
        </w:rPr>
        <w:t>Cell</w:t>
      </w:r>
      <w:r w:rsidRPr="00C57A7E">
        <w:rPr>
          <w:rFonts w:ascii="Calibri" w:hAnsi="Calibri" w:cs="Times New Roman"/>
          <w:noProof/>
          <w:szCs w:val="24"/>
        </w:rPr>
        <w:t>, 117(1), pp. 69–81. Available at: http://www.ncbi.nlm.nih.gov/pubmed/15066283 (Accessed: 29 January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Lee, Y. S., Nakahara, K., Pham, John W., </w:t>
      </w:r>
      <w:r w:rsidRPr="00C57A7E">
        <w:rPr>
          <w:rFonts w:ascii="Calibri" w:hAnsi="Calibri" w:cs="Times New Roman"/>
          <w:i/>
          <w:iCs/>
          <w:noProof/>
          <w:szCs w:val="24"/>
        </w:rPr>
        <w:t>et al.</w:t>
      </w:r>
      <w:r w:rsidRPr="00C57A7E">
        <w:rPr>
          <w:rFonts w:ascii="Calibri" w:hAnsi="Calibri" w:cs="Times New Roman"/>
          <w:noProof/>
          <w:szCs w:val="24"/>
        </w:rPr>
        <w:t xml:space="preserve"> (2004) ‘Distinct roles for Drosophila Dicer-1 and Dicer-2 in the siRNA/miRNA silencing pathways’, </w:t>
      </w:r>
      <w:r w:rsidRPr="00C57A7E">
        <w:rPr>
          <w:rFonts w:ascii="Calibri" w:hAnsi="Calibri" w:cs="Times New Roman"/>
          <w:i/>
          <w:iCs/>
          <w:noProof/>
          <w:szCs w:val="24"/>
        </w:rPr>
        <w:t>Cell</w:t>
      </w:r>
      <w:r w:rsidRPr="00C57A7E">
        <w:rPr>
          <w:rFonts w:ascii="Calibri" w:hAnsi="Calibri" w:cs="Times New Roman"/>
          <w:noProof/>
          <w:szCs w:val="24"/>
        </w:rPr>
        <w:t>, 117(1), pp. 69–81. doi: 10.1016/S0092-8674(04)00261-2.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Lesnik, E. A. and Freier, S. M. (1995) ‘Relative Thermodynamic Stability of DNA, RNA, and DNA:RNA Hybrid Duplexes: Relationship with Base Composition and Structure’, </w:t>
      </w:r>
      <w:r w:rsidRPr="00C57A7E">
        <w:rPr>
          <w:rFonts w:ascii="Calibri" w:hAnsi="Calibri" w:cs="Times New Roman"/>
          <w:i/>
          <w:iCs/>
          <w:noProof/>
          <w:szCs w:val="24"/>
        </w:rPr>
        <w:t>Biochemistry</w:t>
      </w:r>
      <w:r w:rsidRPr="00C57A7E">
        <w:rPr>
          <w:rFonts w:ascii="Calibri" w:hAnsi="Calibri" w:cs="Times New Roman"/>
          <w:noProof/>
          <w:szCs w:val="24"/>
        </w:rPr>
        <w:t>, 34(34), pp. 10807–10815. doi: 10.1021/bi00034a013.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Li, J. </w:t>
      </w:r>
      <w:r w:rsidRPr="00C57A7E">
        <w:rPr>
          <w:rFonts w:ascii="Calibri" w:hAnsi="Calibri" w:cs="Times New Roman"/>
          <w:i/>
          <w:iCs/>
          <w:noProof/>
          <w:szCs w:val="24"/>
        </w:rPr>
        <w:t>et al.</w:t>
      </w:r>
      <w:r w:rsidRPr="00C57A7E">
        <w:rPr>
          <w:rFonts w:ascii="Calibri" w:hAnsi="Calibri" w:cs="Times New Roman"/>
          <w:noProof/>
          <w:szCs w:val="24"/>
        </w:rPr>
        <w:t xml:space="preserve"> (2013) ‘Advances in the use of the RNA interference technique in Hemiptera’, </w:t>
      </w:r>
      <w:r w:rsidRPr="00C57A7E">
        <w:rPr>
          <w:rFonts w:ascii="Calibri" w:hAnsi="Calibri" w:cs="Times New Roman"/>
          <w:i/>
          <w:iCs/>
          <w:noProof/>
          <w:szCs w:val="24"/>
        </w:rPr>
        <w:t>Insect Science</w:t>
      </w:r>
      <w:r w:rsidRPr="00C57A7E">
        <w:rPr>
          <w:rFonts w:ascii="Calibri" w:hAnsi="Calibri" w:cs="Times New Roman"/>
          <w:noProof/>
          <w:szCs w:val="24"/>
        </w:rPr>
        <w:t>, 20(1), pp. 31–39. doi: 10.1111/j.1744-7917.2012.01550.x.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Li, Z. and Rana, T. M. (2012) ‘Molecular mechanisms of RNA-triggered gene silencing machineries.’, </w:t>
      </w:r>
      <w:r w:rsidRPr="00C57A7E">
        <w:rPr>
          <w:rFonts w:ascii="Calibri" w:hAnsi="Calibri" w:cs="Times New Roman"/>
          <w:i/>
          <w:iCs/>
          <w:noProof/>
          <w:szCs w:val="24"/>
        </w:rPr>
        <w:t>Accounts of chemical research</w:t>
      </w:r>
      <w:r w:rsidRPr="00C57A7E">
        <w:rPr>
          <w:rFonts w:ascii="Calibri" w:hAnsi="Calibri" w:cs="Times New Roman"/>
          <w:noProof/>
          <w:szCs w:val="24"/>
        </w:rPr>
        <w:t>. American Chemical Society, 45(7), pp. 1122–31. doi: 10.1021/ar200253u.</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Lima, W. F. </w:t>
      </w:r>
      <w:r w:rsidRPr="00C57A7E">
        <w:rPr>
          <w:rFonts w:ascii="Calibri" w:hAnsi="Calibri" w:cs="Times New Roman"/>
          <w:i/>
          <w:iCs/>
          <w:noProof/>
          <w:szCs w:val="24"/>
        </w:rPr>
        <w:t>et al.</w:t>
      </w:r>
      <w:r w:rsidRPr="00C57A7E">
        <w:rPr>
          <w:rFonts w:ascii="Calibri" w:hAnsi="Calibri" w:cs="Times New Roman"/>
          <w:noProof/>
          <w:szCs w:val="24"/>
        </w:rPr>
        <w:t xml:space="preserve"> (2012) ‘Single-stranded siRNAs activate RNAi in animals’, </w:t>
      </w:r>
      <w:r w:rsidRPr="00C57A7E">
        <w:rPr>
          <w:rFonts w:ascii="Calibri" w:hAnsi="Calibri" w:cs="Times New Roman"/>
          <w:i/>
          <w:iCs/>
          <w:noProof/>
          <w:szCs w:val="24"/>
        </w:rPr>
        <w:t>Cell</w:t>
      </w:r>
      <w:r w:rsidRPr="00C57A7E">
        <w:rPr>
          <w:rFonts w:ascii="Calibri" w:hAnsi="Calibri" w:cs="Times New Roman"/>
          <w:noProof/>
          <w:szCs w:val="24"/>
        </w:rPr>
        <w:t xml:space="preserve">, 150(5), pp. 883–894. </w:t>
      </w:r>
      <w:r w:rsidRPr="00C57A7E">
        <w:rPr>
          <w:rFonts w:ascii="Calibri" w:hAnsi="Calibri" w:cs="Times New Roman"/>
          <w:noProof/>
          <w:szCs w:val="24"/>
        </w:rPr>
        <w:lastRenderedPageBreak/>
        <w:t>doi: 10.1016/j.cell.2012.08.014.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Liu, J. </w:t>
      </w:r>
      <w:r w:rsidRPr="00C57A7E">
        <w:rPr>
          <w:rFonts w:ascii="Calibri" w:hAnsi="Calibri" w:cs="Times New Roman"/>
          <w:i/>
          <w:iCs/>
          <w:noProof/>
          <w:szCs w:val="24"/>
        </w:rPr>
        <w:t>et al.</w:t>
      </w:r>
      <w:r w:rsidRPr="00C57A7E">
        <w:rPr>
          <w:rFonts w:ascii="Calibri" w:hAnsi="Calibri" w:cs="Times New Roman"/>
          <w:noProof/>
          <w:szCs w:val="24"/>
        </w:rPr>
        <w:t xml:space="preserve"> (2004) ‘Argonaute2 Is the Catalytic Engine of Mammalian RNAi’, </w:t>
      </w:r>
      <w:r w:rsidRPr="00C57A7E">
        <w:rPr>
          <w:rFonts w:ascii="Calibri" w:hAnsi="Calibri" w:cs="Times New Roman"/>
          <w:i/>
          <w:iCs/>
          <w:noProof/>
          <w:szCs w:val="24"/>
        </w:rPr>
        <w:t>Science</w:t>
      </w:r>
      <w:r w:rsidRPr="00C57A7E">
        <w:rPr>
          <w:rFonts w:ascii="Calibri" w:hAnsi="Calibri" w:cs="Times New Roman"/>
          <w:noProof/>
          <w:szCs w:val="24"/>
        </w:rPr>
        <w:t>, 305(5689), pp. 1437–1441. doi: 10.1126/science.1102513.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Lomate, P. R. and Bonning, B. C. (2016) ‘Distinct properties of proteases and nucleases in the gut, salivary gland and saliva of southern green stink bug, Nezara viridula’, </w:t>
      </w:r>
      <w:r w:rsidRPr="00C57A7E">
        <w:rPr>
          <w:rFonts w:ascii="Calibri" w:hAnsi="Calibri" w:cs="Times New Roman"/>
          <w:i/>
          <w:iCs/>
          <w:noProof/>
          <w:szCs w:val="24"/>
        </w:rPr>
        <w:t>Scientific Reports</w:t>
      </w:r>
      <w:r w:rsidRPr="00C57A7E">
        <w:rPr>
          <w:rFonts w:ascii="Calibri" w:hAnsi="Calibri" w:cs="Times New Roman"/>
          <w:noProof/>
          <w:szCs w:val="24"/>
        </w:rPr>
        <w:t>. Nature Publishing Group, 6(1), p. 27587. doi: 10.1038/srep27587.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Lozano, J. </w:t>
      </w:r>
      <w:r w:rsidRPr="00C57A7E">
        <w:rPr>
          <w:rFonts w:ascii="Calibri" w:hAnsi="Calibri" w:cs="Times New Roman"/>
          <w:i/>
          <w:iCs/>
          <w:noProof/>
          <w:szCs w:val="24"/>
        </w:rPr>
        <w:t>et al.</w:t>
      </w:r>
      <w:r w:rsidRPr="00C57A7E">
        <w:rPr>
          <w:rFonts w:ascii="Calibri" w:hAnsi="Calibri" w:cs="Times New Roman"/>
          <w:noProof/>
          <w:szCs w:val="24"/>
        </w:rPr>
        <w:t xml:space="preserve"> (2012) ‘Super-induction of Dicer-2 expression by alien double-stranded RNAs: an evolutionary ancient response to viral infection?’, </w:t>
      </w:r>
      <w:r w:rsidRPr="00C57A7E">
        <w:rPr>
          <w:rFonts w:ascii="Calibri" w:hAnsi="Calibri" w:cs="Times New Roman"/>
          <w:i/>
          <w:iCs/>
          <w:noProof/>
          <w:szCs w:val="24"/>
        </w:rPr>
        <w:t>Development Genes and Evolution</w:t>
      </w:r>
      <w:r w:rsidRPr="00C57A7E">
        <w:rPr>
          <w:rFonts w:ascii="Calibri" w:hAnsi="Calibri" w:cs="Times New Roman"/>
          <w:noProof/>
          <w:szCs w:val="24"/>
        </w:rPr>
        <w:t>. Springer-Verlag, 222(4), pp. 229–235. doi: 10.1007/s00427-012-0404-x.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Lynch, J. A. and Desplan, C. (2006) ‘A method for parental RNA interference in the wasp Nasonia vitripennis’, </w:t>
      </w:r>
      <w:r w:rsidRPr="00C57A7E">
        <w:rPr>
          <w:rFonts w:ascii="Calibri" w:hAnsi="Calibri" w:cs="Times New Roman"/>
          <w:i/>
          <w:iCs/>
          <w:noProof/>
          <w:szCs w:val="24"/>
        </w:rPr>
        <w:t>Nature Protocols</w:t>
      </w:r>
      <w:r w:rsidRPr="00C57A7E">
        <w:rPr>
          <w:rFonts w:ascii="Calibri" w:hAnsi="Calibri" w:cs="Times New Roman"/>
          <w:noProof/>
          <w:szCs w:val="24"/>
        </w:rPr>
        <w:t>, 1(1), pp. 486–494. doi: 10.1038/nprot.2006.70.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Ma, E. </w:t>
      </w:r>
      <w:r w:rsidRPr="00C57A7E">
        <w:rPr>
          <w:rFonts w:ascii="Calibri" w:hAnsi="Calibri" w:cs="Times New Roman"/>
          <w:i/>
          <w:iCs/>
          <w:noProof/>
          <w:szCs w:val="24"/>
        </w:rPr>
        <w:t>et al.</w:t>
      </w:r>
      <w:r w:rsidRPr="00C57A7E">
        <w:rPr>
          <w:rFonts w:ascii="Calibri" w:hAnsi="Calibri" w:cs="Times New Roman"/>
          <w:noProof/>
          <w:szCs w:val="24"/>
        </w:rPr>
        <w:t xml:space="preserve"> (2012) ‘Coordinated Activities of Human Dicer Domains in Regulatory RNA Processing’, </w:t>
      </w:r>
      <w:r w:rsidRPr="00C57A7E">
        <w:rPr>
          <w:rFonts w:ascii="Calibri" w:hAnsi="Calibri" w:cs="Times New Roman"/>
          <w:i/>
          <w:iCs/>
          <w:noProof/>
          <w:szCs w:val="24"/>
        </w:rPr>
        <w:t>Journal of Molecular Biology</w:t>
      </w:r>
      <w:r w:rsidRPr="00C57A7E">
        <w:rPr>
          <w:rFonts w:ascii="Calibri" w:hAnsi="Calibri" w:cs="Times New Roman"/>
          <w:noProof/>
          <w:szCs w:val="24"/>
        </w:rPr>
        <w:t>, 422(4), pp. 466–476. doi: 10.1016/j.jmb.2012.06.009.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Macrae, I. J. </w:t>
      </w:r>
      <w:r w:rsidRPr="00C57A7E">
        <w:rPr>
          <w:rFonts w:ascii="Calibri" w:hAnsi="Calibri" w:cs="Times New Roman"/>
          <w:i/>
          <w:iCs/>
          <w:noProof/>
          <w:szCs w:val="24"/>
        </w:rPr>
        <w:t>et al.</w:t>
      </w:r>
      <w:r w:rsidRPr="00C57A7E">
        <w:rPr>
          <w:rFonts w:ascii="Calibri" w:hAnsi="Calibri" w:cs="Times New Roman"/>
          <w:noProof/>
          <w:szCs w:val="24"/>
        </w:rPr>
        <w:t xml:space="preserve"> (2006) ‘Structural basis for double-stranded RNA processing by Dicer.’, </w:t>
      </w:r>
      <w:r w:rsidRPr="00C57A7E">
        <w:rPr>
          <w:rFonts w:ascii="Calibri" w:hAnsi="Calibri" w:cs="Times New Roman"/>
          <w:i/>
          <w:iCs/>
          <w:noProof/>
          <w:szCs w:val="24"/>
        </w:rPr>
        <w:t>Science (New York, N.Y.)</w:t>
      </w:r>
      <w:r w:rsidRPr="00C57A7E">
        <w:rPr>
          <w:rFonts w:ascii="Calibri" w:hAnsi="Calibri" w:cs="Times New Roman"/>
          <w:noProof/>
          <w:szCs w:val="24"/>
        </w:rPr>
        <w:t>. American Association for the Advancement of Science, 311(5758), pp. 195–8. doi: 10.1126/science.1121638.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Mao, Y. B. </w:t>
      </w:r>
      <w:r w:rsidRPr="00C57A7E">
        <w:rPr>
          <w:rFonts w:ascii="Calibri" w:hAnsi="Calibri" w:cs="Times New Roman"/>
          <w:i/>
          <w:iCs/>
          <w:noProof/>
          <w:szCs w:val="24"/>
        </w:rPr>
        <w:t>et al.</w:t>
      </w:r>
      <w:r w:rsidRPr="00C57A7E">
        <w:rPr>
          <w:rFonts w:ascii="Calibri" w:hAnsi="Calibri" w:cs="Times New Roman"/>
          <w:noProof/>
          <w:szCs w:val="24"/>
        </w:rPr>
        <w:t xml:space="preserve"> (2007) ‘Silencing a cotton bollworm P450 monooxygenase gene by plant-mediated RNAi impairs larval tolerance of gossypol’, </w:t>
      </w:r>
      <w:r w:rsidRPr="00C57A7E">
        <w:rPr>
          <w:rFonts w:ascii="Calibri" w:hAnsi="Calibri" w:cs="Times New Roman"/>
          <w:i/>
          <w:iCs/>
          <w:noProof/>
          <w:szCs w:val="24"/>
        </w:rPr>
        <w:t>Nature Biotechnology</w:t>
      </w:r>
      <w:r w:rsidRPr="00C57A7E">
        <w:rPr>
          <w:rFonts w:ascii="Calibri" w:hAnsi="Calibri" w:cs="Times New Roman"/>
          <w:noProof/>
          <w:szCs w:val="24"/>
        </w:rPr>
        <w:t>, 25(11), pp. 1307–1313. doi: 10.1038/nbt1352.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Marques, S. M. and Esteves da Silva, J. C. G. (2009) ‘Firefly bioluminescence: A mechanistic approach of luciferase catalyzed reactions’, </w:t>
      </w:r>
      <w:r w:rsidRPr="00C57A7E">
        <w:rPr>
          <w:rFonts w:ascii="Calibri" w:hAnsi="Calibri" w:cs="Times New Roman"/>
          <w:i/>
          <w:iCs/>
          <w:noProof/>
          <w:szCs w:val="24"/>
        </w:rPr>
        <w:t>IUBMB Life</w:t>
      </w:r>
      <w:r w:rsidRPr="00C57A7E">
        <w:rPr>
          <w:rFonts w:ascii="Calibri" w:hAnsi="Calibri" w:cs="Times New Roman"/>
          <w:noProof/>
          <w:szCs w:val="24"/>
        </w:rPr>
        <w:t>, 61(1), pp. 6–17. doi: 10.1002/iub.134.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Martín, D. </w:t>
      </w:r>
      <w:r w:rsidRPr="00C57A7E">
        <w:rPr>
          <w:rFonts w:ascii="Calibri" w:hAnsi="Calibri" w:cs="Times New Roman"/>
          <w:i/>
          <w:iCs/>
          <w:noProof/>
          <w:szCs w:val="24"/>
        </w:rPr>
        <w:t>et al.</w:t>
      </w:r>
      <w:r w:rsidRPr="00C57A7E">
        <w:rPr>
          <w:rFonts w:ascii="Calibri" w:hAnsi="Calibri" w:cs="Times New Roman"/>
          <w:noProof/>
          <w:szCs w:val="24"/>
        </w:rPr>
        <w:t xml:space="preserve"> (2006) ‘RNAi studies reveal a conserved role for RXR in molting in the cockroach Blattella germanica’, </w:t>
      </w:r>
      <w:r w:rsidRPr="00C57A7E">
        <w:rPr>
          <w:rFonts w:ascii="Calibri" w:hAnsi="Calibri" w:cs="Times New Roman"/>
          <w:i/>
          <w:iCs/>
          <w:noProof/>
          <w:szCs w:val="24"/>
        </w:rPr>
        <w:t>Journal of Insect Physiology</w:t>
      </w:r>
      <w:r w:rsidRPr="00C57A7E">
        <w:rPr>
          <w:rFonts w:ascii="Calibri" w:hAnsi="Calibri" w:cs="Times New Roman"/>
          <w:noProof/>
          <w:szCs w:val="24"/>
        </w:rPr>
        <w:t>, 52(4), pp. 410–416. doi: 10.1016/j.jinsphys.2005.12.002.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Masliah, G., Barraud, P. and Allain, F. H.-T. (2013) ‘RNA recognition by double-stranded RNA binding domains: a matter of shape and sequence.’, </w:t>
      </w:r>
      <w:r w:rsidRPr="00C57A7E">
        <w:rPr>
          <w:rFonts w:ascii="Calibri" w:hAnsi="Calibri" w:cs="Times New Roman"/>
          <w:i/>
          <w:iCs/>
          <w:noProof/>
          <w:szCs w:val="24"/>
        </w:rPr>
        <w:t>Cellular and molecular life sciences : CMLS</w:t>
      </w:r>
      <w:r w:rsidRPr="00C57A7E">
        <w:rPr>
          <w:rFonts w:ascii="Calibri" w:hAnsi="Calibri" w:cs="Times New Roman"/>
          <w:noProof/>
          <w:szCs w:val="24"/>
        </w:rPr>
        <w:t>. Inserm, 70(11), pp. 1875–95. doi: 10.1007/s00018-012-1119-x.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Massee, A. M. (1954) </w:t>
      </w:r>
      <w:r w:rsidRPr="00C57A7E">
        <w:rPr>
          <w:rFonts w:ascii="Calibri" w:hAnsi="Calibri" w:cs="Times New Roman"/>
          <w:i/>
          <w:iCs/>
          <w:noProof/>
          <w:szCs w:val="24"/>
        </w:rPr>
        <w:t>The Pests of Fruit and Hops.</w:t>
      </w:r>
      <w:r w:rsidRPr="00C57A7E">
        <w:rPr>
          <w:rFonts w:ascii="Calibri" w:hAnsi="Calibri" w:cs="Times New Roman"/>
          <w:noProof/>
          <w:szCs w:val="24"/>
        </w:rPr>
        <w:t xml:space="preserve"> 3rd Editio. Letchworth: Crosby Lockwood &amp; Son Ltd.</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McEwan, D. L., Weisman, A. S. and Hunter, C. P. (2012) ‘Uptake of extracellular double-stranded RNA by SID-2.’, </w:t>
      </w:r>
      <w:r w:rsidRPr="00C57A7E">
        <w:rPr>
          <w:rFonts w:ascii="Calibri" w:hAnsi="Calibri" w:cs="Times New Roman"/>
          <w:i/>
          <w:iCs/>
          <w:noProof/>
          <w:szCs w:val="24"/>
        </w:rPr>
        <w:t>Molecular cell</w:t>
      </w:r>
      <w:r w:rsidRPr="00C57A7E">
        <w:rPr>
          <w:rFonts w:ascii="Calibri" w:hAnsi="Calibri" w:cs="Times New Roman"/>
          <w:noProof/>
          <w:szCs w:val="24"/>
        </w:rPr>
        <w:t>. Elsevier, 47(5), pp. 746–54. doi: 10.1016/j.molcel.2012.07.014.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Medrano, E. G., Esquivel, J. F. and Bell, A. A. (2007) ‘Transmission of cotton seed and boll rotting bacteria by the southern green stink bug (Nezara viridula L.)’, </w:t>
      </w:r>
      <w:r w:rsidRPr="00C57A7E">
        <w:rPr>
          <w:rFonts w:ascii="Calibri" w:hAnsi="Calibri" w:cs="Times New Roman"/>
          <w:i/>
          <w:iCs/>
          <w:noProof/>
          <w:szCs w:val="24"/>
        </w:rPr>
        <w:t>Journal of Applied Microbiology</w:t>
      </w:r>
      <w:r w:rsidRPr="00C57A7E">
        <w:rPr>
          <w:rFonts w:ascii="Calibri" w:hAnsi="Calibri" w:cs="Times New Roman"/>
          <w:noProof/>
          <w:szCs w:val="24"/>
        </w:rPr>
        <w:t>. John Wiley &amp; Sons, Ltd (10.1111), 103(2), pp. 436–444. doi: 10.1111/j.1365-2672.2006.03262.x.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Meis, J. E. and Chen, F. (2002) ‘In Vitro Synthesis of 2’-Fluoro-Modified RNA Transcripts That Are Completely Resistant to RNase A Digestion Using the DuraScribe</w:t>
      </w:r>
      <w:r w:rsidRPr="00C57A7E">
        <w:rPr>
          <w:rFonts w:ascii="Calibri" w:hAnsi="Calibri" w:cs="Times New Roman"/>
          <w:noProof/>
          <w:szCs w:val="24"/>
          <w:vertAlign w:val="superscript"/>
        </w:rPr>
        <w:t>TM</w:t>
      </w:r>
      <w:r w:rsidRPr="00C57A7E">
        <w:rPr>
          <w:rFonts w:ascii="Calibri" w:hAnsi="Calibri" w:cs="Times New Roman"/>
          <w:noProof/>
          <w:szCs w:val="24"/>
        </w:rPr>
        <w:t xml:space="preserve"> T7 Transcription Kit’, </w:t>
      </w:r>
      <w:r w:rsidRPr="00C57A7E">
        <w:rPr>
          <w:rFonts w:ascii="Calibri" w:hAnsi="Calibri" w:cs="Times New Roman"/>
          <w:i/>
          <w:iCs/>
          <w:noProof/>
          <w:szCs w:val="24"/>
        </w:rPr>
        <w:t>Epicentre Forum</w:t>
      </w:r>
      <w:r w:rsidRPr="00C57A7E">
        <w:rPr>
          <w:rFonts w:ascii="Calibri" w:hAnsi="Calibri" w:cs="Times New Roman"/>
          <w:noProof/>
          <w:szCs w:val="24"/>
        </w:rPr>
        <w:t>, 9(1), pp. 10–11. Available at: www.epicentre.com/durascribe.asp (Accessed: 22 August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Mikkola, S., Lönnberg, T. and Lönnberg, H. (2018) ‘Phosphodiester models for cleavage of nucleic acids.’, </w:t>
      </w:r>
      <w:r w:rsidRPr="00C57A7E">
        <w:rPr>
          <w:rFonts w:ascii="Calibri" w:hAnsi="Calibri" w:cs="Times New Roman"/>
          <w:i/>
          <w:iCs/>
          <w:noProof/>
          <w:szCs w:val="24"/>
        </w:rPr>
        <w:t>Beilstein journal of organic chemistry</w:t>
      </w:r>
      <w:r w:rsidRPr="00C57A7E">
        <w:rPr>
          <w:rFonts w:ascii="Calibri" w:hAnsi="Calibri" w:cs="Times New Roman"/>
          <w:noProof/>
          <w:szCs w:val="24"/>
        </w:rPr>
        <w:t>. Beilstein-Institut, 14, pp. 803–837. doi: 10.3762/bjoc.14.68.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Miller, S. C. </w:t>
      </w:r>
      <w:r w:rsidRPr="00C57A7E">
        <w:rPr>
          <w:rFonts w:ascii="Calibri" w:hAnsi="Calibri" w:cs="Times New Roman"/>
          <w:i/>
          <w:iCs/>
          <w:noProof/>
          <w:szCs w:val="24"/>
        </w:rPr>
        <w:t>et al.</w:t>
      </w:r>
      <w:r w:rsidRPr="00C57A7E">
        <w:rPr>
          <w:rFonts w:ascii="Calibri" w:hAnsi="Calibri" w:cs="Times New Roman"/>
          <w:noProof/>
          <w:szCs w:val="24"/>
        </w:rPr>
        <w:t xml:space="preserve"> (2012) ‘Dissecting Systemic RNA Interference in the Red Flour Beetle Tribolium castaneum: Parameters Affecting the Efficiency of RNAi’, </w:t>
      </w:r>
      <w:r w:rsidRPr="00C57A7E">
        <w:rPr>
          <w:rFonts w:ascii="Calibri" w:hAnsi="Calibri" w:cs="Times New Roman"/>
          <w:i/>
          <w:iCs/>
          <w:noProof/>
          <w:szCs w:val="24"/>
        </w:rPr>
        <w:t>PLoS ONE</w:t>
      </w:r>
      <w:r w:rsidRPr="00C57A7E">
        <w:rPr>
          <w:rFonts w:ascii="Calibri" w:hAnsi="Calibri" w:cs="Times New Roman"/>
          <w:noProof/>
          <w:szCs w:val="24"/>
        </w:rPr>
        <w:t>. Edited by A. P. McGregor, 7(10), p. e47431. doi: 10.1371/journal.pone.0047431.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lastRenderedPageBreak/>
        <w:t xml:space="preserve">Min, D. </w:t>
      </w:r>
      <w:r w:rsidRPr="00C57A7E">
        <w:rPr>
          <w:rFonts w:ascii="Calibri" w:hAnsi="Calibri" w:cs="Times New Roman"/>
          <w:i/>
          <w:iCs/>
          <w:noProof/>
          <w:szCs w:val="24"/>
        </w:rPr>
        <w:t>et al.</w:t>
      </w:r>
      <w:r w:rsidRPr="00C57A7E">
        <w:rPr>
          <w:rFonts w:ascii="Calibri" w:hAnsi="Calibri" w:cs="Times New Roman"/>
          <w:noProof/>
          <w:szCs w:val="24"/>
        </w:rPr>
        <w:t xml:space="preserve"> (2007) ‘“In-line attack” conformational effect plays a modest role in an enzyme-catalyzed RNA cleavage: a free energy simulation study.’,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35(12), pp. 4001–6. doi: 10.1093/nar/gkm394.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Misquitta, L. and Paterson, B. M. (1999) ‘Targeted disruption of gene function in Drosophila by RNA interference (RNA-i): a role for nautilus in embryonic somatic muscle formation.’, </w:t>
      </w:r>
      <w:r w:rsidRPr="00C57A7E">
        <w:rPr>
          <w:rFonts w:ascii="Calibri" w:hAnsi="Calibri" w:cs="Times New Roman"/>
          <w:i/>
          <w:iCs/>
          <w:noProof/>
          <w:szCs w:val="24"/>
        </w:rPr>
        <w:t>Proceedings of the National Academy of Sciences of the United States of America</w:t>
      </w:r>
      <w:r w:rsidRPr="00C57A7E">
        <w:rPr>
          <w:rFonts w:ascii="Calibri" w:hAnsi="Calibri" w:cs="Times New Roman"/>
          <w:noProof/>
          <w:szCs w:val="24"/>
        </w:rPr>
        <w:t>. National Academy of Sciences, 96(4), pp. 1451–6. doi: 10.1073/pnas.96.4.1451.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Mitter, N. </w:t>
      </w:r>
      <w:r w:rsidRPr="00C57A7E">
        <w:rPr>
          <w:rFonts w:ascii="Calibri" w:hAnsi="Calibri" w:cs="Times New Roman"/>
          <w:i/>
          <w:iCs/>
          <w:noProof/>
          <w:szCs w:val="24"/>
        </w:rPr>
        <w:t>et al.</w:t>
      </w:r>
      <w:r w:rsidRPr="00C57A7E">
        <w:rPr>
          <w:rFonts w:ascii="Calibri" w:hAnsi="Calibri" w:cs="Times New Roman"/>
          <w:noProof/>
          <w:szCs w:val="24"/>
        </w:rPr>
        <w:t xml:space="preserve"> (2017) ‘Clay nanosheets for topical delivery of RNAi for sustained protection against plant viruses’, </w:t>
      </w:r>
      <w:r w:rsidRPr="00C57A7E">
        <w:rPr>
          <w:rFonts w:ascii="Calibri" w:hAnsi="Calibri" w:cs="Times New Roman"/>
          <w:i/>
          <w:iCs/>
          <w:noProof/>
          <w:szCs w:val="24"/>
        </w:rPr>
        <w:t>Nature Plants</w:t>
      </w:r>
      <w:r w:rsidRPr="00C57A7E">
        <w:rPr>
          <w:rFonts w:ascii="Calibri" w:hAnsi="Calibri" w:cs="Times New Roman"/>
          <w:noProof/>
          <w:szCs w:val="24"/>
        </w:rPr>
        <w:t>. Nature Publishing Group, 3(2), p. 16207. doi: 10.1038/nplants.2016.207.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Mogilicherla, K., Howell, J. L. and Palli, S. R. (2018) ‘Improving RNAi in the Brown Marmorated Stink Bug: Identification of target genes and reference genes for RT-qPCR’, </w:t>
      </w:r>
      <w:r w:rsidRPr="00C57A7E">
        <w:rPr>
          <w:rFonts w:ascii="Calibri" w:hAnsi="Calibri" w:cs="Times New Roman"/>
          <w:i/>
          <w:iCs/>
          <w:noProof/>
          <w:szCs w:val="24"/>
        </w:rPr>
        <w:t>Scientific Reports</w:t>
      </w:r>
      <w:r w:rsidRPr="00C57A7E">
        <w:rPr>
          <w:rFonts w:ascii="Calibri" w:hAnsi="Calibri" w:cs="Times New Roman"/>
          <w:noProof/>
          <w:szCs w:val="24"/>
        </w:rPr>
        <w:t>. Nature Publishing Group, 8(1), p. 3720. doi: 10.1038/s41598-018-22035-z.</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Mohr, S. E. (2014) ‘RNAi screening in Drosophila cells and in vivo.’, </w:t>
      </w:r>
      <w:r w:rsidRPr="00C57A7E">
        <w:rPr>
          <w:rFonts w:ascii="Calibri" w:hAnsi="Calibri" w:cs="Times New Roman"/>
          <w:i/>
          <w:iCs/>
          <w:noProof/>
          <w:szCs w:val="24"/>
        </w:rPr>
        <w:t>Methods (San Diego, Calif.)</w:t>
      </w:r>
      <w:r w:rsidRPr="00C57A7E">
        <w:rPr>
          <w:rFonts w:ascii="Calibri" w:hAnsi="Calibri" w:cs="Times New Roman"/>
          <w:noProof/>
          <w:szCs w:val="24"/>
        </w:rPr>
        <w:t>, 68(1), pp. 82–8. doi: 10.1016/j.ymeth.2014.02.018.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Monia, B. P. </w:t>
      </w:r>
      <w:r w:rsidRPr="00C57A7E">
        <w:rPr>
          <w:rFonts w:ascii="Calibri" w:hAnsi="Calibri" w:cs="Times New Roman"/>
          <w:i/>
          <w:iCs/>
          <w:noProof/>
          <w:szCs w:val="24"/>
        </w:rPr>
        <w:t>et al.</w:t>
      </w:r>
      <w:r w:rsidRPr="00C57A7E">
        <w:rPr>
          <w:rFonts w:ascii="Calibri" w:hAnsi="Calibri" w:cs="Times New Roman"/>
          <w:noProof/>
          <w:szCs w:val="24"/>
        </w:rPr>
        <w:t xml:space="preserve"> (1996) ‘Nuclease resistance and antisense activity of modified oligonucleotides targeted to Ha-ras.’, </w:t>
      </w:r>
      <w:r w:rsidRPr="00C57A7E">
        <w:rPr>
          <w:rFonts w:ascii="Calibri" w:hAnsi="Calibri" w:cs="Times New Roman"/>
          <w:i/>
          <w:iCs/>
          <w:noProof/>
          <w:szCs w:val="24"/>
        </w:rPr>
        <w:t>The Journal of biological chemistry</w:t>
      </w:r>
      <w:r w:rsidRPr="00C57A7E">
        <w:rPr>
          <w:rFonts w:ascii="Calibri" w:hAnsi="Calibri" w:cs="Times New Roman"/>
          <w:noProof/>
          <w:szCs w:val="24"/>
        </w:rPr>
        <w:t>. American Society for Biochemistry and Molecular Biology, 271(24), pp. 14533–40. doi: 10.1074/jbc.271.24.14533.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Muhonen, P. </w:t>
      </w:r>
      <w:r w:rsidRPr="00C57A7E">
        <w:rPr>
          <w:rFonts w:ascii="Calibri" w:hAnsi="Calibri" w:cs="Times New Roman"/>
          <w:i/>
          <w:iCs/>
          <w:noProof/>
          <w:szCs w:val="24"/>
        </w:rPr>
        <w:t>et al.</w:t>
      </w:r>
      <w:r w:rsidRPr="00C57A7E">
        <w:rPr>
          <w:rFonts w:ascii="Calibri" w:hAnsi="Calibri" w:cs="Times New Roman"/>
          <w:noProof/>
          <w:szCs w:val="24"/>
        </w:rPr>
        <w:t xml:space="preserve"> (2007) ‘RNA Interference Tolerates 2′-Fluoro Modifications at the Argonaute2 Cleavage Site’, </w:t>
      </w:r>
      <w:r w:rsidRPr="00C57A7E">
        <w:rPr>
          <w:rFonts w:ascii="Calibri" w:hAnsi="Calibri" w:cs="Times New Roman"/>
          <w:i/>
          <w:iCs/>
          <w:noProof/>
          <w:szCs w:val="24"/>
        </w:rPr>
        <w:t>Chemistry &amp; Biodiversity</w:t>
      </w:r>
      <w:r w:rsidRPr="00C57A7E">
        <w:rPr>
          <w:rFonts w:ascii="Calibri" w:hAnsi="Calibri" w:cs="Times New Roman"/>
          <w:noProof/>
          <w:szCs w:val="24"/>
        </w:rPr>
        <w:t>, 4(5), pp. 858–873. doi: 10.1002/cbdv.200790073.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Mukherjee, T., Schäfer, U. and Zeidler, M. P. (2006) ‘Identification of Drosophila genes modulating Janus kinase/signal transducer and activator of transcription signal transduction.’, </w:t>
      </w:r>
      <w:r w:rsidRPr="00C57A7E">
        <w:rPr>
          <w:rFonts w:ascii="Calibri" w:hAnsi="Calibri" w:cs="Times New Roman"/>
          <w:i/>
          <w:iCs/>
          <w:noProof/>
          <w:szCs w:val="24"/>
        </w:rPr>
        <w:t>Genetics</w:t>
      </w:r>
      <w:r w:rsidRPr="00C57A7E">
        <w:rPr>
          <w:rFonts w:ascii="Calibri" w:hAnsi="Calibri" w:cs="Times New Roman"/>
          <w:noProof/>
          <w:szCs w:val="24"/>
        </w:rPr>
        <w:t>. Genetics Society of America, 172(3), pp. 1683–97. doi: 10.1534/genetics.105.046904.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Müller, P. </w:t>
      </w:r>
      <w:r w:rsidRPr="00C57A7E">
        <w:rPr>
          <w:rFonts w:ascii="Calibri" w:hAnsi="Calibri" w:cs="Times New Roman"/>
          <w:i/>
          <w:iCs/>
          <w:noProof/>
          <w:szCs w:val="24"/>
        </w:rPr>
        <w:t>et al.</w:t>
      </w:r>
      <w:r w:rsidRPr="00C57A7E">
        <w:rPr>
          <w:rFonts w:ascii="Calibri" w:hAnsi="Calibri" w:cs="Times New Roman"/>
          <w:noProof/>
          <w:szCs w:val="24"/>
        </w:rPr>
        <w:t xml:space="preserve"> (2005) ‘Identification of JAK/STAT signalling components by genome-wide RNA interference.’, </w:t>
      </w:r>
      <w:r w:rsidRPr="00C57A7E">
        <w:rPr>
          <w:rFonts w:ascii="Calibri" w:hAnsi="Calibri" w:cs="Times New Roman"/>
          <w:i/>
          <w:iCs/>
          <w:noProof/>
          <w:szCs w:val="24"/>
        </w:rPr>
        <w:t>Nature</w:t>
      </w:r>
      <w:r w:rsidRPr="00C57A7E">
        <w:rPr>
          <w:rFonts w:ascii="Calibri" w:hAnsi="Calibri" w:cs="Times New Roman"/>
          <w:noProof/>
          <w:szCs w:val="24"/>
        </w:rPr>
        <w:t>, 436(7052), pp. 871–5. doi: 10.1038/nature03869.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Murphy, K. A. </w:t>
      </w:r>
      <w:r w:rsidRPr="00C57A7E">
        <w:rPr>
          <w:rFonts w:ascii="Calibri" w:hAnsi="Calibri" w:cs="Times New Roman"/>
          <w:i/>
          <w:iCs/>
          <w:noProof/>
          <w:szCs w:val="24"/>
        </w:rPr>
        <w:t>et al.</w:t>
      </w:r>
      <w:r w:rsidRPr="00C57A7E">
        <w:rPr>
          <w:rFonts w:ascii="Calibri" w:hAnsi="Calibri" w:cs="Times New Roman"/>
          <w:noProof/>
          <w:szCs w:val="24"/>
        </w:rPr>
        <w:t xml:space="preserve"> (2016) ‘Ingestion of genetically modified yeast symbiont reduces fitness of an insect pest via RNA interference’, </w:t>
      </w:r>
      <w:r w:rsidRPr="00C57A7E">
        <w:rPr>
          <w:rFonts w:ascii="Calibri" w:hAnsi="Calibri" w:cs="Times New Roman"/>
          <w:i/>
          <w:iCs/>
          <w:noProof/>
          <w:szCs w:val="24"/>
        </w:rPr>
        <w:t>Scientific Reports</w:t>
      </w:r>
      <w:r w:rsidRPr="00C57A7E">
        <w:rPr>
          <w:rFonts w:ascii="Calibri" w:hAnsi="Calibri" w:cs="Times New Roman"/>
          <w:noProof/>
          <w:szCs w:val="24"/>
        </w:rPr>
        <w:t>. Nature Publishing Group, 6(1), p. 22587. doi: 10.1038/srep22587.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Mysore, K. </w:t>
      </w:r>
      <w:r w:rsidRPr="00C57A7E">
        <w:rPr>
          <w:rFonts w:ascii="Calibri" w:hAnsi="Calibri" w:cs="Times New Roman"/>
          <w:i/>
          <w:iCs/>
          <w:noProof/>
          <w:szCs w:val="24"/>
        </w:rPr>
        <w:t>et al.</w:t>
      </w:r>
      <w:r w:rsidRPr="00C57A7E">
        <w:rPr>
          <w:rFonts w:ascii="Calibri" w:hAnsi="Calibri" w:cs="Times New Roman"/>
          <w:noProof/>
          <w:szCs w:val="24"/>
        </w:rPr>
        <w:t xml:space="preserve"> (2017) ‘Yeast interfering RNA larvicides targeting neural genes induce high rates of Anopheles larval mortality’, </w:t>
      </w:r>
      <w:r w:rsidRPr="00C57A7E">
        <w:rPr>
          <w:rFonts w:ascii="Calibri" w:hAnsi="Calibri" w:cs="Times New Roman"/>
          <w:i/>
          <w:iCs/>
          <w:noProof/>
          <w:szCs w:val="24"/>
        </w:rPr>
        <w:t>Malaria Journal</w:t>
      </w:r>
      <w:r w:rsidRPr="00C57A7E">
        <w:rPr>
          <w:rFonts w:ascii="Calibri" w:hAnsi="Calibri" w:cs="Times New Roman"/>
          <w:noProof/>
          <w:szCs w:val="24"/>
        </w:rPr>
        <w:t>. BioMed Central, 16(1), p. 461. doi: 10.1186/s12936-017-2112-5.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Neumann, B. </w:t>
      </w:r>
      <w:r w:rsidRPr="00C57A7E">
        <w:rPr>
          <w:rFonts w:ascii="Calibri" w:hAnsi="Calibri" w:cs="Times New Roman"/>
          <w:i/>
          <w:iCs/>
          <w:noProof/>
          <w:szCs w:val="24"/>
        </w:rPr>
        <w:t>et al.</w:t>
      </w:r>
      <w:r w:rsidRPr="00C57A7E">
        <w:rPr>
          <w:rFonts w:ascii="Calibri" w:hAnsi="Calibri" w:cs="Times New Roman"/>
          <w:noProof/>
          <w:szCs w:val="24"/>
        </w:rPr>
        <w:t xml:space="preserve"> (2006) ‘High-throughput RNAi screening by time-lapse imaging of live human cells.’, </w:t>
      </w:r>
      <w:r w:rsidRPr="00C57A7E">
        <w:rPr>
          <w:rFonts w:ascii="Calibri" w:hAnsi="Calibri" w:cs="Times New Roman"/>
          <w:i/>
          <w:iCs/>
          <w:noProof/>
          <w:szCs w:val="24"/>
        </w:rPr>
        <w:t>Nature methods</w:t>
      </w:r>
      <w:r w:rsidRPr="00C57A7E">
        <w:rPr>
          <w:rFonts w:ascii="Calibri" w:hAnsi="Calibri" w:cs="Times New Roman"/>
          <w:noProof/>
          <w:szCs w:val="24"/>
        </w:rPr>
        <w:t>, 3(5), pp. 385–90. doi: 10.1038/nmeth876.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Niccoli, S. </w:t>
      </w:r>
      <w:r w:rsidRPr="00C57A7E">
        <w:rPr>
          <w:rFonts w:ascii="Calibri" w:hAnsi="Calibri" w:cs="Times New Roman"/>
          <w:i/>
          <w:iCs/>
          <w:noProof/>
          <w:szCs w:val="24"/>
        </w:rPr>
        <w:t>et al.</w:t>
      </w:r>
      <w:r w:rsidRPr="00C57A7E">
        <w:rPr>
          <w:rFonts w:ascii="Calibri" w:hAnsi="Calibri" w:cs="Times New Roman"/>
          <w:noProof/>
          <w:szCs w:val="24"/>
        </w:rPr>
        <w:t xml:space="preserve"> (2017) ‘Non-radioactive 2-deoxy-2-fluoro-D-glucose inhibits glucose uptake in xenograft tumours and sensitizes HeLa cells to doxorubicin in vitro’, </w:t>
      </w:r>
      <w:r w:rsidRPr="00C57A7E">
        <w:rPr>
          <w:rFonts w:ascii="Calibri" w:hAnsi="Calibri" w:cs="Times New Roman"/>
          <w:i/>
          <w:iCs/>
          <w:noProof/>
          <w:szCs w:val="24"/>
        </w:rPr>
        <w:t>PLOS ONE</w:t>
      </w:r>
      <w:r w:rsidRPr="00C57A7E">
        <w:rPr>
          <w:rFonts w:ascii="Calibri" w:hAnsi="Calibri" w:cs="Times New Roman"/>
          <w:noProof/>
          <w:szCs w:val="24"/>
        </w:rPr>
        <w:t>. Edited by R. Moreno-Sanchez. Public Library of Science, 12(11), p. e0187584. doi: 10.1371/journal.pone.0187584.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Nicholson, A. W. </w:t>
      </w:r>
      <w:r w:rsidRPr="00C57A7E">
        <w:rPr>
          <w:rFonts w:ascii="Calibri" w:hAnsi="Calibri" w:cs="Times New Roman"/>
          <w:i/>
          <w:iCs/>
          <w:noProof/>
          <w:szCs w:val="24"/>
        </w:rPr>
        <w:t>et al.</w:t>
      </w:r>
      <w:r w:rsidRPr="00C57A7E">
        <w:rPr>
          <w:rFonts w:ascii="Calibri" w:hAnsi="Calibri" w:cs="Times New Roman"/>
          <w:noProof/>
          <w:szCs w:val="24"/>
        </w:rPr>
        <w:t xml:space="preserve"> (1988) ‘Accurate in vitro cleavage by RNase III of phosphorothioate-substituted RNA processing signals in bacteriophage T7 early mRNA.’,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16(4), pp. 1577–91. Available at: http://www.ncbi.nlm.nih.gov/pubmed/3279395 (Accessed: 4 January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Nicholson, A. W. (2014) ‘Ribonuclease III mechanisms of double-stranded RNA cleavage.’, </w:t>
      </w:r>
      <w:r w:rsidRPr="00C57A7E">
        <w:rPr>
          <w:rFonts w:ascii="Calibri" w:hAnsi="Calibri" w:cs="Times New Roman"/>
          <w:i/>
          <w:iCs/>
          <w:noProof/>
          <w:szCs w:val="24"/>
        </w:rPr>
        <w:t>Wiley interdisciplinary reviews. RNA</w:t>
      </w:r>
      <w:r w:rsidRPr="00C57A7E">
        <w:rPr>
          <w:rFonts w:ascii="Calibri" w:hAnsi="Calibri" w:cs="Times New Roman"/>
          <w:noProof/>
          <w:szCs w:val="24"/>
        </w:rPr>
        <w:t>. Wiley-Blackwell, 5(1), pp. 31–48. doi: 10.1002/wrna.1195.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Nicolopoulou-Stamati, P. </w:t>
      </w:r>
      <w:r w:rsidRPr="00C57A7E">
        <w:rPr>
          <w:rFonts w:ascii="Calibri" w:hAnsi="Calibri" w:cs="Times New Roman"/>
          <w:i/>
          <w:iCs/>
          <w:noProof/>
          <w:szCs w:val="24"/>
        </w:rPr>
        <w:t>et al.</w:t>
      </w:r>
      <w:r w:rsidRPr="00C57A7E">
        <w:rPr>
          <w:rFonts w:ascii="Calibri" w:hAnsi="Calibri" w:cs="Times New Roman"/>
          <w:noProof/>
          <w:szCs w:val="24"/>
        </w:rPr>
        <w:t xml:space="preserve"> (2016) ‘Chemical Pesticides and Human Health: The Urgent Need for a New Concept in Agriculture.’, </w:t>
      </w:r>
      <w:r w:rsidRPr="00C57A7E">
        <w:rPr>
          <w:rFonts w:ascii="Calibri" w:hAnsi="Calibri" w:cs="Times New Roman"/>
          <w:i/>
          <w:iCs/>
          <w:noProof/>
          <w:szCs w:val="24"/>
        </w:rPr>
        <w:t>Frontiers in public health</w:t>
      </w:r>
      <w:r w:rsidRPr="00C57A7E">
        <w:rPr>
          <w:rFonts w:ascii="Calibri" w:hAnsi="Calibri" w:cs="Times New Roman"/>
          <w:noProof/>
          <w:szCs w:val="24"/>
        </w:rPr>
        <w:t>. Frontiers Media SA, 4, p. 148. doi: 10.3389/fpubh.2016.00148.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lastRenderedPageBreak/>
        <w:t xml:space="preserve">Nwokeoji, A. O., Kilby, P. M., </w:t>
      </w:r>
      <w:r w:rsidRPr="00C57A7E">
        <w:rPr>
          <w:rFonts w:ascii="Calibri" w:hAnsi="Calibri" w:cs="Times New Roman"/>
          <w:i/>
          <w:iCs/>
          <w:noProof/>
          <w:szCs w:val="24"/>
        </w:rPr>
        <w:t>et al.</w:t>
      </w:r>
      <w:r w:rsidRPr="00C57A7E">
        <w:rPr>
          <w:rFonts w:ascii="Calibri" w:hAnsi="Calibri" w:cs="Times New Roman"/>
          <w:noProof/>
          <w:szCs w:val="24"/>
        </w:rPr>
        <w:t xml:space="preserve"> (2017) ‘Accurate Quantification of Nucleic Acids Using Hypochromicity Measurements in Conjunction with UV Spectrophotometry’, </w:t>
      </w:r>
      <w:r w:rsidRPr="00C57A7E">
        <w:rPr>
          <w:rFonts w:ascii="Calibri" w:hAnsi="Calibri" w:cs="Times New Roman"/>
          <w:i/>
          <w:iCs/>
          <w:noProof/>
          <w:szCs w:val="24"/>
        </w:rPr>
        <w:t>Analytical Chemistry</w:t>
      </w:r>
      <w:r w:rsidRPr="00C57A7E">
        <w:rPr>
          <w:rFonts w:ascii="Calibri" w:hAnsi="Calibri" w:cs="Times New Roman"/>
          <w:noProof/>
          <w:szCs w:val="24"/>
        </w:rPr>
        <w:t>, 89(24), pp. 13567–13574. doi: 10.1021/acs.analchem.7b04000.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Nwokeoji, A. O., Kung, A.-W., </w:t>
      </w:r>
      <w:r w:rsidRPr="00C57A7E">
        <w:rPr>
          <w:rFonts w:ascii="Calibri" w:hAnsi="Calibri" w:cs="Times New Roman"/>
          <w:i/>
          <w:iCs/>
          <w:noProof/>
          <w:szCs w:val="24"/>
        </w:rPr>
        <w:t>et al.</w:t>
      </w:r>
      <w:r w:rsidRPr="00C57A7E">
        <w:rPr>
          <w:rFonts w:ascii="Calibri" w:hAnsi="Calibri" w:cs="Times New Roman"/>
          <w:noProof/>
          <w:szCs w:val="24"/>
        </w:rPr>
        <w:t xml:space="preserve"> (2017) ‘Purification and characterisation of dsRNA using ion pair reverse phase chromatography and mass spectrometry’, </w:t>
      </w:r>
      <w:r w:rsidRPr="00C57A7E">
        <w:rPr>
          <w:rFonts w:ascii="Calibri" w:hAnsi="Calibri" w:cs="Times New Roman"/>
          <w:i/>
          <w:iCs/>
          <w:noProof/>
          <w:szCs w:val="24"/>
        </w:rPr>
        <w:t>Journal of Chromatography A</w:t>
      </w:r>
      <w:r w:rsidRPr="00C57A7E">
        <w:rPr>
          <w:rFonts w:ascii="Calibri" w:hAnsi="Calibri" w:cs="Times New Roman"/>
          <w:noProof/>
          <w:szCs w:val="24"/>
        </w:rPr>
        <w:t>. Elsevier, 1484, pp. 14–25. doi: 10.1016/J.CHROMA.2016.12.062.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Ogura, T. </w:t>
      </w:r>
      <w:r w:rsidRPr="00C57A7E">
        <w:rPr>
          <w:rFonts w:ascii="Calibri" w:hAnsi="Calibri" w:cs="Times New Roman"/>
          <w:i/>
          <w:iCs/>
          <w:noProof/>
          <w:szCs w:val="24"/>
        </w:rPr>
        <w:t>et al.</w:t>
      </w:r>
      <w:r w:rsidRPr="00C57A7E">
        <w:rPr>
          <w:rFonts w:ascii="Calibri" w:hAnsi="Calibri" w:cs="Times New Roman"/>
          <w:noProof/>
          <w:szCs w:val="24"/>
        </w:rPr>
        <w:t xml:space="preserve"> (2012) ‘Quantitative evaluation of the molting hormone activity in coleopteran cells established from the Colorado potato beetle, Leptinotarsa decemlineata’, </w:t>
      </w:r>
      <w:r w:rsidRPr="00C57A7E">
        <w:rPr>
          <w:rFonts w:ascii="Calibri" w:hAnsi="Calibri" w:cs="Times New Roman"/>
          <w:i/>
          <w:iCs/>
          <w:noProof/>
          <w:szCs w:val="24"/>
        </w:rPr>
        <w:t>Pesticide Biochemistry and Physiology</w:t>
      </w:r>
      <w:r w:rsidRPr="00C57A7E">
        <w:rPr>
          <w:rFonts w:ascii="Calibri" w:hAnsi="Calibri" w:cs="Times New Roman"/>
          <w:noProof/>
          <w:szCs w:val="24"/>
        </w:rPr>
        <w:t>. Academic Press, 104(1), pp. 1–8. doi: 10.1016/J.PESTBP.2012.06.009.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Okamura, K. </w:t>
      </w:r>
      <w:r w:rsidRPr="00C57A7E">
        <w:rPr>
          <w:rFonts w:ascii="Calibri" w:hAnsi="Calibri" w:cs="Times New Roman"/>
          <w:i/>
          <w:iCs/>
          <w:noProof/>
          <w:szCs w:val="24"/>
        </w:rPr>
        <w:t>et al.</w:t>
      </w:r>
      <w:r w:rsidRPr="00C57A7E">
        <w:rPr>
          <w:rFonts w:ascii="Calibri" w:hAnsi="Calibri" w:cs="Times New Roman"/>
          <w:noProof/>
          <w:szCs w:val="24"/>
        </w:rPr>
        <w:t xml:space="preserve"> (2004) ‘Distinct roles for Argonaute proteins in small RNA-directed RNA cleavage pathways’, </w:t>
      </w:r>
      <w:r w:rsidRPr="00C57A7E">
        <w:rPr>
          <w:rFonts w:ascii="Calibri" w:hAnsi="Calibri" w:cs="Times New Roman"/>
          <w:i/>
          <w:iCs/>
          <w:noProof/>
          <w:szCs w:val="24"/>
        </w:rPr>
        <w:t>Genes &amp; Development</w:t>
      </w:r>
      <w:r w:rsidRPr="00C57A7E">
        <w:rPr>
          <w:rFonts w:ascii="Calibri" w:hAnsi="Calibri" w:cs="Times New Roman"/>
          <w:noProof/>
          <w:szCs w:val="24"/>
        </w:rPr>
        <w:t>, 18(14), pp. 1655–1666. doi: 10.1101/gad.1210204.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Pallan, P. S. </w:t>
      </w:r>
      <w:r w:rsidRPr="00C57A7E">
        <w:rPr>
          <w:rFonts w:ascii="Calibri" w:hAnsi="Calibri" w:cs="Times New Roman"/>
          <w:i/>
          <w:iCs/>
          <w:noProof/>
          <w:szCs w:val="24"/>
        </w:rPr>
        <w:t>et al.</w:t>
      </w:r>
      <w:r w:rsidRPr="00C57A7E">
        <w:rPr>
          <w:rFonts w:ascii="Calibri" w:hAnsi="Calibri" w:cs="Times New Roman"/>
          <w:noProof/>
          <w:szCs w:val="24"/>
        </w:rPr>
        <w:t xml:space="preserve"> (2011) ‘Unexpected origins of the enhanced pairing affinity of 2’-fluoro-modified RNA.’,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39(8), pp. 3482–95. doi: 10.1093/nar/gkq1270.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Pang, D., Thierry, A. R. and Dritschilo, A. (2015) ‘DNA studies using atomic force microscopy: capabilities for measurement of short DNA fragments.’, </w:t>
      </w:r>
      <w:r w:rsidRPr="00C57A7E">
        <w:rPr>
          <w:rFonts w:ascii="Calibri" w:hAnsi="Calibri" w:cs="Times New Roman"/>
          <w:i/>
          <w:iCs/>
          <w:noProof/>
          <w:szCs w:val="24"/>
        </w:rPr>
        <w:t>Frontiers in molecular biosciences</w:t>
      </w:r>
      <w:r w:rsidRPr="00C57A7E">
        <w:rPr>
          <w:rFonts w:ascii="Calibri" w:hAnsi="Calibri" w:cs="Times New Roman"/>
          <w:noProof/>
          <w:szCs w:val="24"/>
        </w:rPr>
        <w:t>. Frontiers Media SA, 2, p. 1. doi: 10.3389/fmolb.2015.00001.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Park, J.-E. </w:t>
      </w:r>
      <w:r w:rsidRPr="00C57A7E">
        <w:rPr>
          <w:rFonts w:ascii="Calibri" w:hAnsi="Calibri" w:cs="Times New Roman"/>
          <w:i/>
          <w:iCs/>
          <w:noProof/>
          <w:szCs w:val="24"/>
        </w:rPr>
        <w:t>et al.</w:t>
      </w:r>
      <w:r w:rsidRPr="00C57A7E">
        <w:rPr>
          <w:rFonts w:ascii="Calibri" w:hAnsi="Calibri" w:cs="Times New Roman"/>
          <w:noProof/>
          <w:szCs w:val="24"/>
        </w:rPr>
        <w:t xml:space="preserve"> (2011) ‘Dicer recognizes the 5’ end of RNA for efficient and accurate processing.’, </w:t>
      </w:r>
      <w:r w:rsidRPr="00C57A7E">
        <w:rPr>
          <w:rFonts w:ascii="Calibri" w:hAnsi="Calibri" w:cs="Times New Roman"/>
          <w:i/>
          <w:iCs/>
          <w:noProof/>
          <w:szCs w:val="24"/>
        </w:rPr>
        <w:t>Nature</w:t>
      </w:r>
      <w:r w:rsidRPr="00C57A7E">
        <w:rPr>
          <w:rFonts w:ascii="Calibri" w:hAnsi="Calibri" w:cs="Times New Roman"/>
          <w:noProof/>
          <w:szCs w:val="24"/>
        </w:rPr>
        <w:t>. NIH Public Access, 475(7355), pp. 201–5. doi: 10.1038/nature10198.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Parrish, S. </w:t>
      </w:r>
      <w:r w:rsidRPr="00C57A7E">
        <w:rPr>
          <w:rFonts w:ascii="Calibri" w:hAnsi="Calibri" w:cs="Times New Roman"/>
          <w:i/>
          <w:iCs/>
          <w:noProof/>
          <w:szCs w:val="24"/>
        </w:rPr>
        <w:t>et al.</w:t>
      </w:r>
      <w:r w:rsidRPr="00C57A7E">
        <w:rPr>
          <w:rFonts w:ascii="Calibri" w:hAnsi="Calibri" w:cs="Times New Roman"/>
          <w:noProof/>
          <w:szCs w:val="24"/>
        </w:rPr>
        <w:t xml:space="preserve"> (2000) ‘Functional anatomy of a dsRNA trigger: differential requirement for the two trigger strands in RNA interference.’, </w:t>
      </w:r>
      <w:r w:rsidRPr="00C57A7E">
        <w:rPr>
          <w:rFonts w:ascii="Calibri" w:hAnsi="Calibri" w:cs="Times New Roman"/>
          <w:i/>
          <w:iCs/>
          <w:noProof/>
          <w:szCs w:val="24"/>
        </w:rPr>
        <w:t>Molecular cell</w:t>
      </w:r>
      <w:r w:rsidRPr="00C57A7E">
        <w:rPr>
          <w:rFonts w:ascii="Calibri" w:hAnsi="Calibri" w:cs="Times New Roman"/>
          <w:noProof/>
          <w:szCs w:val="24"/>
        </w:rPr>
        <w:t>, 6(5), pp. 1077–87. Available at: http://www.ncbi.nlm.nih.gov/pubmed/11106747 (Accessed: 15 August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Patra, A. </w:t>
      </w:r>
      <w:r w:rsidRPr="00C57A7E">
        <w:rPr>
          <w:rFonts w:ascii="Calibri" w:hAnsi="Calibri" w:cs="Times New Roman"/>
          <w:i/>
          <w:iCs/>
          <w:noProof/>
          <w:szCs w:val="24"/>
        </w:rPr>
        <w:t>et al.</w:t>
      </w:r>
      <w:r w:rsidRPr="00C57A7E">
        <w:rPr>
          <w:rFonts w:ascii="Calibri" w:hAnsi="Calibri" w:cs="Times New Roman"/>
          <w:noProof/>
          <w:szCs w:val="24"/>
        </w:rPr>
        <w:t xml:space="preserve"> (2012) ‘2’-Fluoro RNA shows increased Watson-Crick H-bonding strength and stacking relative to RNA: evidence from NMR and thermodynamic data.’, </w:t>
      </w:r>
      <w:r w:rsidRPr="00C57A7E">
        <w:rPr>
          <w:rFonts w:ascii="Calibri" w:hAnsi="Calibri" w:cs="Times New Roman"/>
          <w:i/>
          <w:iCs/>
          <w:noProof/>
          <w:szCs w:val="24"/>
        </w:rPr>
        <w:t>Angewandte Chemie (International ed. in English)</w:t>
      </w:r>
      <w:r w:rsidRPr="00C57A7E">
        <w:rPr>
          <w:rFonts w:ascii="Calibri" w:hAnsi="Calibri" w:cs="Times New Roman"/>
          <w:noProof/>
          <w:szCs w:val="24"/>
        </w:rPr>
        <w:t>. NIH Public Access, 51(47), pp. 11863–6. doi: 10.1002/anie.201204946.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Peacock, H. </w:t>
      </w:r>
      <w:r w:rsidRPr="00C57A7E">
        <w:rPr>
          <w:rFonts w:ascii="Calibri" w:hAnsi="Calibri" w:cs="Times New Roman"/>
          <w:i/>
          <w:iCs/>
          <w:noProof/>
          <w:szCs w:val="24"/>
        </w:rPr>
        <w:t>et al.</w:t>
      </w:r>
      <w:r w:rsidRPr="00C57A7E">
        <w:rPr>
          <w:rFonts w:ascii="Calibri" w:hAnsi="Calibri" w:cs="Times New Roman"/>
          <w:noProof/>
          <w:szCs w:val="24"/>
        </w:rPr>
        <w:t xml:space="preserve"> (2011a) ‘Chemical modification of siRNA bases to probe and enhance RNA interference.’, </w:t>
      </w:r>
      <w:r w:rsidRPr="00C57A7E">
        <w:rPr>
          <w:rFonts w:ascii="Calibri" w:hAnsi="Calibri" w:cs="Times New Roman"/>
          <w:i/>
          <w:iCs/>
          <w:noProof/>
          <w:szCs w:val="24"/>
        </w:rPr>
        <w:t>The Journal of organic chemistry</w:t>
      </w:r>
      <w:r w:rsidRPr="00C57A7E">
        <w:rPr>
          <w:rFonts w:ascii="Calibri" w:hAnsi="Calibri" w:cs="Times New Roman"/>
          <w:noProof/>
          <w:szCs w:val="24"/>
        </w:rPr>
        <w:t>. NIH Public Access, 76(18), pp. 7295–300. doi: 10.1021/jo2012225.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Peacock, H. </w:t>
      </w:r>
      <w:r w:rsidRPr="00C57A7E">
        <w:rPr>
          <w:rFonts w:ascii="Calibri" w:hAnsi="Calibri" w:cs="Times New Roman"/>
          <w:i/>
          <w:iCs/>
          <w:noProof/>
          <w:szCs w:val="24"/>
        </w:rPr>
        <w:t>et al.</w:t>
      </w:r>
      <w:r w:rsidRPr="00C57A7E">
        <w:rPr>
          <w:rFonts w:ascii="Calibri" w:hAnsi="Calibri" w:cs="Times New Roman"/>
          <w:noProof/>
          <w:szCs w:val="24"/>
        </w:rPr>
        <w:t xml:space="preserve"> (2011b) ‘Chemiical modification of siRNA bases to probe and enhance RNA interference’, pp. 7295–7300.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Peiffer, M. and Felton, G. W. (2014) ‘Insights into the Saliva of the Brown Marmorated Stink Bug Halyomorpha halys (Hemiptera: Pentatomidae)’, </w:t>
      </w:r>
      <w:r w:rsidRPr="00C57A7E">
        <w:rPr>
          <w:rFonts w:ascii="Calibri" w:hAnsi="Calibri" w:cs="Times New Roman"/>
          <w:i/>
          <w:iCs/>
          <w:noProof/>
          <w:szCs w:val="24"/>
        </w:rPr>
        <w:t>PLoS ONE</w:t>
      </w:r>
      <w:r w:rsidRPr="00C57A7E">
        <w:rPr>
          <w:rFonts w:ascii="Calibri" w:hAnsi="Calibri" w:cs="Times New Roman"/>
          <w:noProof/>
          <w:szCs w:val="24"/>
        </w:rPr>
        <w:t>. Edited by F. Marion-Poll. Public Library of Science, 9(2), p. e88483. doi: 10.1371/journal.pone.0088483.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Peng, Y. </w:t>
      </w:r>
      <w:r w:rsidRPr="00C57A7E">
        <w:rPr>
          <w:rFonts w:ascii="Calibri" w:hAnsi="Calibri" w:cs="Times New Roman"/>
          <w:i/>
          <w:iCs/>
          <w:noProof/>
          <w:szCs w:val="24"/>
        </w:rPr>
        <w:t>et al.</w:t>
      </w:r>
      <w:r w:rsidRPr="00C57A7E">
        <w:rPr>
          <w:rFonts w:ascii="Calibri" w:hAnsi="Calibri" w:cs="Times New Roman"/>
          <w:noProof/>
          <w:szCs w:val="24"/>
        </w:rPr>
        <w:t xml:space="preserve"> (2018) ‘Biochemical Comparison of dsRNA Degrading Nucleases in Four Different Insects’, </w:t>
      </w:r>
      <w:r w:rsidRPr="00C57A7E">
        <w:rPr>
          <w:rFonts w:ascii="Calibri" w:hAnsi="Calibri" w:cs="Times New Roman"/>
          <w:i/>
          <w:iCs/>
          <w:noProof/>
          <w:szCs w:val="24"/>
        </w:rPr>
        <w:t>Frontiers in Physiology</w:t>
      </w:r>
      <w:r w:rsidRPr="00C57A7E">
        <w:rPr>
          <w:rFonts w:ascii="Calibri" w:hAnsi="Calibri" w:cs="Times New Roman"/>
          <w:noProof/>
          <w:szCs w:val="24"/>
        </w:rPr>
        <w:t>. Frontiers, 9, p. 624. doi: 10.3389/fphys.2018.00624.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Perrimon, N., Ni, J. Q. and Perkins, L. (2010) ‘In vivo RNAi: today and tomorrow.’, </w:t>
      </w:r>
      <w:r w:rsidRPr="00C57A7E">
        <w:rPr>
          <w:rFonts w:ascii="Calibri" w:hAnsi="Calibri" w:cs="Times New Roman"/>
          <w:i/>
          <w:iCs/>
          <w:noProof/>
          <w:szCs w:val="24"/>
        </w:rPr>
        <w:t>Cold Spring Harbor perspectives in biology</w:t>
      </w:r>
      <w:r w:rsidRPr="00C57A7E">
        <w:rPr>
          <w:rFonts w:ascii="Calibri" w:hAnsi="Calibri" w:cs="Times New Roman"/>
          <w:noProof/>
          <w:szCs w:val="24"/>
        </w:rPr>
        <w:t>, 2(8), pp. 1–11. doi: 10.1101/cshperspect.a003640.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Petrick, J. S. </w:t>
      </w:r>
      <w:r w:rsidRPr="00C57A7E">
        <w:rPr>
          <w:rFonts w:ascii="Calibri" w:hAnsi="Calibri" w:cs="Times New Roman"/>
          <w:i/>
          <w:iCs/>
          <w:noProof/>
          <w:szCs w:val="24"/>
        </w:rPr>
        <w:t>et al.</w:t>
      </w:r>
      <w:r w:rsidRPr="00C57A7E">
        <w:rPr>
          <w:rFonts w:ascii="Calibri" w:hAnsi="Calibri" w:cs="Times New Roman"/>
          <w:noProof/>
          <w:szCs w:val="24"/>
        </w:rPr>
        <w:t xml:space="preserve"> (2016) ‘Corrigendum to “Corn rootworm-active RNA DvSnf7: Repeat dose oral toxicology assessment in support of human and mammalian safety” (Regulatory Toxicology and Pharmacology (2016) 81 (57–68) (S0273230016301921) (10.1016/j.yrtph.2016.07.009))’, </w:t>
      </w:r>
      <w:r w:rsidRPr="00C57A7E">
        <w:rPr>
          <w:rFonts w:ascii="Calibri" w:hAnsi="Calibri" w:cs="Times New Roman"/>
          <w:i/>
          <w:iCs/>
          <w:noProof/>
          <w:szCs w:val="24"/>
        </w:rPr>
        <w:t>Regulatory Toxicology and Pharmacology</w:t>
      </w:r>
      <w:r w:rsidRPr="00C57A7E">
        <w:rPr>
          <w:rFonts w:ascii="Calibri" w:hAnsi="Calibri" w:cs="Times New Roman"/>
          <w:noProof/>
          <w:szCs w:val="24"/>
        </w:rPr>
        <w:t>. Elsevier Ltd, 82, p. 191. doi: 10.1016/j.yrtph.2016.09.001.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Poirier, E. Z. </w:t>
      </w:r>
      <w:r w:rsidRPr="00C57A7E">
        <w:rPr>
          <w:rFonts w:ascii="Calibri" w:hAnsi="Calibri" w:cs="Times New Roman"/>
          <w:i/>
          <w:iCs/>
          <w:noProof/>
          <w:szCs w:val="24"/>
        </w:rPr>
        <w:t>et al.</w:t>
      </w:r>
      <w:r w:rsidRPr="00C57A7E">
        <w:rPr>
          <w:rFonts w:ascii="Calibri" w:hAnsi="Calibri" w:cs="Times New Roman"/>
          <w:noProof/>
          <w:szCs w:val="24"/>
        </w:rPr>
        <w:t xml:space="preserve"> (2018) ‘Dicer-2-Dependent Generation of Viral DNA from Defective Genomes of RNA Viruses Modulates Antiviral Immunity in Insects.’, </w:t>
      </w:r>
      <w:r w:rsidRPr="00C57A7E">
        <w:rPr>
          <w:rFonts w:ascii="Calibri" w:hAnsi="Calibri" w:cs="Times New Roman"/>
          <w:i/>
          <w:iCs/>
          <w:noProof/>
          <w:szCs w:val="24"/>
        </w:rPr>
        <w:t>Cell host &amp; microbe</w:t>
      </w:r>
      <w:r w:rsidRPr="00C57A7E">
        <w:rPr>
          <w:rFonts w:ascii="Calibri" w:hAnsi="Calibri" w:cs="Times New Roman"/>
          <w:noProof/>
          <w:szCs w:val="24"/>
        </w:rPr>
        <w:t>. Elsevier, 23(3), pp. 353-365.e8. doi: 10.1016/j.chom.2018.02.001.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lastRenderedPageBreak/>
        <w:t xml:space="preserve">Prakash, T. P. </w:t>
      </w:r>
      <w:r w:rsidRPr="00C57A7E">
        <w:rPr>
          <w:rFonts w:ascii="Calibri" w:hAnsi="Calibri" w:cs="Times New Roman"/>
          <w:i/>
          <w:iCs/>
          <w:noProof/>
          <w:szCs w:val="24"/>
        </w:rPr>
        <w:t>et al.</w:t>
      </w:r>
      <w:r w:rsidRPr="00C57A7E">
        <w:rPr>
          <w:rFonts w:ascii="Calibri" w:hAnsi="Calibri" w:cs="Times New Roman"/>
          <w:noProof/>
          <w:szCs w:val="24"/>
        </w:rPr>
        <w:t xml:space="preserve"> (2005) ‘Positional Effect of Chemical Modifications on Short Interference RNA Activity in Mammalian Cells’, </w:t>
      </w:r>
      <w:r w:rsidRPr="00C57A7E">
        <w:rPr>
          <w:rFonts w:ascii="Calibri" w:hAnsi="Calibri" w:cs="Times New Roman"/>
          <w:i/>
          <w:iCs/>
          <w:noProof/>
          <w:szCs w:val="24"/>
        </w:rPr>
        <w:t>Journal of Medicinal Chemistry</w:t>
      </w:r>
      <w:r w:rsidRPr="00C57A7E">
        <w:rPr>
          <w:rFonts w:ascii="Calibri" w:hAnsi="Calibri" w:cs="Times New Roman"/>
          <w:noProof/>
          <w:szCs w:val="24"/>
        </w:rPr>
        <w:t>, 48(13), pp. 4247–4253. doi: 10.1021/jm050044o.</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Price, D. R. G. and Gatehouse, J. a. (2008) ‘RNAi-mediated crop protection against insects’, </w:t>
      </w:r>
      <w:r w:rsidRPr="00C57A7E">
        <w:rPr>
          <w:rFonts w:ascii="Calibri" w:hAnsi="Calibri" w:cs="Times New Roman"/>
          <w:i/>
          <w:iCs/>
          <w:noProof/>
          <w:szCs w:val="24"/>
        </w:rPr>
        <w:t>Trends in Biotechnology</w:t>
      </w:r>
      <w:r w:rsidRPr="00C57A7E">
        <w:rPr>
          <w:rFonts w:ascii="Calibri" w:hAnsi="Calibri" w:cs="Times New Roman"/>
          <w:noProof/>
          <w:szCs w:val="24"/>
        </w:rPr>
        <w:t>, 26(7), pp. 393–400. doi: 10.1016/j.tibtech.2008.04.004.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Quan, G. X., Kanda, T. and Tamura, T. (2002) ‘Induction of the white egg 3 mutant phenotype by injection of the double-stranded RNA of the silkworm white gene.’, </w:t>
      </w:r>
      <w:r w:rsidRPr="00C57A7E">
        <w:rPr>
          <w:rFonts w:ascii="Calibri" w:hAnsi="Calibri" w:cs="Times New Roman"/>
          <w:i/>
          <w:iCs/>
          <w:noProof/>
          <w:szCs w:val="24"/>
        </w:rPr>
        <w:t>Insect molecular biology</w:t>
      </w:r>
      <w:r w:rsidRPr="00C57A7E">
        <w:rPr>
          <w:rFonts w:ascii="Calibri" w:hAnsi="Calibri" w:cs="Times New Roman"/>
          <w:noProof/>
          <w:szCs w:val="24"/>
        </w:rPr>
        <w:t>, 11(3), pp. 217–22. Available at: http://www.ncbi.nlm.nih.gov/pubmed/12000640 (Accessed: 16 July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Raines, R. T. (1998) ‘Ribonuclease A’. American Chemical Society, 98(3), pp. 1045–1066. doi: 10.1021/CR960427H.</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Redfern, A. D. </w:t>
      </w:r>
      <w:r w:rsidRPr="00C57A7E">
        <w:rPr>
          <w:rFonts w:ascii="Calibri" w:hAnsi="Calibri" w:cs="Times New Roman"/>
          <w:i/>
          <w:iCs/>
          <w:noProof/>
          <w:szCs w:val="24"/>
        </w:rPr>
        <w:t>et al.</w:t>
      </w:r>
      <w:r w:rsidRPr="00C57A7E">
        <w:rPr>
          <w:rFonts w:ascii="Calibri" w:hAnsi="Calibri" w:cs="Times New Roman"/>
          <w:noProof/>
          <w:szCs w:val="24"/>
        </w:rPr>
        <w:t xml:space="preserve"> (2013) ‘RNA-induced silencing complex (RISC) Proteins PACT, TRBP, and Dicer are SRA binding nuclear receptor coregulators.’, </w:t>
      </w:r>
      <w:r w:rsidRPr="00C57A7E">
        <w:rPr>
          <w:rFonts w:ascii="Calibri" w:hAnsi="Calibri" w:cs="Times New Roman"/>
          <w:i/>
          <w:iCs/>
          <w:noProof/>
          <w:szCs w:val="24"/>
        </w:rPr>
        <w:t>Proceedings of the National Academy of Sciences of the United States of America</w:t>
      </w:r>
      <w:r w:rsidRPr="00C57A7E">
        <w:rPr>
          <w:rFonts w:ascii="Calibri" w:hAnsi="Calibri" w:cs="Times New Roman"/>
          <w:noProof/>
          <w:szCs w:val="24"/>
        </w:rPr>
        <w:t>. National Academy of Sciences, 110(16), pp. 6536–41. doi: 10.1073/pnas.1301620110.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Redko, Y., Bechhofer, D. H. and Condon, C. (2008) ‘Mini-III, an unusual member of the RNase III family of enzymes, catalyses 23S ribosomal RNA maturation in B. subtilis’, </w:t>
      </w:r>
      <w:r w:rsidRPr="00C57A7E">
        <w:rPr>
          <w:rFonts w:ascii="Calibri" w:hAnsi="Calibri" w:cs="Times New Roman"/>
          <w:i/>
          <w:iCs/>
          <w:noProof/>
          <w:szCs w:val="24"/>
        </w:rPr>
        <w:t>Molecular Microbiology</w:t>
      </w:r>
      <w:r w:rsidRPr="00C57A7E">
        <w:rPr>
          <w:rFonts w:ascii="Calibri" w:hAnsi="Calibri" w:cs="Times New Roman"/>
          <w:noProof/>
          <w:szCs w:val="24"/>
        </w:rPr>
        <w:t>, 68(5), pp. 1096–1106. doi: 10.1111/j.1365-2958.2008.06207.x.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van Rij, R. P. </w:t>
      </w:r>
      <w:r w:rsidRPr="00C57A7E">
        <w:rPr>
          <w:rFonts w:ascii="Calibri" w:hAnsi="Calibri" w:cs="Times New Roman"/>
          <w:i/>
          <w:iCs/>
          <w:noProof/>
          <w:szCs w:val="24"/>
        </w:rPr>
        <w:t>et al.</w:t>
      </w:r>
      <w:r w:rsidRPr="00C57A7E">
        <w:rPr>
          <w:rFonts w:ascii="Calibri" w:hAnsi="Calibri" w:cs="Times New Roman"/>
          <w:noProof/>
          <w:szCs w:val="24"/>
        </w:rPr>
        <w:t xml:space="preserve"> (2006) ‘The RNA silencing endonuclease Argonaute 2 mediates specific antiviral immunity in Drosophila melanogaster.’, </w:t>
      </w:r>
      <w:r w:rsidRPr="00C57A7E">
        <w:rPr>
          <w:rFonts w:ascii="Calibri" w:hAnsi="Calibri" w:cs="Times New Roman"/>
          <w:i/>
          <w:iCs/>
          <w:noProof/>
          <w:szCs w:val="24"/>
        </w:rPr>
        <w:t>Genes &amp; development</w:t>
      </w:r>
      <w:r w:rsidRPr="00C57A7E">
        <w:rPr>
          <w:rFonts w:ascii="Calibri" w:hAnsi="Calibri" w:cs="Times New Roman"/>
          <w:noProof/>
          <w:szCs w:val="24"/>
        </w:rPr>
        <w:t>. Cold Spring Harbor Laboratory Press, 20(21), pp. 2985–95. doi: 10.1101/gad.1482006.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Rivas, F. V </w:t>
      </w:r>
      <w:r w:rsidRPr="00C57A7E">
        <w:rPr>
          <w:rFonts w:ascii="Calibri" w:hAnsi="Calibri" w:cs="Times New Roman"/>
          <w:i/>
          <w:iCs/>
          <w:noProof/>
          <w:szCs w:val="24"/>
        </w:rPr>
        <w:t>et al.</w:t>
      </w:r>
      <w:r w:rsidRPr="00C57A7E">
        <w:rPr>
          <w:rFonts w:ascii="Calibri" w:hAnsi="Calibri" w:cs="Times New Roman"/>
          <w:noProof/>
          <w:szCs w:val="24"/>
        </w:rPr>
        <w:t xml:space="preserve"> (2005) ‘Purified Argonaute2 and an siRNA form recombinant human RISC’, </w:t>
      </w:r>
      <w:r w:rsidRPr="00C57A7E">
        <w:rPr>
          <w:rFonts w:ascii="Calibri" w:hAnsi="Calibri" w:cs="Times New Roman"/>
          <w:i/>
          <w:iCs/>
          <w:noProof/>
          <w:szCs w:val="24"/>
        </w:rPr>
        <w:t>Nature Structural &amp; Molecular Biology</w:t>
      </w:r>
      <w:r w:rsidRPr="00C57A7E">
        <w:rPr>
          <w:rFonts w:ascii="Calibri" w:hAnsi="Calibri" w:cs="Times New Roman"/>
          <w:noProof/>
          <w:szCs w:val="24"/>
        </w:rPr>
        <w:t>, 12(4), pp. 340–349. doi: 10.1038/nsmb918.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Russell, P. J. (2010) </w:t>
      </w:r>
      <w:r w:rsidRPr="00C57A7E">
        <w:rPr>
          <w:rFonts w:ascii="Calibri" w:hAnsi="Calibri" w:cs="Times New Roman"/>
          <w:i/>
          <w:iCs/>
          <w:noProof/>
          <w:szCs w:val="24"/>
        </w:rPr>
        <w:t>iGenetics: A Molecular Approach</w:t>
      </w:r>
      <w:r w:rsidRPr="00C57A7E">
        <w:rPr>
          <w:rFonts w:ascii="Calibri" w:hAnsi="Calibri" w:cs="Times New Roman"/>
          <w:noProof/>
          <w:szCs w:val="24"/>
        </w:rPr>
        <w:t>. Third Edition. San Francisco: Benjamin Cummings. Available at: https://www.amazon.com/P-J-Russells-iGenetics-Molecular-Hardcover/dp/B003ZOGGX8 (Accessed: 8 September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Sah, D. W. Y. (2006) ‘Therapeutic potential of RNA interference for neurological disorders’, </w:t>
      </w:r>
      <w:r w:rsidRPr="00C57A7E">
        <w:rPr>
          <w:rFonts w:ascii="Calibri" w:hAnsi="Calibri" w:cs="Times New Roman"/>
          <w:i/>
          <w:iCs/>
          <w:noProof/>
          <w:szCs w:val="24"/>
        </w:rPr>
        <w:t>Life Sciences</w:t>
      </w:r>
      <w:r w:rsidRPr="00C57A7E">
        <w:rPr>
          <w:rFonts w:ascii="Calibri" w:hAnsi="Calibri" w:cs="Times New Roman"/>
          <w:noProof/>
          <w:szCs w:val="24"/>
        </w:rPr>
        <w:t>, 79(19), pp. 1773–1780. doi: 10.1016/j.lfs.2006.06.011.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Saito, K. </w:t>
      </w:r>
      <w:r w:rsidRPr="00C57A7E">
        <w:rPr>
          <w:rFonts w:ascii="Calibri" w:hAnsi="Calibri" w:cs="Times New Roman"/>
          <w:i/>
          <w:iCs/>
          <w:noProof/>
          <w:szCs w:val="24"/>
        </w:rPr>
        <w:t>et al.</w:t>
      </w:r>
      <w:r w:rsidRPr="00C57A7E">
        <w:rPr>
          <w:rFonts w:ascii="Calibri" w:hAnsi="Calibri" w:cs="Times New Roman"/>
          <w:noProof/>
          <w:szCs w:val="24"/>
        </w:rPr>
        <w:t xml:space="preserve"> (2007) ‘Pimet, the Drosophila homolog of HEN1, mediates 2’-O-methylation of Piwi- interacting RNAs at their 3’ ends’, </w:t>
      </w:r>
      <w:r w:rsidRPr="00C57A7E">
        <w:rPr>
          <w:rFonts w:ascii="Calibri" w:hAnsi="Calibri" w:cs="Times New Roman"/>
          <w:i/>
          <w:iCs/>
          <w:noProof/>
          <w:szCs w:val="24"/>
        </w:rPr>
        <w:t>Genes &amp; Development</w:t>
      </w:r>
      <w:r w:rsidRPr="00C57A7E">
        <w:rPr>
          <w:rFonts w:ascii="Calibri" w:hAnsi="Calibri" w:cs="Times New Roman"/>
          <w:noProof/>
          <w:szCs w:val="24"/>
        </w:rPr>
        <w:t>, 21(13), pp. 1603–1608. doi: 10.1101/gad.1563607.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Saleh, M.-C., van Rij, Ronald P, </w:t>
      </w:r>
      <w:r w:rsidRPr="00C57A7E">
        <w:rPr>
          <w:rFonts w:ascii="Calibri" w:hAnsi="Calibri" w:cs="Times New Roman"/>
          <w:i/>
          <w:iCs/>
          <w:noProof/>
          <w:szCs w:val="24"/>
        </w:rPr>
        <w:t>et al.</w:t>
      </w:r>
      <w:r w:rsidRPr="00C57A7E">
        <w:rPr>
          <w:rFonts w:ascii="Calibri" w:hAnsi="Calibri" w:cs="Times New Roman"/>
          <w:noProof/>
          <w:szCs w:val="24"/>
        </w:rPr>
        <w:t xml:space="preserve"> (2006) ‘The endocytic pathway mediates cell entry of dsRNA to induce RNAi silencing.’, </w:t>
      </w:r>
      <w:r w:rsidRPr="00C57A7E">
        <w:rPr>
          <w:rFonts w:ascii="Calibri" w:hAnsi="Calibri" w:cs="Times New Roman"/>
          <w:i/>
          <w:iCs/>
          <w:noProof/>
          <w:szCs w:val="24"/>
        </w:rPr>
        <w:t>Nature cell biology</w:t>
      </w:r>
      <w:r w:rsidRPr="00C57A7E">
        <w:rPr>
          <w:rFonts w:ascii="Calibri" w:hAnsi="Calibri" w:cs="Times New Roman"/>
          <w:noProof/>
          <w:szCs w:val="24"/>
        </w:rPr>
        <w:t>. NIH Public Access, 8(8), pp. 793–802. doi: 10.1038/ncb1439.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Saleh, M.-C., van Rij, Ronald P., </w:t>
      </w:r>
      <w:r w:rsidRPr="00C57A7E">
        <w:rPr>
          <w:rFonts w:ascii="Calibri" w:hAnsi="Calibri" w:cs="Times New Roman"/>
          <w:i/>
          <w:iCs/>
          <w:noProof/>
          <w:szCs w:val="24"/>
        </w:rPr>
        <w:t>et al.</w:t>
      </w:r>
      <w:r w:rsidRPr="00C57A7E">
        <w:rPr>
          <w:rFonts w:ascii="Calibri" w:hAnsi="Calibri" w:cs="Times New Roman"/>
          <w:noProof/>
          <w:szCs w:val="24"/>
        </w:rPr>
        <w:t xml:space="preserve"> (2006) ‘The endocytic pathway mediates cell entry of dsRNA to induce RNAi silencing’, </w:t>
      </w:r>
      <w:r w:rsidRPr="00C57A7E">
        <w:rPr>
          <w:rFonts w:ascii="Calibri" w:hAnsi="Calibri" w:cs="Times New Roman"/>
          <w:i/>
          <w:iCs/>
          <w:noProof/>
          <w:szCs w:val="24"/>
        </w:rPr>
        <w:t>Nature Cell Biology</w:t>
      </w:r>
      <w:r w:rsidRPr="00C57A7E">
        <w:rPr>
          <w:rFonts w:ascii="Calibri" w:hAnsi="Calibri" w:cs="Times New Roman"/>
          <w:noProof/>
          <w:szCs w:val="24"/>
        </w:rPr>
        <w:t>, 8(8), pp. 793–802. doi: 10.1038/ncb1439.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Saleh, M. </w:t>
      </w:r>
      <w:r w:rsidRPr="00C57A7E">
        <w:rPr>
          <w:rFonts w:ascii="Calibri" w:hAnsi="Calibri" w:cs="Times New Roman"/>
          <w:i/>
          <w:iCs/>
          <w:noProof/>
          <w:szCs w:val="24"/>
        </w:rPr>
        <w:t>et al.</w:t>
      </w:r>
      <w:r w:rsidRPr="00C57A7E">
        <w:rPr>
          <w:rFonts w:ascii="Calibri" w:hAnsi="Calibri" w:cs="Times New Roman"/>
          <w:noProof/>
          <w:szCs w:val="24"/>
        </w:rPr>
        <w:t xml:space="preserve"> (2014) ‘Analysis of cell-based RNAi screens’, </w:t>
      </w:r>
      <w:r w:rsidRPr="00C57A7E">
        <w:rPr>
          <w:rFonts w:ascii="Calibri" w:hAnsi="Calibri" w:cs="Times New Roman"/>
          <w:i/>
          <w:iCs/>
          <w:noProof/>
          <w:szCs w:val="24"/>
        </w:rPr>
        <w:t>Epigenetics and Chromatin</w:t>
      </w:r>
      <w:r w:rsidRPr="00C57A7E">
        <w:rPr>
          <w:rFonts w:ascii="Calibri" w:hAnsi="Calibri" w:cs="Times New Roman"/>
          <w:noProof/>
          <w:szCs w:val="24"/>
        </w:rPr>
        <w:t>. Nature Publishing Group, 7(1), pp. 1–6. doi: 10.1038/ncomms10368.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San Miguel, K. and Scott, J. G. (2015) ‘The next generation of insecticides: dsRNA is stable as a foliar-applied insecticide’, </w:t>
      </w:r>
      <w:r w:rsidRPr="00C57A7E">
        <w:rPr>
          <w:rFonts w:ascii="Calibri" w:hAnsi="Calibri" w:cs="Times New Roman"/>
          <w:i/>
          <w:iCs/>
          <w:noProof/>
          <w:szCs w:val="24"/>
        </w:rPr>
        <w:t>Pest Management Science</w:t>
      </w:r>
      <w:r w:rsidRPr="00C57A7E">
        <w:rPr>
          <w:rFonts w:ascii="Calibri" w:hAnsi="Calibri" w:cs="Times New Roman"/>
          <w:noProof/>
          <w:szCs w:val="24"/>
        </w:rPr>
        <w:t>, (February), p. n/a-n/a. doi: 10.1002/ps.4056.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Schirle, N. T. </w:t>
      </w:r>
      <w:r w:rsidRPr="00C57A7E">
        <w:rPr>
          <w:rFonts w:ascii="Calibri" w:hAnsi="Calibri" w:cs="Times New Roman"/>
          <w:i/>
          <w:iCs/>
          <w:noProof/>
          <w:szCs w:val="24"/>
        </w:rPr>
        <w:t>et al.</w:t>
      </w:r>
      <w:r w:rsidRPr="00C57A7E">
        <w:rPr>
          <w:rFonts w:ascii="Calibri" w:hAnsi="Calibri" w:cs="Times New Roman"/>
          <w:noProof/>
          <w:szCs w:val="24"/>
        </w:rPr>
        <w:t xml:space="preserve"> (2016) ‘Structural Analysis of Human Argonaute-2 Bound to a Modified siRNA Guide’, </w:t>
      </w:r>
      <w:r w:rsidRPr="00C57A7E">
        <w:rPr>
          <w:rFonts w:ascii="Calibri" w:hAnsi="Calibri" w:cs="Times New Roman"/>
          <w:i/>
          <w:iCs/>
          <w:noProof/>
          <w:szCs w:val="24"/>
        </w:rPr>
        <w:t>Journal of the American Chemical Society</w:t>
      </w:r>
      <w:r w:rsidRPr="00C57A7E">
        <w:rPr>
          <w:rFonts w:ascii="Calibri" w:hAnsi="Calibri" w:cs="Times New Roman"/>
          <w:noProof/>
          <w:szCs w:val="24"/>
        </w:rPr>
        <w:t>. American Chemical Society, 138(28), pp. 8694–8697. doi: 10.1021/jacs.6b04454.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Schuster, S., Miesen, P. and van Rij, R. P. (2019) ‘Antiviral RNAi in Insects and Mammals: Parallels and Differences’, </w:t>
      </w:r>
      <w:r w:rsidRPr="00C57A7E">
        <w:rPr>
          <w:rFonts w:ascii="Calibri" w:hAnsi="Calibri" w:cs="Times New Roman"/>
          <w:i/>
          <w:iCs/>
          <w:noProof/>
          <w:szCs w:val="24"/>
        </w:rPr>
        <w:t>Viruses</w:t>
      </w:r>
      <w:r w:rsidRPr="00C57A7E">
        <w:rPr>
          <w:rFonts w:ascii="Calibri" w:hAnsi="Calibri" w:cs="Times New Roman"/>
          <w:noProof/>
          <w:szCs w:val="24"/>
        </w:rPr>
        <w:t xml:space="preserve">. Multidisciplinary Digital Publishing Institute, 11(5), p. 448. doi: </w:t>
      </w:r>
      <w:r w:rsidRPr="00C57A7E">
        <w:rPr>
          <w:rFonts w:ascii="Calibri" w:hAnsi="Calibri" w:cs="Times New Roman"/>
          <w:noProof/>
          <w:szCs w:val="24"/>
        </w:rPr>
        <w:lastRenderedPageBreak/>
        <w:t>10.3390/v11050448.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Shen, X. and Corey, D. R. (2018a) ‘Chemistry, mechanism and clinical status of antisense oligonucleotides and duplex RNAs’, </w:t>
      </w:r>
      <w:r w:rsidRPr="00C57A7E">
        <w:rPr>
          <w:rFonts w:ascii="Calibri" w:hAnsi="Calibri" w:cs="Times New Roman"/>
          <w:i/>
          <w:iCs/>
          <w:noProof/>
          <w:szCs w:val="24"/>
        </w:rPr>
        <w:t>Nucleic Acids Research</w:t>
      </w:r>
      <w:r w:rsidRPr="00C57A7E">
        <w:rPr>
          <w:rFonts w:ascii="Calibri" w:hAnsi="Calibri" w:cs="Times New Roman"/>
          <w:noProof/>
          <w:szCs w:val="24"/>
        </w:rPr>
        <w:t>. Narnia, 46(4), pp. 1584–1600. doi: 10.1093/nar/gkx1239.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Shen, X. and Corey, D. R. (2018b) ‘Chemistry, mechanism and clinical status of antisense oligonucleotides and duplex RNAs’,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46(4), pp. 1584–1600. doi: 10.1093/nar/gkx1239.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Shi, D.-Q. </w:t>
      </w:r>
      <w:r w:rsidRPr="00C57A7E">
        <w:rPr>
          <w:rFonts w:ascii="Calibri" w:hAnsi="Calibri" w:cs="Times New Roman"/>
          <w:i/>
          <w:iCs/>
          <w:noProof/>
          <w:szCs w:val="24"/>
        </w:rPr>
        <w:t>et al.</w:t>
      </w:r>
      <w:r w:rsidRPr="00C57A7E">
        <w:rPr>
          <w:rFonts w:ascii="Calibri" w:hAnsi="Calibri" w:cs="Times New Roman"/>
          <w:noProof/>
          <w:szCs w:val="24"/>
        </w:rPr>
        <w:t xml:space="preserve"> (2017) ‘New Insights into 5hmC DNA Modification: Generation, Distribution and Function’, </w:t>
      </w:r>
      <w:r w:rsidRPr="00C57A7E">
        <w:rPr>
          <w:rFonts w:ascii="Calibri" w:hAnsi="Calibri" w:cs="Times New Roman"/>
          <w:i/>
          <w:iCs/>
          <w:noProof/>
          <w:szCs w:val="24"/>
        </w:rPr>
        <w:t>Frontiers in Genetics</w:t>
      </w:r>
      <w:r w:rsidRPr="00C57A7E">
        <w:rPr>
          <w:rFonts w:ascii="Calibri" w:hAnsi="Calibri" w:cs="Times New Roman"/>
          <w:noProof/>
          <w:szCs w:val="24"/>
        </w:rPr>
        <w:t>. Frontiers, 8, p. 100. doi: 10.3389/fgene.2017.00100.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Shi, H., Wei, J. and He, C. (2019) ‘Where, When, and How: Context-Dependent Functions of RNA Methylation Writers, Readers, and Erasers’, </w:t>
      </w:r>
      <w:r w:rsidRPr="00C57A7E">
        <w:rPr>
          <w:rFonts w:ascii="Calibri" w:hAnsi="Calibri" w:cs="Times New Roman"/>
          <w:i/>
          <w:iCs/>
          <w:noProof/>
          <w:szCs w:val="24"/>
        </w:rPr>
        <w:t>Molecular Cell</w:t>
      </w:r>
      <w:r w:rsidRPr="00C57A7E">
        <w:rPr>
          <w:rFonts w:ascii="Calibri" w:hAnsi="Calibri" w:cs="Times New Roman"/>
          <w:noProof/>
          <w:szCs w:val="24"/>
        </w:rPr>
        <w:t>. Elsevier, 74(4), pp. 640–650. doi: 10.1016/J.MOLCEL.2019.04.025.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Shimizu, H. </w:t>
      </w:r>
      <w:r w:rsidRPr="00C57A7E">
        <w:rPr>
          <w:rFonts w:ascii="Calibri" w:hAnsi="Calibri" w:cs="Times New Roman"/>
          <w:i/>
          <w:iCs/>
          <w:noProof/>
          <w:szCs w:val="24"/>
        </w:rPr>
        <w:t>et al.</w:t>
      </w:r>
      <w:r w:rsidRPr="00C57A7E">
        <w:rPr>
          <w:rFonts w:ascii="Calibri" w:hAnsi="Calibri" w:cs="Times New Roman"/>
          <w:noProof/>
          <w:szCs w:val="24"/>
        </w:rPr>
        <w:t xml:space="preserve"> (2014) ‘Compensatory flux changes within an 1’endocytic trafficking network maintain thermal robustness of notch signaling’, </w:t>
      </w:r>
      <w:r w:rsidRPr="00C57A7E">
        <w:rPr>
          <w:rFonts w:ascii="Calibri" w:hAnsi="Calibri" w:cs="Times New Roman"/>
          <w:i/>
          <w:iCs/>
          <w:noProof/>
          <w:szCs w:val="24"/>
        </w:rPr>
        <w:t>Cell</w:t>
      </w:r>
      <w:r w:rsidRPr="00C57A7E">
        <w:rPr>
          <w:rFonts w:ascii="Calibri" w:hAnsi="Calibri" w:cs="Times New Roman"/>
          <w:noProof/>
          <w:szCs w:val="24"/>
        </w:rPr>
        <w:t>, 157(5), pp. 1160–1174. doi: 10.1016/j.cell.2014.03.050.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Shukla, J. N. </w:t>
      </w:r>
      <w:r w:rsidRPr="00C57A7E">
        <w:rPr>
          <w:rFonts w:ascii="Calibri" w:hAnsi="Calibri" w:cs="Times New Roman"/>
          <w:i/>
          <w:iCs/>
          <w:noProof/>
          <w:szCs w:val="24"/>
        </w:rPr>
        <w:t>et al.</w:t>
      </w:r>
      <w:r w:rsidRPr="00C57A7E">
        <w:rPr>
          <w:rFonts w:ascii="Calibri" w:hAnsi="Calibri" w:cs="Times New Roman"/>
          <w:noProof/>
          <w:szCs w:val="24"/>
        </w:rPr>
        <w:t xml:space="preserve"> (2016a) ‘Reduced stability and intracellular transport of dsRNA contribute to poor RNAi response in lepidopteran insects’, </w:t>
      </w:r>
      <w:r w:rsidRPr="00C57A7E">
        <w:rPr>
          <w:rFonts w:ascii="Calibri" w:hAnsi="Calibri" w:cs="Times New Roman"/>
          <w:i/>
          <w:iCs/>
          <w:noProof/>
          <w:szCs w:val="24"/>
        </w:rPr>
        <w:t>RNA Biology</w:t>
      </w:r>
      <w:r w:rsidRPr="00C57A7E">
        <w:rPr>
          <w:rFonts w:ascii="Calibri" w:hAnsi="Calibri" w:cs="Times New Roman"/>
          <w:noProof/>
          <w:szCs w:val="24"/>
        </w:rPr>
        <w:t>. Taylor &amp; Francis, 13(7), pp. 656–669. doi: 10.1080/15476286.2016.1191728.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Shukla, J. N. </w:t>
      </w:r>
      <w:r w:rsidRPr="00C57A7E">
        <w:rPr>
          <w:rFonts w:ascii="Calibri" w:hAnsi="Calibri" w:cs="Times New Roman"/>
          <w:i/>
          <w:iCs/>
          <w:noProof/>
          <w:szCs w:val="24"/>
        </w:rPr>
        <w:t>et al.</w:t>
      </w:r>
      <w:r w:rsidRPr="00C57A7E">
        <w:rPr>
          <w:rFonts w:ascii="Calibri" w:hAnsi="Calibri" w:cs="Times New Roman"/>
          <w:noProof/>
          <w:szCs w:val="24"/>
        </w:rPr>
        <w:t xml:space="preserve"> (2016b) ‘Reduced stability and intracellular transport of dsRNA contribute to poor RNAi response in lepidopteran insects’, </w:t>
      </w:r>
      <w:r w:rsidRPr="00C57A7E">
        <w:rPr>
          <w:rFonts w:ascii="Calibri" w:hAnsi="Calibri" w:cs="Times New Roman"/>
          <w:i/>
          <w:iCs/>
          <w:noProof/>
          <w:szCs w:val="24"/>
        </w:rPr>
        <w:t>RNA Biology</w:t>
      </w:r>
      <w:r w:rsidRPr="00C57A7E">
        <w:rPr>
          <w:rFonts w:ascii="Calibri" w:hAnsi="Calibri" w:cs="Times New Roman"/>
          <w:noProof/>
          <w:szCs w:val="24"/>
        </w:rPr>
        <w:t>. Taylor &amp; Francis, 13(7), pp. 656–669. doi: 10.1080/15476286.2016.1191728.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Simon, B. </w:t>
      </w:r>
      <w:r w:rsidRPr="00C57A7E">
        <w:rPr>
          <w:rFonts w:ascii="Calibri" w:hAnsi="Calibri" w:cs="Times New Roman"/>
          <w:i/>
          <w:iCs/>
          <w:noProof/>
          <w:szCs w:val="24"/>
        </w:rPr>
        <w:t>et al.</w:t>
      </w:r>
      <w:r w:rsidRPr="00C57A7E">
        <w:rPr>
          <w:rFonts w:ascii="Calibri" w:hAnsi="Calibri" w:cs="Times New Roman"/>
          <w:noProof/>
          <w:szCs w:val="24"/>
        </w:rPr>
        <w:t xml:space="preserve"> (2011) ‘Recognition of 2′-O-Methylated 3′-End of piRNA by the PAZ Domain of a Piwi Protein’, </w:t>
      </w:r>
      <w:r w:rsidRPr="00C57A7E">
        <w:rPr>
          <w:rFonts w:ascii="Calibri" w:hAnsi="Calibri" w:cs="Times New Roman"/>
          <w:i/>
          <w:iCs/>
          <w:noProof/>
          <w:szCs w:val="24"/>
        </w:rPr>
        <w:t>Structure</w:t>
      </w:r>
      <w:r w:rsidRPr="00C57A7E">
        <w:rPr>
          <w:rFonts w:ascii="Calibri" w:hAnsi="Calibri" w:cs="Times New Roman"/>
          <w:noProof/>
          <w:szCs w:val="24"/>
        </w:rPr>
        <w:t>, 19(2), pp. 172–180. doi: 10.1016/j.str.2010.11.015.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Singh, I. K. </w:t>
      </w:r>
      <w:r w:rsidRPr="00C57A7E">
        <w:rPr>
          <w:rFonts w:ascii="Calibri" w:hAnsi="Calibri" w:cs="Times New Roman"/>
          <w:i/>
          <w:iCs/>
          <w:noProof/>
          <w:szCs w:val="24"/>
        </w:rPr>
        <w:t>et al.</w:t>
      </w:r>
      <w:r w:rsidRPr="00C57A7E">
        <w:rPr>
          <w:rFonts w:ascii="Calibri" w:hAnsi="Calibri" w:cs="Times New Roman"/>
          <w:noProof/>
          <w:szCs w:val="24"/>
        </w:rPr>
        <w:t xml:space="preserve"> (2017) ‘Comparative analysis of double-stranded RNA degradation and processing in insects’, </w:t>
      </w:r>
      <w:r w:rsidRPr="00C57A7E">
        <w:rPr>
          <w:rFonts w:ascii="Calibri" w:hAnsi="Calibri" w:cs="Times New Roman"/>
          <w:i/>
          <w:iCs/>
          <w:noProof/>
          <w:szCs w:val="24"/>
        </w:rPr>
        <w:t>Scientific Reports</w:t>
      </w:r>
      <w:r w:rsidRPr="00C57A7E">
        <w:rPr>
          <w:rFonts w:ascii="Calibri" w:hAnsi="Calibri" w:cs="Times New Roman"/>
          <w:noProof/>
          <w:szCs w:val="24"/>
        </w:rPr>
        <w:t>. Nature Publishing Group, 7(1), p. 17059. doi: 10.1038/s41598-017-17134-2.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Singh, R. K. and Pandey, S. P. (2015) ‘Evolution of structural and functional diversification among plant Argonautes’, </w:t>
      </w:r>
      <w:r w:rsidRPr="00C57A7E">
        <w:rPr>
          <w:rFonts w:ascii="Calibri" w:hAnsi="Calibri" w:cs="Times New Roman"/>
          <w:i/>
          <w:iCs/>
          <w:noProof/>
          <w:szCs w:val="24"/>
        </w:rPr>
        <w:t>Plant Signaling &amp; Behavior</w:t>
      </w:r>
      <w:r w:rsidRPr="00C57A7E">
        <w:rPr>
          <w:rFonts w:ascii="Calibri" w:hAnsi="Calibri" w:cs="Times New Roman"/>
          <w:noProof/>
          <w:szCs w:val="24"/>
        </w:rPr>
        <w:t>, 10(10), p. e1069455. doi: 10.1080/15592324.2015.1069455.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Sinha, N. K. </w:t>
      </w:r>
      <w:r w:rsidRPr="00C57A7E">
        <w:rPr>
          <w:rFonts w:ascii="Calibri" w:hAnsi="Calibri" w:cs="Times New Roman"/>
          <w:i/>
          <w:iCs/>
          <w:noProof/>
          <w:szCs w:val="24"/>
        </w:rPr>
        <w:t>et al.</w:t>
      </w:r>
      <w:r w:rsidRPr="00C57A7E">
        <w:rPr>
          <w:rFonts w:ascii="Calibri" w:hAnsi="Calibri" w:cs="Times New Roman"/>
          <w:noProof/>
          <w:szCs w:val="24"/>
        </w:rPr>
        <w:t xml:space="preserve"> (2018) ‘Dicer uses distinct modules for recognizing dsRNA termini’, </w:t>
      </w:r>
      <w:r w:rsidRPr="00C57A7E">
        <w:rPr>
          <w:rFonts w:ascii="Calibri" w:hAnsi="Calibri" w:cs="Times New Roman"/>
          <w:i/>
          <w:iCs/>
          <w:noProof/>
          <w:szCs w:val="24"/>
        </w:rPr>
        <w:t>Science</w:t>
      </w:r>
      <w:r w:rsidRPr="00C57A7E">
        <w:rPr>
          <w:rFonts w:ascii="Calibri" w:hAnsi="Calibri" w:cs="Times New Roman"/>
          <w:noProof/>
          <w:szCs w:val="24"/>
        </w:rPr>
        <w:t>, 359(6373), pp. 329–334. doi: 10.1126/science.aaq0921.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Sloan, K. E. </w:t>
      </w:r>
      <w:r w:rsidRPr="00C57A7E">
        <w:rPr>
          <w:rFonts w:ascii="Calibri" w:hAnsi="Calibri" w:cs="Times New Roman"/>
          <w:i/>
          <w:iCs/>
          <w:noProof/>
          <w:szCs w:val="24"/>
        </w:rPr>
        <w:t>et al.</w:t>
      </w:r>
      <w:r w:rsidRPr="00C57A7E">
        <w:rPr>
          <w:rFonts w:ascii="Calibri" w:hAnsi="Calibri" w:cs="Times New Roman"/>
          <w:noProof/>
          <w:szCs w:val="24"/>
        </w:rPr>
        <w:t xml:space="preserve"> (2017) ‘Tuning the ribosome: The influence of rRNA modification on eukaryotic ribosome biogenesis and function.’, </w:t>
      </w:r>
      <w:r w:rsidRPr="00C57A7E">
        <w:rPr>
          <w:rFonts w:ascii="Calibri" w:hAnsi="Calibri" w:cs="Times New Roman"/>
          <w:i/>
          <w:iCs/>
          <w:noProof/>
          <w:szCs w:val="24"/>
        </w:rPr>
        <w:t>RNA biology</w:t>
      </w:r>
      <w:r w:rsidRPr="00C57A7E">
        <w:rPr>
          <w:rFonts w:ascii="Calibri" w:hAnsi="Calibri" w:cs="Times New Roman"/>
          <w:noProof/>
          <w:szCs w:val="24"/>
        </w:rPr>
        <w:t>. Taylor &amp; Francis, 14(9), pp. 1138–1152. doi: 10.1080/15476286.2016.1259781.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Smith, J. S. and Nikonowicz, E. P. (2000) ‘Phosphorothioate substitution can substantially alter RNA conformation’, </w:t>
      </w:r>
      <w:r w:rsidRPr="00C57A7E">
        <w:rPr>
          <w:rFonts w:ascii="Calibri" w:hAnsi="Calibri" w:cs="Times New Roman"/>
          <w:i/>
          <w:iCs/>
          <w:noProof/>
          <w:szCs w:val="24"/>
        </w:rPr>
        <w:t>Biochemistry</w:t>
      </w:r>
      <w:r w:rsidRPr="00C57A7E">
        <w:rPr>
          <w:rFonts w:ascii="Calibri" w:hAnsi="Calibri" w:cs="Times New Roman"/>
          <w:noProof/>
          <w:szCs w:val="24"/>
        </w:rPr>
        <w:t>, 39(19), pp. 5642–5652. doi: 10.1021/bi992712b.</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Snead, Nicholas M </w:t>
      </w:r>
      <w:r w:rsidRPr="00C57A7E">
        <w:rPr>
          <w:rFonts w:ascii="Calibri" w:hAnsi="Calibri" w:cs="Times New Roman"/>
          <w:i/>
          <w:iCs/>
          <w:noProof/>
          <w:szCs w:val="24"/>
        </w:rPr>
        <w:t>et al.</w:t>
      </w:r>
      <w:r w:rsidRPr="00C57A7E">
        <w:rPr>
          <w:rFonts w:ascii="Calibri" w:hAnsi="Calibri" w:cs="Times New Roman"/>
          <w:noProof/>
          <w:szCs w:val="24"/>
        </w:rPr>
        <w:t xml:space="preserve"> (2013) ‘5’ Unlocked Nucleic Acid Modification Improves siRNA Targeting.’, </w:t>
      </w:r>
      <w:r w:rsidRPr="00C57A7E">
        <w:rPr>
          <w:rFonts w:ascii="Calibri" w:hAnsi="Calibri" w:cs="Times New Roman"/>
          <w:i/>
          <w:iCs/>
          <w:noProof/>
          <w:szCs w:val="24"/>
        </w:rPr>
        <w:t>Molecular therapy. Nucleic acids</w:t>
      </w:r>
      <w:r w:rsidRPr="00C57A7E">
        <w:rPr>
          <w:rFonts w:ascii="Calibri" w:hAnsi="Calibri" w:cs="Times New Roman"/>
          <w:noProof/>
          <w:szCs w:val="24"/>
        </w:rPr>
        <w:t>. American Society of Gene &amp; Cell Therapy, 2(7), p. e103. doi: 10.1038/mtna.2013.36.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Snead, Nicholas M. </w:t>
      </w:r>
      <w:r w:rsidRPr="00C57A7E">
        <w:rPr>
          <w:rFonts w:ascii="Calibri" w:hAnsi="Calibri" w:cs="Times New Roman"/>
          <w:i/>
          <w:iCs/>
          <w:noProof/>
          <w:szCs w:val="24"/>
        </w:rPr>
        <w:t>et al.</w:t>
      </w:r>
      <w:r w:rsidRPr="00C57A7E">
        <w:rPr>
          <w:rFonts w:ascii="Calibri" w:hAnsi="Calibri" w:cs="Times New Roman"/>
          <w:noProof/>
          <w:szCs w:val="24"/>
        </w:rPr>
        <w:t xml:space="preserve"> (2013) ‘5′ unlocked nucleic acid modification improves siRNA targeting’, </w:t>
      </w:r>
      <w:r w:rsidRPr="00C57A7E">
        <w:rPr>
          <w:rFonts w:ascii="Calibri" w:hAnsi="Calibri" w:cs="Times New Roman"/>
          <w:i/>
          <w:iCs/>
          <w:noProof/>
          <w:szCs w:val="24"/>
        </w:rPr>
        <w:t>Molecular Therapy - Nucleic Acids</w:t>
      </w:r>
      <w:r w:rsidRPr="00C57A7E">
        <w:rPr>
          <w:rFonts w:ascii="Calibri" w:hAnsi="Calibri" w:cs="Times New Roman"/>
          <w:noProof/>
          <w:szCs w:val="24"/>
        </w:rPr>
        <w:t>, 2(May). doi: 10.1038/mtna.2013.36.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Song, J.-J. </w:t>
      </w:r>
      <w:r w:rsidRPr="00C57A7E">
        <w:rPr>
          <w:rFonts w:ascii="Calibri" w:hAnsi="Calibri" w:cs="Times New Roman"/>
          <w:i/>
          <w:iCs/>
          <w:noProof/>
          <w:szCs w:val="24"/>
        </w:rPr>
        <w:t>et al.</w:t>
      </w:r>
      <w:r w:rsidRPr="00C57A7E">
        <w:rPr>
          <w:rFonts w:ascii="Calibri" w:hAnsi="Calibri" w:cs="Times New Roman"/>
          <w:noProof/>
          <w:szCs w:val="24"/>
        </w:rPr>
        <w:t xml:space="preserve"> (2003) ‘The crystal structure of the Argonaute2 PAZ domain reveals an RNA binding motif in RNAi effector complexes’, </w:t>
      </w:r>
      <w:r w:rsidRPr="00C57A7E">
        <w:rPr>
          <w:rFonts w:ascii="Calibri" w:hAnsi="Calibri" w:cs="Times New Roman"/>
          <w:i/>
          <w:iCs/>
          <w:noProof/>
          <w:szCs w:val="24"/>
        </w:rPr>
        <w:t>NATURE STRUCTURAL BIOLOGY</w:t>
      </w:r>
      <w:r w:rsidRPr="00C57A7E">
        <w:rPr>
          <w:rFonts w:ascii="Calibri" w:hAnsi="Calibri" w:cs="Times New Roman"/>
          <w:noProof/>
          <w:szCs w:val="24"/>
        </w:rPr>
        <w:t>, 10. doi: 10.1038/nsb1016.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Song, J.-J. </w:t>
      </w:r>
      <w:r w:rsidRPr="00C57A7E">
        <w:rPr>
          <w:rFonts w:ascii="Calibri" w:hAnsi="Calibri" w:cs="Times New Roman"/>
          <w:i/>
          <w:iCs/>
          <w:noProof/>
          <w:szCs w:val="24"/>
        </w:rPr>
        <w:t>et al.</w:t>
      </w:r>
      <w:r w:rsidRPr="00C57A7E">
        <w:rPr>
          <w:rFonts w:ascii="Calibri" w:hAnsi="Calibri" w:cs="Times New Roman"/>
          <w:noProof/>
          <w:szCs w:val="24"/>
        </w:rPr>
        <w:t xml:space="preserve"> (2004) ‘Crystal Structure of Argonaute and Its Implications for RISC Slicer Activity’, </w:t>
      </w:r>
      <w:r w:rsidRPr="00C57A7E">
        <w:rPr>
          <w:rFonts w:ascii="Calibri" w:hAnsi="Calibri" w:cs="Times New Roman"/>
          <w:i/>
          <w:iCs/>
          <w:noProof/>
          <w:szCs w:val="24"/>
        </w:rPr>
        <w:lastRenderedPageBreak/>
        <w:t>Science</w:t>
      </w:r>
      <w:r w:rsidRPr="00C57A7E">
        <w:rPr>
          <w:rFonts w:ascii="Calibri" w:hAnsi="Calibri" w:cs="Times New Roman"/>
          <w:noProof/>
          <w:szCs w:val="24"/>
        </w:rPr>
        <w:t>, 305(5689), pp. 1434–1437. doi: 10.1126/science.1102514.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Soutschek, J. </w:t>
      </w:r>
      <w:r w:rsidRPr="00C57A7E">
        <w:rPr>
          <w:rFonts w:ascii="Calibri" w:hAnsi="Calibri" w:cs="Times New Roman"/>
          <w:i/>
          <w:iCs/>
          <w:noProof/>
          <w:szCs w:val="24"/>
        </w:rPr>
        <w:t>et al.</w:t>
      </w:r>
      <w:r w:rsidRPr="00C57A7E">
        <w:rPr>
          <w:rFonts w:ascii="Calibri" w:hAnsi="Calibri" w:cs="Times New Roman"/>
          <w:noProof/>
          <w:szCs w:val="24"/>
        </w:rPr>
        <w:t xml:space="preserve"> (2004) ‘Therapeutic silencing of an endogenous gene by systemic administration of modified siRNAs’, </w:t>
      </w:r>
      <w:r w:rsidRPr="00C57A7E">
        <w:rPr>
          <w:rFonts w:ascii="Calibri" w:hAnsi="Calibri" w:cs="Times New Roman"/>
          <w:i/>
          <w:iCs/>
          <w:noProof/>
          <w:szCs w:val="24"/>
        </w:rPr>
        <w:t>Nature</w:t>
      </w:r>
      <w:r w:rsidRPr="00C57A7E">
        <w:rPr>
          <w:rFonts w:ascii="Calibri" w:hAnsi="Calibri" w:cs="Times New Roman"/>
          <w:noProof/>
          <w:szCs w:val="24"/>
        </w:rPr>
        <w:t>, 432(7014), pp. 173–178. doi: 10.1038/nature03121.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Sparks, M. E. </w:t>
      </w:r>
      <w:r w:rsidRPr="00C57A7E">
        <w:rPr>
          <w:rFonts w:ascii="Calibri" w:hAnsi="Calibri" w:cs="Times New Roman"/>
          <w:i/>
          <w:iCs/>
          <w:noProof/>
          <w:szCs w:val="24"/>
        </w:rPr>
        <w:t>et al.</w:t>
      </w:r>
      <w:r w:rsidRPr="00C57A7E">
        <w:rPr>
          <w:rFonts w:ascii="Calibri" w:hAnsi="Calibri" w:cs="Times New Roman"/>
          <w:noProof/>
          <w:szCs w:val="24"/>
        </w:rPr>
        <w:t xml:space="preserve"> (2014) ‘Transcriptome of the Invasive Brown Marmorated Stink Bug, Halyomorpha halys (Stål) (Heteroptera: Pentatomidae)’, </w:t>
      </w:r>
      <w:r w:rsidRPr="00C57A7E">
        <w:rPr>
          <w:rFonts w:ascii="Calibri" w:hAnsi="Calibri" w:cs="Times New Roman"/>
          <w:i/>
          <w:iCs/>
          <w:noProof/>
          <w:szCs w:val="24"/>
        </w:rPr>
        <w:t>PLoS ONE</w:t>
      </w:r>
      <w:r w:rsidRPr="00C57A7E">
        <w:rPr>
          <w:rFonts w:ascii="Calibri" w:hAnsi="Calibri" w:cs="Times New Roman"/>
          <w:noProof/>
          <w:szCs w:val="24"/>
        </w:rPr>
        <w:t>. Edited by O. Mittapalli. Public Library of Science, 9(11), p. e111646. doi: 10.1371/journal.pone.0111646.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Spit, J. </w:t>
      </w:r>
      <w:r w:rsidRPr="00C57A7E">
        <w:rPr>
          <w:rFonts w:ascii="Calibri" w:hAnsi="Calibri" w:cs="Times New Roman"/>
          <w:i/>
          <w:iCs/>
          <w:noProof/>
          <w:szCs w:val="24"/>
        </w:rPr>
        <w:t>et al.</w:t>
      </w:r>
      <w:r w:rsidRPr="00C57A7E">
        <w:rPr>
          <w:rFonts w:ascii="Calibri" w:hAnsi="Calibri" w:cs="Times New Roman"/>
          <w:noProof/>
          <w:szCs w:val="24"/>
        </w:rPr>
        <w:t xml:space="preserve"> (2017a) ‘Knockdown of nuclease activity in the gut enhances RNAi efficiency in the Colorado potato beetle, Leptinotarsa decemlineata, but not in the desert locust, Schistocerca gregaria’, </w:t>
      </w:r>
      <w:r w:rsidRPr="00C57A7E">
        <w:rPr>
          <w:rFonts w:ascii="Calibri" w:hAnsi="Calibri" w:cs="Times New Roman"/>
          <w:i/>
          <w:iCs/>
          <w:noProof/>
          <w:szCs w:val="24"/>
        </w:rPr>
        <w:t>Insect Biochemistry and Molecular Biology</w:t>
      </w:r>
      <w:r w:rsidRPr="00C57A7E">
        <w:rPr>
          <w:rFonts w:ascii="Calibri" w:hAnsi="Calibri" w:cs="Times New Roman"/>
          <w:noProof/>
          <w:szCs w:val="24"/>
        </w:rPr>
        <w:t>. Elsevier Ltd, 81, pp. 103–116. doi: 10.1016/j.ibmb.2017.01.004.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Spit, J. </w:t>
      </w:r>
      <w:r w:rsidRPr="00C57A7E">
        <w:rPr>
          <w:rFonts w:ascii="Calibri" w:hAnsi="Calibri" w:cs="Times New Roman"/>
          <w:i/>
          <w:iCs/>
          <w:noProof/>
          <w:szCs w:val="24"/>
        </w:rPr>
        <w:t>et al.</w:t>
      </w:r>
      <w:r w:rsidRPr="00C57A7E">
        <w:rPr>
          <w:rFonts w:ascii="Calibri" w:hAnsi="Calibri" w:cs="Times New Roman"/>
          <w:noProof/>
          <w:szCs w:val="24"/>
        </w:rPr>
        <w:t xml:space="preserve"> (2017b) ‘Knockdown of nuclease activity in the gut enhances RNAi efficiency in the Colorado potato beetle, Leptinotarsa decemlineata , but not in the desert locust, Schistocerca gregaria’, </w:t>
      </w:r>
      <w:r w:rsidRPr="00C57A7E">
        <w:rPr>
          <w:rFonts w:ascii="Calibri" w:hAnsi="Calibri" w:cs="Times New Roman"/>
          <w:i/>
          <w:iCs/>
          <w:noProof/>
          <w:szCs w:val="24"/>
        </w:rPr>
        <w:t>Insect Biochemistry and Molecular Biology</w:t>
      </w:r>
      <w:r w:rsidRPr="00C57A7E">
        <w:rPr>
          <w:rFonts w:ascii="Calibri" w:hAnsi="Calibri" w:cs="Times New Roman"/>
          <w:noProof/>
          <w:szCs w:val="24"/>
        </w:rPr>
        <w:t>, 81, pp. 103–116. doi: 10.1016/j.ibmb.2017.01.004.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Stahley, M. R. </w:t>
      </w:r>
      <w:r w:rsidRPr="00C57A7E">
        <w:rPr>
          <w:rFonts w:ascii="Calibri" w:hAnsi="Calibri" w:cs="Times New Roman"/>
          <w:i/>
          <w:iCs/>
          <w:noProof/>
          <w:szCs w:val="24"/>
        </w:rPr>
        <w:t>et al.</w:t>
      </w:r>
      <w:r w:rsidRPr="00C57A7E">
        <w:rPr>
          <w:rFonts w:ascii="Calibri" w:hAnsi="Calibri" w:cs="Times New Roman"/>
          <w:noProof/>
          <w:szCs w:val="24"/>
        </w:rPr>
        <w:t xml:space="preserve"> (2005a) ‘Structural Evidence for a Two-Metal-Ion Mechanism of Group I Intron Splicing’, </w:t>
      </w:r>
      <w:r w:rsidRPr="00C57A7E">
        <w:rPr>
          <w:rFonts w:ascii="Calibri" w:hAnsi="Calibri" w:cs="Times New Roman"/>
          <w:i/>
          <w:iCs/>
          <w:noProof/>
          <w:szCs w:val="24"/>
        </w:rPr>
        <w:t>Science</w:t>
      </w:r>
      <w:r w:rsidRPr="00C57A7E">
        <w:rPr>
          <w:rFonts w:ascii="Calibri" w:hAnsi="Calibri" w:cs="Times New Roman"/>
          <w:noProof/>
          <w:szCs w:val="24"/>
        </w:rPr>
        <w:t>. American Association for the Advancement of Science, 309(5740), pp. 1587–1590. doi: 10.1126/science.1114994.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Stahley, M. R. </w:t>
      </w:r>
      <w:r w:rsidRPr="00C57A7E">
        <w:rPr>
          <w:rFonts w:ascii="Calibri" w:hAnsi="Calibri" w:cs="Times New Roman"/>
          <w:i/>
          <w:iCs/>
          <w:noProof/>
          <w:szCs w:val="24"/>
        </w:rPr>
        <w:t>et al.</w:t>
      </w:r>
      <w:r w:rsidRPr="00C57A7E">
        <w:rPr>
          <w:rFonts w:ascii="Calibri" w:hAnsi="Calibri" w:cs="Times New Roman"/>
          <w:noProof/>
          <w:szCs w:val="24"/>
        </w:rPr>
        <w:t xml:space="preserve"> (2005b) ‘Structural Evidence for a Two-Metal-Ion Mechanism of Group I Intron Splicing’, </w:t>
      </w:r>
      <w:r w:rsidRPr="00C57A7E">
        <w:rPr>
          <w:rFonts w:ascii="Calibri" w:hAnsi="Calibri" w:cs="Times New Roman"/>
          <w:i/>
          <w:iCs/>
          <w:noProof/>
          <w:szCs w:val="24"/>
        </w:rPr>
        <w:t>Science</w:t>
      </w:r>
      <w:r w:rsidRPr="00C57A7E">
        <w:rPr>
          <w:rFonts w:ascii="Calibri" w:hAnsi="Calibri" w:cs="Times New Roman"/>
          <w:noProof/>
          <w:szCs w:val="24"/>
        </w:rPr>
        <w:t>. American Association for the Advancement of Science, 309(5740), pp. 1587–1590. doi: 10.1126/science.1114994.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Stefl, R. </w:t>
      </w:r>
      <w:r w:rsidRPr="00C57A7E">
        <w:rPr>
          <w:rFonts w:ascii="Calibri" w:hAnsi="Calibri" w:cs="Times New Roman"/>
          <w:i/>
          <w:iCs/>
          <w:noProof/>
          <w:szCs w:val="24"/>
        </w:rPr>
        <w:t>et al.</w:t>
      </w:r>
      <w:r w:rsidRPr="00C57A7E">
        <w:rPr>
          <w:rFonts w:ascii="Calibri" w:hAnsi="Calibri" w:cs="Times New Roman"/>
          <w:noProof/>
          <w:szCs w:val="24"/>
        </w:rPr>
        <w:t xml:space="preserve"> (2010) ‘The solution structure of the ADAR2 dsRBM-RNA complex reveals a sequence-specific readout of the minor groove.’, </w:t>
      </w:r>
      <w:r w:rsidRPr="00C57A7E">
        <w:rPr>
          <w:rFonts w:ascii="Calibri" w:hAnsi="Calibri" w:cs="Times New Roman"/>
          <w:i/>
          <w:iCs/>
          <w:noProof/>
          <w:szCs w:val="24"/>
        </w:rPr>
        <w:t>Cell</w:t>
      </w:r>
      <w:r w:rsidRPr="00C57A7E">
        <w:rPr>
          <w:rFonts w:ascii="Calibri" w:hAnsi="Calibri" w:cs="Times New Roman"/>
          <w:noProof/>
          <w:szCs w:val="24"/>
        </w:rPr>
        <w:t>. NIH Public Access, 143(2), pp. 225–37. doi: 10.1016/j.cell.2010.09.026.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Stein, C. A. (1996) ‘Phosphorothioate antisense oligodeoxynucleotides: questions of specificity’, </w:t>
      </w:r>
      <w:r w:rsidRPr="00C57A7E">
        <w:rPr>
          <w:rFonts w:ascii="Calibri" w:hAnsi="Calibri" w:cs="Times New Roman"/>
          <w:i/>
          <w:iCs/>
          <w:noProof/>
          <w:szCs w:val="24"/>
        </w:rPr>
        <w:t>Trends in Biotechnology</w:t>
      </w:r>
      <w:r w:rsidRPr="00C57A7E">
        <w:rPr>
          <w:rFonts w:ascii="Calibri" w:hAnsi="Calibri" w:cs="Times New Roman"/>
          <w:noProof/>
          <w:szCs w:val="24"/>
        </w:rPr>
        <w:t>. Elsevier Current Trends, 14(5), pp. 147–149. doi: 10.1016/0167-7799(96)20006-X.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Stovall, G. M. </w:t>
      </w:r>
      <w:r w:rsidRPr="00C57A7E">
        <w:rPr>
          <w:rFonts w:ascii="Calibri" w:hAnsi="Calibri" w:cs="Times New Roman"/>
          <w:i/>
          <w:iCs/>
          <w:noProof/>
          <w:szCs w:val="24"/>
        </w:rPr>
        <w:t>et al.</w:t>
      </w:r>
      <w:r w:rsidRPr="00C57A7E">
        <w:rPr>
          <w:rFonts w:ascii="Calibri" w:hAnsi="Calibri" w:cs="Times New Roman"/>
          <w:noProof/>
          <w:szCs w:val="24"/>
        </w:rPr>
        <w:t xml:space="preserve"> (2014) ‘In vitro selection using modified or unnatural nucleotides.’, </w:t>
      </w:r>
      <w:r w:rsidRPr="00C57A7E">
        <w:rPr>
          <w:rFonts w:ascii="Calibri" w:hAnsi="Calibri" w:cs="Times New Roman"/>
          <w:i/>
          <w:iCs/>
          <w:noProof/>
          <w:szCs w:val="24"/>
        </w:rPr>
        <w:t>Current protocols in nucleic acid chemistry</w:t>
      </w:r>
      <w:r w:rsidRPr="00C57A7E">
        <w:rPr>
          <w:rFonts w:ascii="Calibri" w:hAnsi="Calibri" w:cs="Times New Roman"/>
          <w:noProof/>
          <w:szCs w:val="24"/>
        </w:rPr>
        <w:t>. NIH Public Access, 56, pp. 9.6.1-33. doi: 10.1002/0471142700.nc0906s56.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Sun, W. and Nicholson, A. W. (2001) ‘Mechanism of Action of </w:t>
      </w:r>
      <w:r w:rsidRPr="00C57A7E">
        <w:rPr>
          <w:rFonts w:ascii="Calibri" w:hAnsi="Calibri" w:cs="Times New Roman"/>
          <w:i/>
          <w:iCs/>
          <w:noProof/>
          <w:szCs w:val="24"/>
        </w:rPr>
        <w:t>Escherichia coli</w:t>
      </w:r>
      <w:r w:rsidRPr="00C57A7E">
        <w:rPr>
          <w:rFonts w:ascii="Calibri" w:hAnsi="Calibri" w:cs="Times New Roman"/>
          <w:noProof/>
          <w:szCs w:val="24"/>
        </w:rPr>
        <w:t xml:space="preserve"> Ribonuclease III. Stringent Chemical Requirement for the Glutamic Acid 117 Side Chain and Mn </w:t>
      </w:r>
      <w:r w:rsidRPr="00C57A7E">
        <w:rPr>
          <w:rFonts w:ascii="Calibri" w:hAnsi="Calibri" w:cs="Times New Roman"/>
          <w:noProof/>
          <w:szCs w:val="24"/>
          <w:vertAlign w:val="superscript"/>
        </w:rPr>
        <w:t>2+</w:t>
      </w:r>
      <w:r w:rsidRPr="00C57A7E">
        <w:rPr>
          <w:rFonts w:ascii="Calibri" w:hAnsi="Calibri" w:cs="Times New Roman"/>
          <w:noProof/>
          <w:szCs w:val="24"/>
        </w:rPr>
        <w:t xml:space="preserve"> Rescue of the Glu117Asp Mutant </w:t>
      </w:r>
      <w:r w:rsidRPr="00C57A7E">
        <w:rPr>
          <w:rFonts w:ascii="Calibri" w:hAnsi="Calibri" w:cs="Times New Roman"/>
          <w:noProof/>
          <w:szCs w:val="24"/>
          <w:vertAlign w:val="superscript"/>
        </w:rPr>
        <w:t>†</w:t>
      </w:r>
      <w:r w:rsidRPr="00C57A7E">
        <w:rPr>
          <w:rFonts w:ascii="Calibri" w:hAnsi="Calibri" w:cs="Times New Roman"/>
          <w:noProof/>
          <w:szCs w:val="24"/>
        </w:rPr>
        <w:t xml:space="preserve">’, </w:t>
      </w:r>
      <w:r w:rsidRPr="00C57A7E">
        <w:rPr>
          <w:rFonts w:ascii="Calibri" w:hAnsi="Calibri" w:cs="Times New Roman"/>
          <w:i/>
          <w:iCs/>
          <w:noProof/>
          <w:szCs w:val="24"/>
        </w:rPr>
        <w:t>Biochemistry</w:t>
      </w:r>
      <w:r w:rsidRPr="00C57A7E">
        <w:rPr>
          <w:rFonts w:ascii="Calibri" w:hAnsi="Calibri" w:cs="Times New Roman"/>
          <w:noProof/>
          <w:szCs w:val="24"/>
        </w:rPr>
        <w:t>, 40(16), pp. 5102–5110. doi: 10.1021/bi010022d.</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Sun, W., Pertzev, A. and Nicholson, A. W. (2005) ‘Catalytic mechanism of Escherichia coli ribonuclease III: kinetic and inhibitor evidence for the involvement of two magnesium ions in RNA phosphodiester hydrolysis.’,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33(3), pp. 807–15. doi: 10.1093/nar/gki197.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Tabashnik, B. E., Brévault, T. and Carrière, Y. (2013) ‘Insect resistance to Bt crops: lessons from the first billion acres’, </w:t>
      </w:r>
      <w:r w:rsidRPr="00C57A7E">
        <w:rPr>
          <w:rFonts w:ascii="Calibri" w:hAnsi="Calibri" w:cs="Times New Roman"/>
          <w:i/>
          <w:iCs/>
          <w:noProof/>
          <w:szCs w:val="24"/>
        </w:rPr>
        <w:t>Nature Biotechnology</w:t>
      </w:r>
      <w:r w:rsidRPr="00C57A7E">
        <w:rPr>
          <w:rFonts w:ascii="Calibri" w:hAnsi="Calibri" w:cs="Times New Roman"/>
          <w:noProof/>
          <w:szCs w:val="24"/>
        </w:rPr>
        <w:t>, 31(6), pp. 510–521. doi: 10.1038/nbt.2597.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Tan, J., Levine, Steven L., </w:t>
      </w:r>
      <w:r w:rsidRPr="00C57A7E">
        <w:rPr>
          <w:rFonts w:ascii="Calibri" w:hAnsi="Calibri" w:cs="Times New Roman"/>
          <w:i/>
          <w:iCs/>
          <w:noProof/>
          <w:szCs w:val="24"/>
        </w:rPr>
        <w:t>et al.</w:t>
      </w:r>
      <w:r w:rsidRPr="00C57A7E">
        <w:rPr>
          <w:rFonts w:ascii="Calibri" w:hAnsi="Calibri" w:cs="Times New Roman"/>
          <w:noProof/>
          <w:szCs w:val="24"/>
        </w:rPr>
        <w:t xml:space="preserve"> (2016) ‘No impact of DvSnf7 RNA on honey bee ( </w:t>
      </w:r>
      <w:r w:rsidRPr="00C57A7E">
        <w:rPr>
          <w:rFonts w:ascii="Calibri" w:hAnsi="Calibri" w:cs="Times New Roman"/>
          <w:i/>
          <w:iCs/>
          <w:noProof/>
          <w:szCs w:val="24"/>
        </w:rPr>
        <w:t>Apis mellifera</w:t>
      </w:r>
      <w:r w:rsidRPr="00C57A7E">
        <w:rPr>
          <w:rFonts w:ascii="Calibri" w:hAnsi="Calibri" w:cs="Times New Roman"/>
          <w:noProof/>
          <w:szCs w:val="24"/>
        </w:rPr>
        <w:t xml:space="preserve"> L.) adults and larvae in dietary feeding tests’, </w:t>
      </w:r>
      <w:r w:rsidRPr="00C57A7E">
        <w:rPr>
          <w:rFonts w:ascii="Calibri" w:hAnsi="Calibri" w:cs="Times New Roman"/>
          <w:i/>
          <w:iCs/>
          <w:noProof/>
          <w:szCs w:val="24"/>
        </w:rPr>
        <w:t>Environmental Toxicology and Chemistry</w:t>
      </w:r>
      <w:r w:rsidRPr="00C57A7E">
        <w:rPr>
          <w:rFonts w:ascii="Calibri" w:hAnsi="Calibri" w:cs="Times New Roman"/>
          <w:noProof/>
          <w:szCs w:val="24"/>
        </w:rPr>
        <w:t>. John Wiley &amp; Sons, Ltd, 35(2), pp. 287–294. doi: 10.1002/etc.3075.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Tan, J., Levine, Steven L, </w:t>
      </w:r>
      <w:r w:rsidRPr="00C57A7E">
        <w:rPr>
          <w:rFonts w:ascii="Calibri" w:hAnsi="Calibri" w:cs="Times New Roman"/>
          <w:i/>
          <w:iCs/>
          <w:noProof/>
          <w:szCs w:val="24"/>
        </w:rPr>
        <w:t>et al.</w:t>
      </w:r>
      <w:r w:rsidRPr="00C57A7E">
        <w:rPr>
          <w:rFonts w:ascii="Calibri" w:hAnsi="Calibri" w:cs="Times New Roman"/>
          <w:noProof/>
          <w:szCs w:val="24"/>
        </w:rPr>
        <w:t xml:space="preserve"> (2016) ‘No impact of DvSnf7 RNA on honey bee (Apis mellifera L.) adults and larvae in dietary feeding tests.’, </w:t>
      </w:r>
      <w:r w:rsidRPr="00C57A7E">
        <w:rPr>
          <w:rFonts w:ascii="Calibri" w:hAnsi="Calibri" w:cs="Times New Roman"/>
          <w:i/>
          <w:iCs/>
          <w:noProof/>
          <w:szCs w:val="24"/>
        </w:rPr>
        <w:t>Environmental toxicology and chemistry</w:t>
      </w:r>
      <w:r w:rsidRPr="00C57A7E">
        <w:rPr>
          <w:rFonts w:ascii="Calibri" w:hAnsi="Calibri" w:cs="Times New Roman"/>
          <w:noProof/>
          <w:szCs w:val="24"/>
        </w:rPr>
        <w:t>. Wiley-Blackwell, 35(2), pp. 287–94. doi: 10.1002/etc.3075.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Tassetto, M., Kunitomi, M. and Andino, R. (2017) ‘Circulating Immune Cells Mediate a Systemic RNAi-</w:t>
      </w:r>
      <w:r w:rsidRPr="00C57A7E">
        <w:rPr>
          <w:rFonts w:ascii="Calibri" w:hAnsi="Calibri" w:cs="Times New Roman"/>
          <w:noProof/>
          <w:szCs w:val="24"/>
        </w:rPr>
        <w:lastRenderedPageBreak/>
        <w:t xml:space="preserve">Based Adaptive Antiviral Response in Drosophila’, </w:t>
      </w:r>
      <w:r w:rsidRPr="00C57A7E">
        <w:rPr>
          <w:rFonts w:ascii="Calibri" w:hAnsi="Calibri" w:cs="Times New Roman"/>
          <w:i/>
          <w:iCs/>
          <w:noProof/>
          <w:szCs w:val="24"/>
        </w:rPr>
        <w:t>Cell</w:t>
      </w:r>
      <w:r w:rsidRPr="00C57A7E">
        <w:rPr>
          <w:rFonts w:ascii="Calibri" w:hAnsi="Calibri" w:cs="Times New Roman"/>
          <w:noProof/>
          <w:szCs w:val="24"/>
        </w:rPr>
        <w:t>, 169(2), pp. 314-325.e13. doi: 10.1016/j.cell.2017.03.033.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Terenius, O. </w:t>
      </w:r>
      <w:r w:rsidRPr="00C57A7E">
        <w:rPr>
          <w:rFonts w:ascii="Calibri" w:hAnsi="Calibri" w:cs="Times New Roman"/>
          <w:i/>
          <w:iCs/>
          <w:noProof/>
          <w:szCs w:val="24"/>
        </w:rPr>
        <w:t>et al.</w:t>
      </w:r>
      <w:r w:rsidRPr="00C57A7E">
        <w:rPr>
          <w:rFonts w:ascii="Calibri" w:hAnsi="Calibri" w:cs="Times New Roman"/>
          <w:noProof/>
          <w:szCs w:val="24"/>
        </w:rPr>
        <w:t xml:space="preserve"> (2011) ‘RNA interference in Lepidoptera: An overview of successful and unsuccessful studies and implications for experimental design’, </w:t>
      </w:r>
      <w:r w:rsidRPr="00C57A7E">
        <w:rPr>
          <w:rFonts w:ascii="Calibri" w:hAnsi="Calibri" w:cs="Times New Roman"/>
          <w:i/>
          <w:iCs/>
          <w:noProof/>
          <w:szCs w:val="24"/>
        </w:rPr>
        <w:t>Journal of Insect Physiology</w:t>
      </w:r>
      <w:r w:rsidRPr="00C57A7E">
        <w:rPr>
          <w:rFonts w:ascii="Calibri" w:hAnsi="Calibri" w:cs="Times New Roman"/>
          <w:noProof/>
          <w:szCs w:val="24"/>
        </w:rPr>
        <w:t>. Pergamon, 57(2), pp. 231–245. doi: 10.1016/J.JINSPHYS.2010.11.006.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Thairu, M. W. </w:t>
      </w:r>
      <w:r w:rsidRPr="00C57A7E">
        <w:rPr>
          <w:rFonts w:ascii="Calibri" w:hAnsi="Calibri" w:cs="Times New Roman"/>
          <w:i/>
          <w:iCs/>
          <w:noProof/>
          <w:szCs w:val="24"/>
        </w:rPr>
        <w:t>et al.</w:t>
      </w:r>
      <w:r w:rsidRPr="00C57A7E">
        <w:rPr>
          <w:rFonts w:ascii="Calibri" w:hAnsi="Calibri" w:cs="Times New Roman"/>
          <w:noProof/>
          <w:szCs w:val="24"/>
        </w:rPr>
        <w:t xml:space="preserve"> (2017) ‘Efficacy of RNA interference knockdown using aerosolized short interfering RNAs bound to nanoparticles in three diverse aphid species’, </w:t>
      </w:r>
      <w:r w:rsidRPr="00C57A7E">
        <w:rPr>
          <w:rFonts w:ascii="Calibri" w:hAnsi="Calibri" w:cs="Times New Roman"/>
          <w:i/>
          <w:iCs/>
          <w:noProof/>
          <w:szCs w:val="24"/>
        </w:rPr>
        <w:t>Insect Molecular Biology</w:t>
      </w:r>
      <w:r w:rsidRPr="00C57A7E">
        <w:rPr>
          <w:rFonts w:ascii="Calibri" w:hAnsi="Calibri" w:cs="Times New Roman"/>
          <w:noProof/>
          <w:szCs w:val="24"/>
        </w:rPr>
        <w:t>. John Wiley &amp; Sons, Ltd (10.1111), 26(3), pp. 356–368. doi: 10.1111/imb.12301.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Thalhammer, A. </w:t>
      </w:r>
      <w:r w:rsidRPr="00C57A7E">
        <w:rPr>
          <w:rFonts w:ascii="Calibri" w:hAnsi="Calibri" w:cs="Times New Roman"/>
          <w:i/>
          <w:iCs/>
          <w:noProof/>
          <w:szCs w:val="24"/>
        </w:rPr>
        <w:t>et al.</w:t>
      </w:r>
      <w:r w:rsidRPr="00C57A7E">
        <w:rPr>
          <w:rFonts w:ascii="Calibri" w:hAnsi="Calibri" w:cs="Times New Roman"/>
          <w:noProof/>
          <w:szCs w:val="24"/>
        </w:rPr>
        <w:t xml:space="preserve"> (2011) ‘Hydroxylation of methylated CpG dinucleotides reverses stabilisation of DNA duplexes by cytosine 5-methylation’, </w:t>
      </w:r>
      <w:r w:rsidRPr="00C57A7E">
        <w:rPr>
          <w:rFonts w:ascii="Calibri" w:hAnsi="Calibri" w:cs="Times New Roman"/>
          <w:i/>
          <w:iCs/>
          <w:noProof/>
          <w:szCs w:val="24"/>
        </w:rPr>
        <w:t>Chemical Communications</w:t>
      </w:r>
      <w:r w:rsidRPr="00C57A7E">
        <w:rPr>
          <w:rFonts w:ascii="Calibri" w:hAnsi="Calibri" w:cs="Times New Roman"/>
          <w:noProof/>
          <w:szCs w:val="24"/>
        </w:rPr>
        <w:t>. The Royal Society of Chemistry, 47(18), p. 5325. doi: 10.1039/c0cc05671e.</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Thany, S. H. (2010) ‘Neonicotinoid insecticides: historical evolution and resistance mechanisms.’, </w:t>
      </w:r>
      <w:r w:rsidRPr="00C57A7E">
        <w:rPr>
          <w:rFonts w:ascii="Calibri" w:hAnsi="Calibri" w:cs="Times New Roman"/>
          <w:i/>
          <w:iCs/>
          <w:noProof/>
          <w:szCs w:val="24"/>
        </w:rPr>
        <w:t>Advances in experimental medicine and biology</w:t>
      </w:r>
      <w:r w:rsidRPr="00C57A7E">
        <w:rPr>
          <w:rFonts w:ascii="Calibri" w:hAnsi="Calibri" w:cs="Times New Roman"/>
          <w:noProof/>
          <w:szCs w:val="24"/>
        </w:rPr>
        <w:t>, 683, pp. 75–83. Available at: http://www.ncbi.nlm.nih.gov/pubmed/20737790 (Accessed: 16 September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Thorne, N., Inglese, J. and Auld, D. S. (2010) ‘Illuminating insights into firefly luciferase and other bioluminescent reporters used in chemical biology.’, </w:t>
      </w:r>
      <w:r w:rsidRPr="00C57A7E">
        <w:rPr>
          <w:rFonts w:ascii="Calibri" w:hAnsi="Calibri" w:cs="Times New Roman"/>
          <w:i/>
          <w:iCs/>
          <w:noProof/>
          <w:szCs w:val="24"/>
        </w:rPr>
        <w:t>Chemistry &amp; biology</w:t>
      </w:r>
      <w:r w:rsidRPr="00C57A7E">
        <w:rPr>
          <w:rFonts w:ascii="Calibri" w:hAnsi="Calibri" w:cs="Times New Roman"/>
          <w:noProof/>
          <w:szCs w:val="24"/>
        </w:rPr>
        <w:t>. NIH Public Access, 17(6), pp. 646–57. doi: 10.1016/j.chembiol.2010.05.012.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Timmons, L., Court, D. L. and Fire, A. (2001) ‘Ingestion of bacterially expressed dsRNAs can produce specific and potent genetic interference in Caenorhabditis elegans’, </w:t>
      </w:r>
      <w:r w:rsidRPr="00C57A7E">
        <w:rPr>
          <w:rFonts w:ascii="Calibri" w:hAnsi="Calibri" w:cs="Times New Roman"/>
          <w:i/>
          <w:iCs/>
          <w:noProof/>
          <w:szCs w:val="24"/>
        </w:rPr>
        <w:t>Gene</w:t>
      </w:r>
      <w:r w:rsidRPr="00C57A7E">
        <w:rPr>
          <w:rFonts w:ascii="Calibri" w:hAnsi="Calibri" w:cs="Times New Roman"/>
          <w:noProof/>
          <w:szCs w:val="24"/>
        </w:rPr>
        <w:t>, 263(1–2), pp. 103–112. doi: 10.1016/S0378-1119(00)00579-5.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Tolia, N. H. and Joshua-Tor, L. (2007) ‘Slicer and the Argonautes’, </w:t>
      </w:r>
      <w:r w:rsidRPr="00C57A7E">
        <w:rPr>
          <w:rFonts w:ascii="Calibri" w:hAnsi="Calibri" w:cs="Times New Roman"/>
          <w:i/>
          <w:iCs/>
          <w:noProof/>
          <w:szCs w:val="24"/>
        </w:rPr>
        <w:t>Nature Chemical Biology</w:t>
      </w:r>
      <w:r w:rsidRPr="00C57A7E">
        <w:rPr>
          <w:rFonts w:ascii="Calibri" w:hAnsi="Calibri" w:cs="Times New Roman"/>
          <w:noProof/>
          <w:szCs w:val="24"/>
        </w:rPr>
        <w:t>, 3(1), pp. 36–43. doi: 10.1038/nchembio848.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Tomari, Y. and Zamore, P. D. (2005) ‘MicroRNA Biogenesis: Drosha Can’t Cut It without a Partner’, </w:t>
      </w:r>
      <w:r w:rsidRPr="00C57A7E">
        <w:rPr>
          <w:rFonts w:ascii="Calibri" w:hAnsi="Calibri" w:cs="Times New Roman"/>
          <w:i/>
          <w:iCs/>
          <w:noProof/>
          <w:szCs w:val="24"/>
        </w:rPr>
        <w:t>Current Biology</w:t>
      </w:r>
      <w:r w:rsidRPr="00C57A7E">
        <w:rPr>
          <w:rFonts w:ascii="Calibri" w:hAnsi="Calibri" w:cs="Times New Roman"/>
          <w:noProof/>
          <w:szCs w:val="24"/>
        </w:rPr>
        <w:t>. Cell Press, 15(2), pp. R61–R64. doi: 10.1016/J.CUB.2004.12.057.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Tomoyasu, Y. </w:t>
      </w:r>
      <w:r w:rsidRPr="00C57A7E">
        <w:rPr>
          <w:rFonts w:ascii="Calibri" w:hAnsi="Calibri" w:cs="Times New Roman"/>
          <w:i/>
          <w:iCs/>
          <w:noProof/>
          <w:szCs w:val="24"/>
        </w:rPr>
        <w:t>et al.</w:t>
      </w:r>
      <w:r w:rsidRPr="00C57A7E">
        <w:rPr>
          <w:rFonts w:ascii="Calibri" w:hAnsi="Calibri" w:cs="Times New Roman"/>
          <w:noProof/>
          <w:szCs w:val="24"/>
        </w:rPr>
        <w:t xml:space="preserve"> (2008) ‘Exploring systemic RNA interference in insects: a genome-wide survey for RNAi genes in Tribolium’, </w:t>
      </w:r>
      <w:r w:rsidRPr="00C57A7E">
        <w:rPr>
          <w:rFonts w:ascii="Calibri" w:hAnsi="Calibri" w:cs="Times New Roman"/>
          <w:i/>
          <w:iCs/>
          <w:noProof/>
          <w:szCs w:val="24"/>
        </w:rPr>
        <w:t>Genome Biology</w:t>
      </w:r>
      <w:r w:rsidRPr="00C57A7E">
        <w:rPr>
          <w:rFonts w:ascii="Calibri" w:hAnsi="Calibri" w:cs="Times New Roman"/>
          <w:noProof/>
          <w:szCs w:val="24"/>
        </w:rPr>
        <w:t>, 9(1), p. R10. doi: 10.1186/gb-2008-9-1-r10.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Tougou, D., Musolin, D. L. and Fujisaki, K. (2009) ‘Some like it hot! Rapid climate change promotes changes in distribution ranges of </w:t>
      </w:r>
      <w:r w:rsidRPr="00C57A7E">
        <w:rPr>
          <w:rFonts w:ascii="Calibri" w:hAnsi="Calibri" w:cs="Times New Roman"/>
          <w:i/>
          <w:iCs/>
          <w:noProof/>
          <w:szCs w:val="24"/>
        </w:rPr>
        <w:t>Nezara viridula</w:t>
      </w:r>
      <w:r w:rsidRPr="00C57A7E">
        <w:rPr>
          <w:rFonts w:ascii="Calibri" w:hAnsi="Calibri" w:cs="Times New Roman"/>
          <w:noProof/>
          <w:szCs w:val="24"/>
        </w:rPr>
        <w:t xml:space="preserve"> and </w:t>
      </w:r>
      <w:r w:rsidRPr="00C57A7E">
        <w:rPr>
          <w:rFonts w:ascii="Calibri" w:hAnsi="Calibri" w:cs="Times New Roman"/>
          <w:i/>
          <w:iCs/>
          <w:noProof/>
          <w:szCs w:val="24"/>
        </w:rPr>
        <w:t>Nezara antennata</w:t>
      </w:r>
      <w:r w:rsidRPr="00C57A7E">
        <w:rPr>
          <w:rFonts w:ascii="Calibri" w:hAnsi="Calibri" w:cs="Times New Roman"/>
          <w:noProof/>
          <w:szCs w:val="24"/>
        </w:rPr>
        <w:t xml:space="preserve"> in Japan’, </w:t>
      </w:r>
      <w:r w:rsidRPr="00C57A7E">
        <w:rPr>
          <w:rFonts w:ascii="Calibri" w:hAnsi="Calibri" w:cs="Times New Roman"/>
          <w:i/>
          <w:iCs/>
          <w:noProof/>
          <w:szCs w:val="24"/>
        </w:rPr>
        <w:t>Entomologia Experimentalis et Applicata</w:t>
      </w:r>
      <w:r w:rsidRPr="00C57A7E">
        <w:rPr>
          <w:rFonts w:ascii="Calibri" w:hAnsi="Calibri" w:cs="Times New Roman"/>
          <w:noProof/>
          <w:szCs w:val="24"/>
        </w:rPr>
        <w:t>. John Wiley &amp; Sons, Ltd (10.1111), 130(3), pp. 249–258. doi: 10.1111/j.1570-7458.2008.00818.x.</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TriLink Biotechnologies (2016) </w:t>
      </w:r>
      <w:r w:rsidRPr="00C57A7E">
        <w:rPr>
          <w:rFonts w:ascii="Calibri" w:hAnsi="Calibri" w:cs="Times New Roman"/>
          <w:i/>
          <w:iCs/>
          <w:noProof/>
          <w:szCs w:val="24"/>
        </w:rPr>
        <w:t>Certificate of analysis: (1-Thio)-ATP N-8005</w:t>
      </w:r>
      <w:r w:rsidRPr="00C57A7E">
        <w:rPr>
          <w:rFonts w:ascii="Calibri" w:hAnsi="Calibri" w:cs="Times New Roman"/>
          <w:noProof/>
          <w:szCs w:val="24"/>
        </w:rPr>
        <w:t>. Available at: https://www.trilinkbiotech.com/cart/coa/N-8005-090904B-8.pdf (Accessed: 22 August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Tsvetkov, N. </w:t>
      </w:r>
      <w:r w:rsidRPr="00C57A7E">
        <w:rPr>
          <w:rFonts w:ascii="Calibri" w:hAnsi="Calibri" w:cs="Times New Roman"/>
          <w:i/>
          <w:iCs/>
          <w:noProof/>
          <w:szCs w:val="24"/>
        </w:rPr>
        <w:t>et al.</w:t>
      </w:r>
      <w:r w:rsidRPr="00C57A7E">
        <w:rPr>
          <w:rFonts w:ascii="Calibri" w:hAnsi="Calibri" w:cs="Times New Roman"/>
          <w:noProof/>
          <w:szCs w:val="24"/>
        </w:rPr>
        <w:t xml:space="preserve"> (2017) ‘Chronic exposure to neonicotinoids reduces honey bee health near corn crops.’, </w:t>
      </w:r>
      <w:r w:rsidRPr="00C57A7E">
        <w:rPr>
          <w:rFonts w:ascii="Calibri" w:hAnsi="Calibri" w:cs="Times New Roman"/>
          <w:i/>
          <w:iCs/>
          <w:noProof/>
          <w:szCs w:val="24"/>
        </w:rPr>
        <w:t>Science (New York, N.Y.)</w:t>
      </w:r>
      <w:r w:rsidRPr="00C57A7E">
        <w:rPr>
          <w:rFonts w:ascii="Calibri" w:hAnsi="Calibri" w:cs="Times New Roman"/>
          <w:noProof/>
          <w:szCs w:val="24"/>
        </w:rPr>
        <w:t>. American Association for the Advancement of Science, 356(6345), pp. 1395–1397. doi: 10.1126/science.aam7470.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Ueda, T. </w:t>
      </w:r>
      <w:r w:rsidRPr="00C57A7E">
        <w:rPr>
          <w:rFonts w:ascii="Calibri" w:hAnsi="Calibri" w:cs="Times New Roman"/>
          <w:i/>
          <w:iCs/>
          <w:noProof/>
          <w:szCs w:val="24"/>
        </w:rPr>
        <w:t>et al.</w:t>
      </w:r>
      <w:r w:rsidRPr="00C57A7E">
        <w:rPr>
          <w:rFonts w:ascii="Calibri" w:hAnsi="Calibri" w:cs="Times New Roman"/>
          <w:noProof/>
          <w:szCs w:val="24"/>
        </w:rPr>
        <w:t xml:space="preserve"> (1991) ‘Phosphorothioate-containing RNAs show mRNA activity in the prokaryotic translation systems in vitro.’,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19(3), pp. 547–52. doi: 10.1093/nar/19.3.547.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Ulvila, J. </w:t>
      </w:r>
      <w:r w:rsidRPr="00C57A7E">
        <w:rPr>
          <w:rFonts w:ascii="Calibri" w:hAnsi="Calibri" w:cs="Times New Roman"/>
          <w:i/>
          <w:iCs/>
          <w:noProof/>
          <w:szCs w:val="24"/>
        </w:rPr>
        <w:t>et al.</w:t>
      </w:r>
      <w:r w:rsidRPr="00C57A7E">
        <w:rPr>
          <w:rFonts w:ascii="Calibri" w:hAnsi="Calibri" w:cs="Times New Roman"/>
          <w:noProof/>
          <w:szCs w:val="24"/>
        </w:rPr>
        <w:t xml:space="preserve"> (2006) ‘Double-stranded RNA Is Internalized by Scavenger Receptor-mediated Endocytosis in </w:t>
      </w:r>
      <w:r w:rsidRPr="00C57A7E">
        <w:rPr>
          <w:rFonts w:ascii="Calibri" w:hAnsi="Calibri" w:cs="Times New Roman"/>
          <w:i/>
          <w:iCs/>
          <w:noProof/>
          <w:szCs w:val="24"/>
        </w:rPr>
        <w:t>Drosophila</w:t>
      </w:r>
      <w:r w:rsidRPr="00C57A7E">
        <w:rPr>
          <w:rFonts w:ascii="Calibri" w:hAnsi="Calibri" w:cs="Times New Roman"/>
          <w:noProof/>
          <w:szCs w:val="24"/>
        </w:rPr>
        <w:t xml:space="preserve"> S2 Cells’, </w:t>
      </w:r>
      <w:r w:rsidRPr="00C57A7E">
        <w:rPr>
          <w:rFonts w:ascii="Calibri" w:hAnsi="Calibri" w:cs="Times New Roman"/>
          <w:i/>
          <w:iCs/>
          <w:noProof/>
          <w:szCs w:val="24"/>
        </w:rPr>
        <w:t>Journal of Biological Chemistry</w:t>
      </w:r>
      <w:r w:rsidRPr="00C57A7E">
        <w:rPr>
          <w:rFonts w:ascii="Calibri" w:hAnsi="Calibri" w:cs="Times New Roman"/>
          <w:noProof/>
          <w:szCs w:val="24"/>
        </w:rPr>
        <w:t>, 281(20), pp. 14370–14375. doi: 10.1074/jbc.M513868200.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US EPA, O. (2017) </w:t>
      </w:r>
      <w:r w:rsidRPr="00C57A7E">
        <w:rPr>
          <w:rFonts w:ascii="Calibri" w:hAnsi="Calibri" w:cs="Times New Roman"/>
          <w:i/>
          <w:iCs/>
          <w:noProof/>
          <w:szCs w:val="24"/>
        </w:rPr>
        <w:t>EPA Registers Innovative Tool to Control Corn Rootworm</w:t>
      </w:r>
      <w:r w:rsidRPr="00C57A7E">
        <w:rPr>
          <w:rFonts w:ascii="Calibri" w:hAnsi="Calibri" w:cs="Times New Roman"/>
          <w:noProof/>
          <w:szCs w:val="24"/>
        </w:rPr>
        <w:t>. Available at: https://www.epa.gov/newsreleases/epa-registers-innovative-tool-control-corn-rootworm (Accessed: 15 September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lastRenderedPageBreak/>
        <w:t xml:space="preserve">Vagin, V. V. </w:t>
      </w:r>
      <w:r w:rsidRPr="00C57A7E">
        <w:rPr>
          <w:rFonts w:ascii="Calibri" w:hAnsi="Calibri" w:cs="Times New Roman"/>
          <w:i/>
          <w:iCs/>
          <w:noProof/>
          <w:szCs w:val="24"/>
        </w:rPr>
        <w:t>et al.</w:t>
      </w:r>
      <w:r w:rsidRPr="00C57A7E">
        <w:rPr>
          <w:rFonts w:ascii="Calibri" w:hAnsi="Calibri" w:cs="Times New Roman"/>
          <w:noProof/>
          <w:szCs w:val="24"/>
        </w:rPr>
        <w:t xml:space="preserve"> (2006) ‘A Distinct Small RNA Pathway Silences Selfish Genetic Elements in the Germline’, </w:t>
      </w:r>
      <w:r w:rsidRPr="00C57A7E">
        <w:rPr>
          <w:rFonts w:ascii="Calibri" w:hAnsi="Calibri" w:cs="Times New Roman"/>
          <w:i/>
          <w:iCs/>
          <w:noProof/>
          <w:szCs w:val="24"/>
        </w:rPr>
        <w:t>Science</w:t>
      </w:r>
      <w:r w:rsidRPr="00C57A7E">
        <w:rPr>
          <w:rFonts w:ascii="Calibri" w:hAnsi="Calibri" w:cs="Times New Roman"/>
          <w:noProof/>
          <w:szCs w:val="24"/>
        </w:rPr>
        <w:t>, 313(5785), pp. 320–324. doi: 10.1126/science.1129333.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Vaishnaw, A. K. </w:t>
      </w:r>
      <w:r w:rsidRPr="00C57A7E">
        <w:rPr>
          <w:rFonts w:ascii="Calibri" w:hAnsi="Calibri" w:cs="Times New Roman"/>
          <w:i/>
          <w:iCs/>
          <w:noProof/>
          <w:szCs w:val="24"/>
        </w:rPr>
        <w:t>et al.</w:t>
      </w:r>
      <w:r w:rsidRPr="00C57A7E">
        <w:rPr>
          <w:rFonts w:ascii="Calibri" w:hAnsi="Calibri" w:cs="Times New Roman"/>
          <w:noProof/>
          <w:szCs w:val="24"/>
        </w:rPr>
        <w:t xml:space="preserve"> (2010) ‘A status report on RNAi therapeutics.’, </w:t>
      </w:r>
      <w:r w:rsidRPr="00C57A7E">
        <w:rPr>
          <w:rFonts w:ascii="Calibri" w:hAnsi="Calibri" w:cs="Times New Roman"/>
          <w:i/>
          <w:iCs/>
          <w:noProof/>
          <w:szCs w:val="24"/>
        </w:rPr>
        <w:t>Silence</w:t>
      </w:r>
      <w:r w:rsidRPr="00C57A7E">
        <w:rPr>
          <w:rFonts w:ascii="Calibri" w:hAnsi="Calibri" w:cs="Times New Roman"/>
          <w:noProof/>
          <w:szCs w:val="24"/>
        </w:rPr>
        <w:t>, 1(1), p. 14. doi: 10.1186/1758-907X-1-14.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Vatanparast, M. and Kim, Y. (2017) ‘Optimization of recombinant bacteria expressing dsRNA to enhance insecticidal activity against a lepidopteran insect, Spodoptera exigua’, </w:t>
      </w:r>
      <w:r w:rsidRPr="00C57A7E">
        <w:rPr>
          <w:rFonts w:ascii="Calibri" w:hAnsi="Calibri" w:cs="Times New Roman"/>
          <w:i/>
          <w:iCs/>
          <w:noProof/>
          <w:szCs w:val="24"/>
        </w:rPr>
        <w:t>PLOS ONE</w:t>
      </w:r>
      <w:r w:rsidRPr="00C57A7E">
        <w:rPr>
          <w:rFonts w:ascii="Calibri" w:hAnsi="Calibri" w:cs="Times New Roman"/>
          <w:noProof/>
          <w:szCs w:val="24"/>
        </w:rPr>
        <w:t>. Edited by E. Ling. Public Library of Science, 12(8), p. e0183054. doi: 10.1371/journal.pone.0183054.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Vissers, J. H. A. </w:t>
      </w:r>
      <w:r w:rsidRPr="00C57A7E">
        <w:rPr>
          <w:rFonts w:ascii="Calibri" w:hAnsi="Calibri" w:cs="Times New Roman"/>
          <w:i/>
          <w:iCs/>
          <w:noProof/>
          <w:szCs w:val="24"/>
        </w:rPr>
        <w:t>et al.</w:t>
      </w:r>
      <w:r w:rsidRPr="00C57A7E">
        <w:rPr>
          <w:rFonts w:ascii="Calibri" w:hAnsi="Calibri" w:cs="Times New Roman"/>
          <w:noProof/>
          <w:szCs w:val="24"/>
        </w:rPr>
        <w:t xml:space="preserve"> (2016) ‘A Drosophila RNAi library modulates Hippo pathway-dependent tissue growth’, </w:t>
      </w:r>
      <w:r w:rsidRPr="00C57A7E">
        <w:rPr>
          <w:rFonts w:ascii="Calibri" w:hAnsi="Calibri" w:cs="Times New Roman"/>
          <w:i/>
          <w:iCs/>
          <w:noProof/>
          <w:szCs w:val="24"/>
        </w:rPr>
        <w:t>Nature Communications</w:t>
      </w:r>
      <w:r w:rsidRPr="00C57A7E">
        <w:rPr>
          <w:rFonts w:ascii="Calibri" w:hAnsi="Calibri" w:cs="Times New Roman"/>
          <w:noProof/>
          <w:szCs w:val="24"/>
        </w:rPr>
        <w:t>. Nature Publishing Group, 7, pp. 1–6. doi: 10.1038/ncomms10368.</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Vlot, M. </w:t>
      </w:r>
      <w:r w:rsidRPr="00C57A7E">
        <w:rPr>
          <w:rFonts w:ascii="Calibri" w:hAnsi="Calibri" w:cs="Times New Roman"/>
          <w:i/>
          <w:iCs/>
          <w:noProof/>
          <w:szCs w:val="24"/>
        </w:rPr>
        <w:t>et al.</w:t>
      </w:r>
      <w:r w:rsidRPr="00C57A7E">
        <w:rPr>
          <w:rFonts w:ascii="Calibri" w:hAnsi="Calibri" w:cs="Times New Roman"/>
          <w:noProof/>
          <w:szCs w:val="24"/>
        </w:rPr>
        <w:t xml:space="preserve"> (2018) ‘Bacteriophage DNA glucosylation impairs target DNA binding by type I and II but not by type V CRISPR–Cas effector complexes’, </w:t>
      </w:r>
      <w:r w:rsidRPr="00C57A7E">
        <w:rPr>
          <w:rFonts w:ascii="Calibri" w:hAnsi="Calibri" w:cs="Times New Roman"/>
          <w:i/>
          <w:iCs/>
          <w:noProof/>
          <w:szCs w:val="24"/>
        </w:rPr>
        <w:t>Nucleic Acids Research</w:t>
      </w:r>
      <w:r w:rsidRPr="00C57A7E">
        <w:rPr>
          <w:rFonts w:ascii="Calibri" w:hAnsi="Calibri" w:cs="Times New Roman"/>
          <w:noProof/>
          <w:szCs w:val="24"/>
        </w:rPr>
        <w:t>. Oxford University Press, 46(2), pp. 873–885. doi: 10.1093/nar/gkx1264.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Vogel, E. </w:t>
      </w:r>
      <w:r w:rsidRPr="00C57A7E">
        <w:rPr>
          <w:rFonts w:ascii="Calibri" w:hAnsi="Calibri" w:cs="Times New Roman"/>
          <w:i/>
          <w:iCs/>
          <w:noProof/>
          <w:szCs w:val="24"/>
        </w:rPr>
        <w:t>et al.</w:t>
      </w:r>
      <w:r w:rsidRPr="00C57A7E">
        <w:rPr>
          <w:rFonts w:ascii="Calibri" w:hAnsi="Calibri" w:cs="Times New Roman"/>
          <w:noProof/>
          <w:szCs w:val="24"/>
        </w:rPr>
        <w:t xml:space="preserve"> (2019) ‘RNA Interference in Insects: Protecting Beneficials and Controlling Pests’, </w:t>
      </w:r>
      <w:r w:rsidRPr="00C57A7E">
        <w:rPr>
          <w:rFonts w:ascii="Calibri" w:hAnsi="Calibri" w:cs="Times New Roman"/>
          <w:i/>
          <w:iCs/>
          <w:noProof/>
          <w:szCs w:val="24"/>
        </w:rPr>
        <w:t>Frontiers in Physiology</w:t>
      </w:r>
      <w:r w:rsidRPr="00C57A7E">
        <w:rPr>
          <w:rFonts w:ascii="Calibri" w:hAnsi="Calibri" w:cs="Times New Roman"/>
          <w:noProof/>
          <w:szCs w:val="24"/>
        </w:rPr>
        <w:t>. Frontiers, 9, p. 1912. doi: 10.3389/fphys.2018.01912.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Vyas, M. </w:t>
      </w:r>
      <w:r w:rsidRPr="00C57A7E">
        <w:rPr>
          <w:rFonts w:ascii="Calibri" w:hAnsi="Calibri" w:cs="Times New Roman"/>
          <w:i/>
          <w:iCs/>
          <w:noProof/>
          <w:szCs w:val="24"/>
        </w:rPr>
        <w:t>et al.</w:t>
      </w:r>
      <w:r w:rsidRPr="00C57A7E">
        <w:rPr>
          <w:rFonts w:ascii="Calibri" w:hAnsi="Calibri" w:cs="Times New Roman"/>
          <w:noProof/>
          <w:szCs w:val="24"/>
        </w:rPr>
        <w:t xml:space="preserve"> (2017) ‘Knock down of Whitefly Gut Gene Expression and Mortality by Orally Delivered Gut Gene-Specific dsRNAs’, </w:t>
      </w:r>
      <w:r w:rsidRPr="00C57A7E">
        <w:rPr>
          <w:rFonts w:ascii="Calibri" w:hAnsi="Calibri" w:cs="Times New Roman"/>
          <w:i/>
          <w:iCs/>
          <w:noProof/>
          <w:szCs w:val="24"/>
        </w:rPr>
        <w:t>PLOS ONE</w:t>
      </w:r>
      <w:r w:rsidRPr="00C57A7E">
        <w:rPr>
          <w:rFonts w:ascii="Calibri" w:hAnsi="Calibri" w:cs="Times New Roman"/>
          <w:noProof/>
          <w:szCs w:val="24"/>
        </w:rPr>
        <w:t>. Edited by Y. Zhang. Public Library of Science, 12(1), p. e0168921. doi: 10.1371/journal.pone.0168921.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Weber, F. </w:t>
      </w:r>
      <w:r w:rsidRPr="00C57A7E">
        <w:rPr>
          <w:rFonts w:ascii="Calibri" w:hAnsi="Calibri" w:cs="Times New Roman"/>
          <w:i/>
          <w:iCs/>
          <w:noProof/>
          <w:szCs w:val="24"/>
        </w:rPr>
        <w:t>et al.</w:t>
      </w:r>
      <w:r w:rsidRPr="00C57A7E">
        <w:rPr>
          <w:rFonts w:ascii="Calibri" w:hAnsi="Calibri" w:cs="Times New Roman"/>
          <w:noProof/>
          <w:szCs w:val="24"/>
        </w:rPr>
        <w:t xml:space="preserve"> (2006) ‘Double-stranded RNA is produced by positive-strand RNA viruses and DNA viruses but not in detectable amounts by negative-strand RNA viruses.’, </w:t>
      </w:r>
      <w:r w:rsidRPr="00C57A7E">
        <w:rPr>
          <w:rFonts w:ascii="Calibri" w:hAnsi="Calibri" w:cs="Times New Roman"/>
          <w:i/>
          <w:iCs/>
          <w:noProof/>
          <w:szCs w:val="24"/>
        </w:rPr>
        <w:t>Journal of virology</w:t>
      </w:r>
      <w:r w:rsidRPr="00C57A7E">
        <w:rPr>
          <w:rFonts w:ascii="Calibri" w:hAnsi="Calibri" w:cs="Times New Roman"/>
          <w:noProof/>
          <w:szCs w:val="24"/>
        </w:rPr>
        <w:t>. American Society for Microbiology (ASM), 80(10), pp. 5059–64. doi: 10.1128/JVI.80.10.5059-5064.2006.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Whalon, M. E., Mota-Sanchez, D. and Hollingworth, R. M. (2008) </w:t>
      </w:r>
      <w:r w:rsidRPr="00C57A7E">
        <w:rPr>
          <w:rFonts w:ascii="Calibri" w:hAnsi="Calibri" w:cs="Times New Roman"/>
          <w:i/>
          <w:iCs/>
          <w:noProof/>
          <w:szCs w:val="24"/>
        </w:rPr>
        <w:t>Global Pesticide Resistance in Arthropods</w:t>
      </w:r>
      <w:r w:rsidRPr="00C57A7E">
        <w:rPr>
          <w:rFonts w:ascii="Calibri" w:hAnsi="Calibri" w:cs="Times New Roman"/>
          <w:noProof/>
          <w:szCs w:val="24"/>
        </w:rPr>
        <w:t>. Wallingford: CABI International. Available at: https://www.cabi.org/bookshop/book/9781845933531 (Accessed: 13 September 2019).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Whangbo, J. S. and Hunter, C. P. (2008) ‘Environmental RNA interference’, </w:t>
      </w:r>
      <w:r w:rsidRPr="00C57A7E">
        <w:rPr>
          <w:rFonts w:ascii="Calibri" w:hAnsi="Calibri" w:cs="Times New Roman"/>
          <w:i/>
          <w:iCs/>
          <w:noProof/>
          <w:szCs w:val="24"/>
        </w:rPr>
        <w:t>Trends in Genetics</w:t>
      </w:r>
      <w:r w:rsidRPr="00C57A7E">
        <w:rPr>
          <w:rFonts w:ascii="Calibri" w:hAnsi="Calibri" w:cs="Times New Roman"/>
          <w:noProof/>
          <w:szCs w:val="24"/>
        </w:rPr>
        <w:t>, 24(6), pp. 297–305. doi: 10.1016/j.tig.2008.03.007.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Whitten, M. M. A. </w:t>
      </w:r>
      <w:r w:rsidRPr="00C57A7E">
        <w:rPr>
          <w:rFonts w:ascii="Calibri" w:hAnsi="Calibri" w:cs="Times New Roman"/>
          <w:i/>
          <w:iCs/>
          <w:noProof/>
          <w:szCs w:val="24"/>
        </w:rPr>
        <w:t>et al.</w:t>
      </w:r>
      <w:r w:rsidRPr="00C57A7E">
        <w:rPr>
          <w:rFonts w:ascii="Calibri" w:hAnsi="Calibri" w:cs="Times New Roman"/>
          <w:noProof/>
          <w:szCs w:val="24"/>
        </w:rPr>
        <w:t xml:space="preserve"> (2016) ‘Symbiont-mediated RNA interference in insects’, </w:t>
      </w:r>
      <w:r w:rsidRPr="00C57A7E">
        <w:rPr>
          <w:rFonts w:ascii="Calibri" w:hAnsi="Calibri" w:cs="Times New Roman"/>
          <w:i/>
          <w:iCs/>
          <w:noProof/>
          <w:szCs w:val="24"/>
        </w:rPr>
        <w:t>Proceedings of the Royal Society B: Biological Sciences</w:t>
      </w:r>
      <w:r w:rsidRPr="00C57A7E">
        <w:rPr>
          <w:rFonts w:ascii="Calibri" w:hAnsi="Calibri" w:cs="Times New Roman"/>
          <w:noProof/>
          <w:szCs w:val="24"/>
        </w:rPr>
        <w:t>, 283(1825), p. 20160042. doi: 10.1098/rspb.2016.0042.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Whyard, S., Singh, A. D. and Wong, S. (2009) ‘Ingested double-stranded RNAs can act as species-specific insecticides’, </w:t>
      </w:r>
      <w:r w:rsidRPr="00C57A7E">
        <w:rPr>
          <w:rFonts w:ascii="Calibri" w:hAnsi="Calibri" w:cs="Times New Roman"/>
          <w:i/>
          <w:iCs/>
          <w:noProof/>
          <w:szCs w:val="24"/>
        </w:rPr>
        <w:t>Insect Biochemistry and Molecular Biology</w:t>
      </w:r>
      <w:r w:rsidRPr="00C57A7E">
        <w:rPr>
          <w:rFonts w:ascii="Calibri" w:hAnsi="Calibri" w:cs="Times New Roman"/>
          <w:noProof/>
          <w:szCs w:val="24"/>
        </w:rPr>
        <w:t>. Elsevier Ltd, 39(11), pp. 824–832. doi: 10.1016/j.ibmb.2009.09.007.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Wightman, B., Ha, I. and Ruvkun, G. (1993) ‘Posttranscriptional regulation of the heterochronic gene lin-14 by lin-4 mediates temporal pattern formation in C. elegans’, </w:t>
      </w:r>
      <w:r w:rsidRPr="00C57A7E">
        <w:rPr>
          <w:rFonts w:ascii="Calibri" w:hAnsi="Calibri" w:cs="Times New Roman"/>
          <w:i/>
          <w:iCs/>
          <w:noProof/>
          <w:szCs w:val="24"/>
        </w:rPr>
        <w:t>Cell</w:t>
      </w:r>
      <w:r w:rsidRPr="00C57A7E">
        <w:rPr>
          <w:rFonts w:ascii="Calibri" w:hAnsi="Calibri" w:cs="Times New Roman"/>
          <w:noProof/>
          <w:szCs w:val="24"/>
        </w:rPr>
        <w:t>, 75(5), pp. 855–862. doi: 10.1016/0092-8674(93)90530-4.</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Wynant, Niels </w:t>
      </w:r>
      <w:r w:rsidRPr="00C57A7E">
        <w:rPr>
          <w:rFonts w:ascii="Calibri" w:hAnsi="Calibri" w:cs="Times New Roman"/>
          <w:i/>
          <w:iCs/>
          <w:noProof/>
          <w:szCs w:val="24"/>
        </w:rPr>
        <w:t>et al.</w:t>
      </w:r>
      <w:r w:rsidRPr="00C57A7E">
        <w:rPr>
          <w:rFonts w:ascii="Calibri" w:hAnsi="Calibri" w:cs="Times New Roman"/>
          <w:noProof/>
          <w:szCs w:val="24"/>
        </w:rPr>
        <w:t xml:space="preserve"> (2014) ‘Lipophorins can adhere to dsRNA, bacteria and fungi present in the hemolymph of the desert locust: A role as general scavenger for pathogens in the open body cavity’, </w:t>
      </w:r>
      <w:r w:rsidRPr="00C57A7E">
        <w:rPr>
          <w:rFonts w:ascii="Calibri" w:hAnsi="Calibri" w:cs="Times New Roman"/>
          <w:i/>
          <w:iCs/>
          <w:noProof/>
          <w:szCs w:val="24"/>
        </w:rPr>
        <w:t>Journal of Insect Physiology</w:t>
      </w:r>
      <w:r w:rsidRPr="00C57A7E">
        <w:rPr>
          <w:rFonts w:ascii="Calibri" w:hAnsi="Calibri" w:cs="Times New Roman"/>
          <w:noProof/>
          <w:szCs w:val="24"/>
        </w:rPr>
        <w:t>. Pergamon, 64, pp. 7–13. doi: 10.1016/J.JINSPHYS.2014.02.010.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Wynant, N. </w:t>
      </w:r>
      <w:r w:rsidRPr="00C57A7E">
        <w:rPr>
          <w:rFonts w:ascii="Calibri" w:hAnsi="Calibri" w:cs="Times New Roman"/>
          <w:i/>
          <w:iCs/>
          <w:noProof/>
          <w:szCs w:val="24"/>
        </w:rPr>
        <w:t>et al.</w:t>
      </w:r>
      <w:r w:rsidRPr="00C57A7E">
        <w:rPr>
          <w:rFonts w:ascii="Calibri" w:hAnsi="Calibri" w:cs="Times New Roman"/>
          <w:noProof/>
          <w:szCs w:val="24"/>
        </w:rPr>
        <w:t xml:space="preserve"> (2014) ‘Scavenger receptor-mediated endocytosis facilitates RNA interference in the desert locust, </w:t>
      </w:r>
      <w:r w:rsidRPr="00C57A7E">
        <w:rPr>
          <w:rFonts w:ascii="Calibri" w:hAnsi="Calibri" w:cs="Times New Roman"/>
          <w:i/>
          <w:iCs/>
          <w:noProof/>
          <w:szCs w:val="24"/>
        </w:rPr>
        <w:t>Schistocerca gregaria</w:t>
      </w:r>
      <w:r w:rsidRPr="00C57A7E">
        <w:rPr>
          <w:rFonts w:ascii="Calibri" w:hAnsi="Calibri" w:cs="Times New Roman"/>
          <w:noProof/>
          <w:szCs w:val="24"/>
        </w:rPr>
        <w:t xml:space="preserve">’, </w:t>
      </w:r>
      <w:r w:rsidRPr="00C57A7E">
        <w:rPr>
          <w:rFonts w:ascii="Calibri" w:hAnsi="Calibri" w:cs="Times New Roman"/>
          <w:i/>
          <w:iCs/>
          <w:noProof/>
          <w:szCs w:val="24"/>
        </w:rPr>
        <w:t>Insect Molecular Biology</w:t>
      </w:r>
      <w:r w:rsidRPr="00C57A7E">
        <w:rPr>
          <w:rFonts w:ascii="Calibri" w:hAnsi="Calibri" w:cs="Times New Roman"/>
          <w:noProof/>
          <w:szCs w:val="24"/>
        </w:rPr>
        <w:t>, 23(3), p. n/a-n/a. doi: 10.1111/imb.12083.</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Wynant, N. </w:t>
      </w:r>
      <w:r w:rsidRPr="00C57A7E">
        <w:rPr>
          <w:rFonts w:ascii="Calibri" w:hAnsi="Calibri" w:cs="Times New Roman"/>
          <w:i/>
          <w:iCs/>
          <w:noProof/>
          <w:szCs w:val="24"/>
        </w:rPr>
        <w:t>et al.</w:t>
      </w:r>
      <w:r w:rsidRPr="00C57A7E">
        <w:rPr>
          <w:rFonts w:ascii="Calibri" w:hAnsi="Calibri" w:cs="Times New Roman"/>
          <w:noProof/>
          <w:szCs w:val="24"/>
        </w:rPr>
        <w:t xml:space="preserve"> (2015) ‘Drosha, Dicer-1 and Argonaute-1 in the desert locust: Phylogenetic analyses, transcript profiling and regulation during phase transition and feeding’, </w:t>
      </w:r>
      <w:r w:rsidRPr="00C57A7E">
        <w:rPr>
          <w:rFonts w:ascii="Calibri" w:hAnsi="Calibri" w:cs="Times New Roman"/>
          <w:i/>
          <w:iCs/>
          <w:noProof/>
          <w:szCs w:val="24"/>
        </w:rPr>
        <w:t>Journal of Insect Physiology</w:t>
      </w:r>
      <w:r w:rsidRPr="00C57A7E">
        <w:rPr>
          <w:rFonts w:ascii="Calibri" w:hAnsi="Calibri" w:cs="Times New Roman"/>
          <w:noProof/>
          <w:szCs w:val="24"/>
        </w:rPr>
        <w:t>. Pergamon, 75, pp. 20–29. doi: 10.1016/J.JINSPHYS.2015.02.010.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Xiao, D. </w:t>
      </w:r>
      <w:r w:rsidRPr="00C57A7E">
        <w:rPr>
          <w:rFonts w:ascii="Calibri" w:hAnsi="Calibri" w:cs="Times New Roman"/>
          <w:i/>
          <w:iCs/>
          <w:noProof/>
          <w:szCs w:val="24"/>
        </w:rPr>
        <w:t>et al.</w:t>
      </w:r>
      <w:r w:rsidRPr="00C57A7E">
        <w:rPr>
          <w:rFonts w:ascii="Calibri" w:hAnsi="Calibri" w:cs="Times New Roman"/>
          <w:noProof/>
          <w:szCs w:val="24"/>
        </w:rPr>
        <w:t xml:space="preserve"> (2015) ‘Clathrin-dependent endocytosis plays a predominant role in cellular uptake of </w:t>
      </w:r>
      <w:r w:rsidRPr="00C57A7E">
        <w:rPr>
          <w:rFonts w:ascii="Calibri" w:hAnsi="Calibri" w:cs="Times New Roman"/>
          <w:noProof/>
          <w:szCs w:val="24"/>
        </w:rPr>
        <w:lastRenderedPageBreak/>
        <w:t xml:space="preserve">double-stranded RNA in the red flour beetle’, </w:t>
      </w:r>
      <w:r w:rsidRPr="00C57A7E">
        <w:rPr>
          <w:rFonts w:ascii="Calibri" w:hAnsi="Calibri" w:cs="Times New Roman"/>
          <w:i/>
          <w:iCs/>
          <w:noProof/>
          <w:szCs w:val="24"/>
        </w:rPr>
        <w:t>Insect Biochemistry and Molecular Biology</w:t>
      </w:r>
      <w:r w:rsidRPr="00C57A7E">
        <w:rPr>
          <w:rFonts w:ascii="Calibri" w:hAnsi="Calibri" w:cs="Times New Roman"/>
          <w:noProof/>
          <w:szCs w:val="24"/>
        </w:rPr>
        <w:t>. Pergamon, 60, pp. 68–77. doi: 10.1016/J.IBMB.2015.03.009.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Xiao, Y. and Wu, K. (2019) ‘Recent progress on the interaction between insects and Bacillus thuringiensis crops’, </w:t>
      </w:r>
      <w:r w:rsidRPr="00C57A7E">
        <w:rPr>
          <w:rFonts w:ascii="Calibri" w:hAnsi="Calibri" w:cs="Times New Roman"/>
          <w:i/>
          <w:iCs/>
          <w:noProof/>
          <w:szCs w:val="24"/>
        </w:rPr>
        <w:t>Philosophical Transactions of the Royal Society B: Biological Sciences</w:t>
      </w:r>
      <w:r w:rsidRPr="00C57A7E">
        <w:rPr>
          <w:rFonts w:ascii="Calibri" w:hAnsi="Calibri" w:cs="Times New Roman"/>
          <w:noProof/>
          <w:szCs w:val="24"/>
        </w:rPr>
        <w:t>. The Royal Society, 374(1767), p. 20180316. doi: 10.1098/RSTB.2018.0316.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Xie, X. </w:t>
      </w:r>
      <w:r w:rsidRPr="00C57A7E">
        <w:rPr>
          <w:rFonts w:ascii="Calibri" w:hAnsi="Calibri" w:cs="Times New Roman"/>
          <w:i/>
          <w:iCs/>
          <w:noProof/>
          <w:szCs w:val="24"/>
        </w:rPr>
        <w:t>et al.</w:t>
      </w:r>
      <w:r w:rsidRPr="00C57A7E">
        <w:rPr>
          <w:rFonts w:ascii="Calibri" w:hAnsi="Calibri" w:cs="Times New Roman"/>
          <w:noProof/>
          <w:szCs w:val="24"/>
        </w:rPr>
        <w:t xml:space="preserve"> (2012) ‘Phosphorothioate DNA as an antioxidant in bacteria’, </w:t>
      </w:r>
      <w:r w:rsidRPr="00C57A7E">
        <w:rPr>
          <w:rFonts w:ascii="Calibri" w:hAnsi="Calibri" w:cs="Times New Roman"/>
          <w:i/>
          <w:iCs/>
          <w:noProof/>
          <w:szCs w:val="24"/>
        </w:rPr>
        <w:t>Nucleic Acids Research</w:t>
      </w:r>
      <w:r w:rsidRPr="00C57A7E">
        <w:rPr>
          <w:rFonts w:ascii="Calibri" w:hAnsi="Calibri" w:cs="Times New Roman"/>
          <w:noProof/>
          <w:szCs w:val="24"/>
        </w:rPr>
        <w:t>, 40(18), pp. 9115–9124. doi: 10.1093/nar/gks650.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Xuan, S. </w:t>
      </w:r>
      <w:r w:rsidRPr="00C57A7E">
        <w:rPr>
          <w:rFonts w:ascii="Calibri" w:hAnsi="Calibri" w:cs="Times New Roman"/>
          <w:i/>
          <w:iCs/>
          <w:noProof/>
          <w:szCs w:val="24"/>
        </w:rPr>
        <w:t>et al.</w:t>
      </w:r>
      <w:r w:rsidRPr="00C57A7E">
        <w:rPr>
          <w:rFonts w:ascii="Calibri" w:hAnsi="Calibri" w:cs="Times New Roman"/>
          <w:noProof/>
          <w:szCs w:val="24"/>
        </w:rPr>
        <w:t xml:space="preserve"> (2015) ‘5-Hydroxymethylcytosine and 5-formylcytosine containing deoxyoligonucleotides: Facile syntheses and melting temperature studies’, </w:t>
      </w:r>
      <w:r w:rsidRPr="00C57A7E">
        <w:rPr>
          <w:rFonts w:ascii="Calibri" w:hAnsi="Calibri" w:cs="Times New Roman"/>
          <w:i/>
          <w:iCs/>
          <w:noProof/>
          <w:szCs w:val="24"/>
        </w:rPr>
        <w:t>Bioorganic &amp; Medicinal Chemistry Letters</w:t>
      </w:r>
      <w:r w:rsidRPr="00C57A7E">
        <w:rPr>
          <w:rFonts w:ascii="Calibri" w:hAnsi="Calibri" w:cs="Times New Roman"/>
          <w:noProof/>
          <w:szCs w:val="24"/>
        </w:rPr>
        <w:t>. Pergamon, 25(6), pp. 1186–1191. doi: 10.1016/J.BMCL.2015.01.070.</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Yoon, J.-S., Gurusamy, D. and Palli, S. R. (2017) ‘Accumulation of dsRNA in endosomes contributes to inefficient RNA interference in the fall armyworm, Spodoptera frugiperda’, </w:t>
      </w:r>
      <w:r w:rsidRPr="00C57A7E">
        <w:rPr>
          <w:rFonts w:ascii="Calibri" w:hAnsi="Calibri" w:cs="Times New Roman"/>
          <w:i/>
          <w:iCs/>
          <w:noProof/>
          <w:szCs w:val="24"/>
        </w:rPr>
        <w:t>Insect Biochemistry and Molecular Biology</w:t>
      </w:r>
      <w:r w:rsidRPr="00C57A7E">
        <w:rPr>
          <w:rFonts w:ascii="Calibri" w:hAnsi="Calibri" w:cs="Times New Roman"/>
          <w:noProof/>
          <w:szCs w:val="24"/>
        </w:rPr>
        <w:t>. Pergamon, 90, pp. 53–60. doi: 10.1016/J.IBMB.2017.09.011.</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Yoshiyama, N., Tojo, K. and Hatakeyama, M. (2013) ‘A survey of the effectiveness of non-cell autonomous RNAi throughout development in the sawfly, Athalia rosae (Hymenoptera)’, </w:t>
      </w:r>
      <w:r w:rsidRPr="00C57A7E">
        <w:rPr>
          <w:rFonts w:ascii="Calibri" w:hAnsi="Calibri" w:cs="Times New Roman"/>
          <w:i/>
          <w:iCs/>
          <w:noProof/>
          <w:szCs w:val="24"/>
        </w:rPr>
        <w:t>Journal of Insect Physiology</w:t>
      </w:r>
      <w:r w:rsidRPr="00C57A7E">
        <w:rPr>
          <w:rFonts w:ascii="Calibri" w:hAnsi="Calibri" w:cs="Times New Roman"/>
          <w:noProof/>
          <w:szCs w:val="24"/>
        </w:rPr>
        <w:t>. Pergamon, 59(4), pp. 400–407. doi: 10.1016/J.JINSPHYS.2013.01.009.</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Yue, Y., Liu, J. and He, C. (2015) ‘RNA </w:t>
      </w:r>
      <w:r w:rsidRPr="00C57A7E">
        <w:rPr>
          <w:rFonts w:ascii="Calibri" w:hAnsi="Calibri" w:cs="Times New Roman"/>
          <w:i/>
          <w:iCs/>
          <w:noProof/>
          <w:szCs w:val="24"/>
        </w:rPr>
        <w:t>N</w:t>
      </w:r>
      <w:r w:rsidRPr="00C57A7E">
        <w:rPr>
          <w:rFonts w:ascii="Calibri" w:hAnsi="Calibri" w:cs="Times New Roman"/>
          <w:noProof/>
          <w:szCs w:val="24"/>
        </w:rPr>
        <w:t xml:space="preserve"> </w:t>
      </w:r>
      <w:r w:rsidRPr="00C57A7E">
        <w:rPr>
          <w:rFonts w:ascii="Calibri" w:hAnsi="Calibri" w:cs="Times New Roman"/>
          <w:noProof/>
          <w:szCs w:val="24"/>
          <w:vertAlign w:val="superscript"/>
        </w:rPr>
        <w:t>6</w:t>
      </w:r>
      <w:r w:rsidRPr="00C57A7E">
        <w:rPr>
          <w:rFonts w:ascii="Calibri" w:hAnsi="Calibri" w:cs="Times New Roman"/>
          <w:noProof/>
          <w:szCs w:val="24"/>
        </w:rPr>
        <w:t xml:space="preserve"> -methyladenosine methylation in post-transcriptional gene expression regulation’, </w:t>
      </w:r>
      <w:r w:rsidRPr="00C57A7E">
        <w:rPr>
          <w:rFonts w:ascii="Calibri" w:hAnsi="Calibri" w:cs="Times New Roman"/>
          <w:i/>
          <w:iCs/>
          <w:noProof/>
          <w:szCs w:val="24"/>
        </w:rPr>
        <w:t>Genes &amp; Development</w:t>
      </w:r>
      <w:r w:rsidRPr="00C57A7E">
        <w:rPr>
          <w:rFonts w:ascii="Calibri" w:hAnsi="Calibri" w:cs="Times New Roman"/>
          <w:noProof/>
          <w:szCs w:val="24"/>
        </w:rPr>
        <w:t>, 29(13), pp. 1343–1355. doi: 10.1101/gad.262766.115.</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Zhang, H. </w:t>
      </w:r>
      <w:r w:rsidRPr="00C57A7E">
        <w:rPr>
          <w:rFonts w:ascii="Calibri" w:hAnsi="Calibri" w:cs="Times New Roman"/>
          <w:i/>
          <w:iCs/>
          <w:noProof/>
          <w:szCs w:val="24"/>
        </w:rPr>
        <w:t>et al.</w:t>
      </w:r>
      <w:r w:rsidRPr="00C57A7E">
        <w:rPr>
          <w:rFonts w:ascii="Calibri" w:hAnsi="Calibri" w:cs="Times New Roman"/>
          <w:noProof/>
          <w:szCs w:val="24"/>
        </w:rPr>
        <w:t xml:space="preserve"> (2002) ‘Human Dicer preferentially cleaves dsRNAs at their termini without a requirement for ATP’, </w:t>
      </w:r>
      <w:r w:rsidRPr="00C57A7E">
        <w:rPr>
          <w:rFonts w:ascii="Calibri" w:hAnsi="Calibri" w:cs="Times New Roman"/>
          <w:i/>
          <w:iCs/>
          <w:noProof/>
          <w:szCs w:val="24"/>
        </w:rPr>
        <w:t>The EMBO Journal</w:t>
      </w:r>
      <w:r w:rsidRPr="00C57A7E">
        <w:rPr>
          <w:rFonts w:ascii="Calibri" w:hAnsi="Calibri" w:cs="Times New Roman"/>
          <w:noProof/>
          <w:szCs w:val="24"/>
        </w:rPr>
        <w:t>, 21(21), pp. 5875–5885. doi: 10.1093/emboj/cdf582.</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Zhang, J., Zhang, Y. and Han, R. (2016) ‘The high-throughput production of dsRNA against sacbrood virus for use in the honey bee Apis cerana (Hymenoptera: Apidae)’, </w:t>
      </w:r>
      <w:r w:rsidRPr="00C57A7E">
        <w:rPr>
          <w:rFonts w:ascii="Calibri" w:hAnsi="Calibri" w:cs="Times New Roman"/>
          <w:i/>
          <w:iCs/>
          <w:noProof/>
          <w:szCs w:val="24"/>
        </w:rPr>
        <w:t>Virus Genes</w:t>
      </w:r>
      <w:r w:rsidRPr="00C57A7E">
        <w:rPr>
          <w:rFonts w:ascii="Calibri" w:hAnsi="Calibri" w:cs="Times New Roman"/>
          <w:noProof/>
          <w:szCs w:val="24"/>
        </w:rPr>
        <w:t>. Springer US, 52(5), pp. 698–705. doi: 10.1007/s11262-016-1346-6.</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Zhang, Y. </w:t>
      </w:r>
      <w:r w:rsidRPr="00C57A7E">
        <w:rPr>
          <w:rFonts w:ascii="Calibri" w:hAnsi="Calibri" w:cs="Times New Roman"/>
          <w:i/>
          <w:iCs/>
          <w:noProof/>
          <w:szCs w:val="24"/>
        </w:rPr>
        <w:t>et al.</w:t>
      </w:r>
      <w:r w:rsidRPr="00C57A7E">
        <w:rPr>
          <w:rFonts w:ascii="Calibri" w:hAnsi="Calibri" w:cs="Times New Roman"/>
          <w:noProof/>
          <w:szCs w:val="24"/>
        </w:rPr>
        <w:t xml:space="preserve"> (2016) ‘Tousled-like kinase mediated a new type of cell death pathway in Drosophila’, </w:t>
      </w:r>
      <w:r w:rsidRPr="00C57A7E">
        <w:rPr>
          <w:rFonts w:ascii="Calibri" w:hAnsi="Calibri" w:cs="Times New Roman"/>
          <w:i/>
          <w:iCs/>
          <w:noProof/>
          <w:szCs w:val="24"/>
        </w:rPr>
        <w:t>Cell Death and Differentiation</w:t>
      </w:r>
      <w:r w:rsidRPr="00C57A7E">
        <w:rPr>
          <w:rFonts w:ascii="Calibri" w:hAnsi="Calibri" w:cs="Times New Roman"/>
          <w:noProof/>
          <w:szCs w:val="24"/>
        </w:rPr>
        <w:t>, 23(1), pp. 146–157. doi: 10.1038/cdd.2015.77.</w:t>
      </w:r>
    </w:p>
    <w:p w:rsidR="00C57A7E" w:rsidRPr="00C57A7E" w:rsidRDefault="00C57A7E" w:rsidP="00C57A7E">
      <w:pPr>
        <w:widowControl w:val="0"/>
        <w:autoSpaceDE w:val="0"/>
        <w:autoSpaceDN w:val="0"/>
        <w:adjustRightInd w:val="0"/>
        <w:spacing w:after="120" w:line="240" w:lineRule="auto"/>
        <w:rPr>
          <w:rFonts w:ascii="Calibri" w:hAnsi="Calibri" w:cs="Times New Roman"/>
          <w:noProof/>
          <w:szCs w:val="24"/>
        </w:rPr>
      </w:pPr>
      <w:r w:rsidRPr="00C57A7E">
        <w:rPr>
          <w:rFonts w:ascii="Calibri" w:hAnsi="Calibri" w:cs="Times New Roman"/>
          <w:noProof/>
          <w:szCs w:val="24"/>
        </w:rPr>
        <w:t xml:space="preserve">Zhu, F. </w:t>
      </w:r>
      <w:r w:rsidRPr="00C57A7E">
        <w:rPr>
          <w:rFonts w:ascii="Calibri" w:hAnsi="Calibri" w:cs="Times New Roman"/>
          <w:i/>
          <w:iCs/>
          <w:noProof/>
          <w:szCs w:val="24"/>
        </w:rPr>
        <w:t>et al.</w:t>
      </w:r>
      <w:r w:rsidRPr="00C57A7E">
        <w:rPr>
          <w:rFonts w:ascii="Calibri" w:hAnsi="Calibri" w:cs="Times New Roman"/>
          <w:noProof/>
          <w:szCs w:val="24"/>
        </w:rPr>
        <w:t xml:space="preserve"> (2011) ‘Ingested RNA interference for managing the populations of the Colorado potato beetle, Leptinotarsa decemlineata’, </w:t>
      </w:r>
      <w:r w:rsidRPr="00C57A7E">
        <w:rPr>
          <w:rFonts w:ascii="Calibri" w:hAnsi="Calibri" w:cs="Times New Roman"/>
          <w:i/>
          <w:iCs/>
          <w:noProof/>
          <w:szCs w:val="24"/>
        </w:rPr>
        <w:t>Pest Management Science</w:t>
      </w:r>
      <w:r w:rsidRPr="00C57A7E">
        <w:rPr>
          <w:rFonts w:ascii="Calibri" w:hAnsi="Calibri" w:cs="Times New Roman"/>
          <w:noProof/>
          <w:szCs w:val="24"/>
        </w:rPr>
        <w:t>. John Wiley &amp; Sons, Ltd, 67(2), pp. 175–182. doi: 10.1002/ps.2048.</w:t>
      </w:r>
    </w:p>
    <w:p w:rsidR="00C57A7E" w:rsidRPr="00C57A7E" w:rsidRDefault="00C57A7E" w:rsidP="00C57A7E">
      <w:pPr>
        <w:widowControl w:val="0"/>
        <w:autoSpaceDE w:val="0"/>
        <w:autoSpaceDN w:val="0"/>
        <w:adjustRightInd w:val="0"/>
        <w:spacing w:after="120" w:line="240" w:lineRule="auto"/>
        <w:rPr>
          <w:rFonts w:ascii="Calibri" w:hAnsi="Calibri"/>
          <w:noProof/>
        </w:rPr>
      </w:pPr>
      <w:r w:rsidRPr="00C57A7E">
        <w:rPr>
          <w:rFonts w:ascii="Calibri" w:hAnsi="Calibri" w:cs="Times New Roman"/>
          <w:noProof/>
          <w:szCs w:val="24"/>
        </w:rPr>
        <w:t xml:space="preserve">Zimmermann, T. S. </w:t>
      </w:r>
      <w:r w:rsidRPr="00C57A7E">
        <w:rPr>
          <w:rFonts w:ascii="Calibri" w:hAnsi="Calibri" w:cs="Times New Roman"/>
          <w:i/>
          <w:iCs/>
          <w:noProof/>
          <w:szCs w:val="24"/>
        </w:rPr>
        <w:t>et al.</w:t>
      </w:r>
      <w:r w:rsidRPr="00C57A7E">
        <w:rPr>
          <w:rFonts w:ascii="Calibri" w:hAnsi="Calibri" w:cs="Times New Roman"/>
          <w:noProof/>
          <w:szCs w:val="24"/>
        </w:rPr>
        <w:t xml:space="preserve"> (2006) ‘RNAi-mediated gene silencing in non-human primates.’, </w:t>
      </w:r>
      <w:r w:rsidRPr="00C57A7E">
        <w:rPr>
          <w:rFonts w:ascii="Calibri" w:hAnsi="Calibri" w:cs="Times New Roman"/>
          <w:i/>
          <w:iCs/>
          <w:noProof/>
          <w:szCs w:val="24"/>
        </w:rPr>
        <w:t>Nature</w:t>
      </w:r>
      <w:r w:rsidRPr="00C57A7E">
        <w:rPr>
          <w:rFonts w:ascii="Calibri" w:hAnsi="Calibri" w:cs="Times New Roman"/>
          <w:noProof/>
          <w:szCs w:val="24"/>
        </w:rPr>
        <w:t>, 441(7089), pp. 111–4. doi: 10.1038/nature04688.</w:t>
      </w:r>
    </w:p>
    <w:p w:rsidR="00741158" w:rsidRPr="00741158" w:rsidRDefault="005C0E76" w:rsidP="00C57A7E">
      <w:pPr>
        <w:spacing w:after="120"/>
      </w:pPr>
      <w:r>
        <w:fldChar w:fldCharType="end"/>
      </w:r>
    </w:p>
    <w:sectPr w:rsidR="00741158" w:rsidRPr="00741158" w:rsidSect="00C3126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0947" w:rsidRDefault="00200947" w:rsidP="00987440">
      <w:pPr>
        <w:spacing w:line="240" w:lineRule="auto"/>
      </w:pPr>
      <w:r>
        <w:separator/>
      </w:r>
    </w:p>
  </w:endnote>
  <w:endnote w:type="continuationSeparator" w:id="0">
    <w:p w:rsidR="00200947" w:rsidRDefault="00200947" w:rsidP="0098744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276743"/>
      <w:docPartObj>
        <w:docPartGallery w:val="Page Numbers (Bottom of Page)"/>
        <w:docPartUnique/>
      </w:docPartObj>
    </w:sdtPr>
    <w:sdtContent>
      <w:p w:rsidR="002B585B" w:rsidRDefault="002B585B">
        <w:pPr>
          <w:pStyle w:val="Footer"/>
        </w:pPr>
        <w:fldSimple w:instr=" PAGE   \* MERGEFORMAT ">
          <w:r w:rsidR="00E32294">
            <w:rPr>
              <w:noProof/>
            </w:rPr>
            <w:t>24</w:t>
          </w:r>
        </w:fldSimple>
      </w:p>
    </w:sdtContent>
  </w:sdt>
  <w:p w:rsidR="002B585B" w:rsidRDefault="002B585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3454"/>
      <w:docPartObj>
        <w:docPartGallery w:val="Page Numbers (Bottom of Page)"/>
        <w:docPartUnique/>
      </w:docPartObj>
    </w:sdtPr>
    <w:sdtContent>
      <w:p w:rsidR="002B585B" w:rsidRDefault="002B585B">
        <w:pPr>
          <w:pStyle w:val="Footer"/>
          <w:jc w:val="right"/>
        </w:pPr>
        <w:fldSimple w:instr=" PAGE   \* MERGEFORMAT ">
          <w:r w:rsidR="00E32294">
            <w:rPr>
              <w:noProof/>
            </w:rPr>
            <w:t>23</w:t>
          </w:r>
        </w:fldSimple>
      </w:p>
    </w:sdtContent>
  </w:sdt>
  <w:p w:rsidR="002B585B" w:rsidRDefault="002B585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0947" w:rsidRDefault="00200947" w:rsidP="00987440">
      <w:pPr>
        <w:spacing w:line="240" w:lineRule="auto"/>
      </w:pPr>
      <w:r>
        <w:separator/>
      </w:r>
    </w:p>
  </w:footnote>
  <w:footnote w:type="continuationSeparator" w:id="0">
    <w:p w:rsidR="00200947" w:rsidRDefault="00200947" w:rsidP="00987440">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B4904"/>
    <w:multiLevelType w:val="hybridMultilevel"/>
    <w:tmpl w:val="D6CE4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3003DEC"/>
    <w:multiLevelType w:val="hybridMultilevel"/>
    <w:tmpl w:val="823E1CA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
    <w:nsid w:val="0CE733B6"/>
    <w:multiLevelType w:val="hybridMultilevel"/>
    <w:tmpl w:val="11962F0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nsid w:val="0F8A5727"/>
    <w:multiLevelType w:val="hybridMultilevel"/>
    <w:tmpl w:val="628E3A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1093058"/>
    <w:multiLevelType w:val="hybridMultilevel"/>
    <w:tmpl w:val="16C25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78D2F79"/>
    <w:multiLevelType w:val="hybridMultilevel"/>
    <w:tmpl w:val="046284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94A639B"/>
    <w:multiLevelType w:val="hybridMultilevel"/>
    <w:tmpl w:val="11C2B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F1D5080"/>
    <w:multiLevelType w:val="hybridMultilevel"/>
    <w:tmpl w:val="1D9C4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09A7652"/>
    <w:multiLevelType w:val="hybridMultilevel"/>
    <w:tmpl w:val="096E2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0BA4861"/>
    <w:multiLevelType w:val="hybridMultilevel"/>
    <w:tmpl w:val="0B5C05F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0">
    <w:nsid w:val="22042553"/>
    <w:multiLevelType w:val="hybridMultilevel"/>
    <w:tmpl w:val="594ADEE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1">
    <w:nsid w:val="2F1A3AEB"/>
    <w:multiLevelType w:val="multilevel"/>
    <w:tmpl w:val="B33EC9C6"/>
    <w:lvl w:ilvl="0">
      <w:start w:val="1"/>
      <w:numFmt w:val="decimal"/>
      <w:pStyle w:val="Heading1"/>
      <w:lvlText w:val="%1"/>
      <w:lvlJc w:val="left"/>
      <w:pPr>
        <w:ind w:left="432" w:hanging="432"/>
      </w:pPr>
      <w:rPr>
        <w:i w:val="0"/>
      </w:rPr>
    </w:lvl>
    <w:lvl w:ilvl="1">
      <w:start w:val="1"/>
      <w:numFmt w:val="decimal"/>
      <w:pStyle w:val="Heading2"/>
      <w:lvlText w:val="%1.%2"/>
      <w:lvlJc w:val="left"/>
      <w:pPr>
        <w:ind w:left="576" w:hanging="576"/>
      </w:pPr>
    </w:lvl>
    <w:lvl w:ilvl="2">
      <w:start w:val="1"/>
      <w:numFmt w:val="decimal"/>
      <w:pStyle w:val="Heading3"/>
      <w:lvlText w:val="%1.%2.%3"/>
      <w:lvlJc w:val="left"/>
      <w:pPr>
        <w:ind w:left="862"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nsid w:val="33AD4485"/>
    <w:multiLevelType w:val="multilevel"/>
    <w:tmpl w:val="D53E3EC4"/>
    <w:lvl w:ilvl="0">
      <w:start w:val="1"/>
      <w:numFmt w:val="decimal"/>
      <w:lvlText w:val="%1"/>
      <w:lvlJc w:val="left"/>
      <w:pPr>
        <w:ind w:left="360" w:hanging="360"/>
      </w:pPr>
      <w:rPr>
        <w:rFonts w:hint="default"/>
        <w:color w:val="0000FF" w:themeColor="hyperlink"/>
        <w:u w:val="single"/>
      </w:rPr>
    </w:lvl>
    <w:lvl w:ilvl="1">
      <w:start w:val="4"/>
      <w:numFmt w:val="decimal"/>
      <w:lvlText w:val="%1.%2"/>
      <w:lvlJc w:val="left"/>
      <w:pPr>
        <w:ind w:left="580" w:hanging="360"/>
      </w:pPr>
      <w:rPr>
        <w:rFonts w:hint="default"/>
        <w:color w:val="0000FF" w:themeColor="hyperlink"/>
        <w:u w:val="single"/>
      </w:rPr>
    </w:lvl>
    <w:lvl w:ilvl="2">
      <w:start w:val="1"/>
      <w:numFmt w:val="decimal"/>
      <w:lvlText w:val="%1.%2.%3"/>
      <w:lvlJc w:val="left"/>
      <w:pPr>
        <w:ind w:left="1160" w:hanging="720"/>
      </w:pPr>
      <w:rPr>
        <w:rFonts w:hint="default"/>
        <w:color w:val="0000FF" w:themeColor="hyperlink"/>
        <w:u w:val="single"/>
      </w:rPr>
    </w:lvl>
    <w:lvl w:ilvl="3">
      <w:start w:val="1"/>
      <w:numFmt w:val="decimal"/>
      <w:lvlText w:val="%1.%2.%3.%4"/>
      <w:lvlJc w:val="left"/>
      <w:pPr>
        <w:ind w:left="1740" w:hanging="1080"/>
      </w:pPr>
      <w:rPr>
        <w:rFonts w:hint="default"/>
        <w:color w:val="0000FF" w:themeColor="hyperlink"/>
        <w:u w:val="single"/>
      </w:rPr>
    </w:lvl>
    <w:lvl w:ilvl="4">
      <w:start w:val="1"/>
      <w:numFmt w:val="decimal"/>
      <w:lvlText w:val="%1.%2.%3.%4.%5"/>
      <w:lvlJc w:val="left"/>
      <w:pPr>
        <w:ind w:left="1960" w:hanging="1080"/>
      </w:pPr>
      <w:rPr>
        <w:rFonts w:hint="default"/>
        <w:color w:val="0000FF" w:themeColor="hyperlink"/>
        <w:u w:val="single"/>
      </w:rPr>
    </w:lvl>
    <w:lvl w:ilvl="5">
      <w:start w:val="1"/>
      <w:numFmt w:val="decimal"/>
      <w:lvlText w:val="%1.%2.%3.%4.%5.%6"/>
      <w:lvlJc w:val="left"/>
      <w:pPr>
        <w:ind w:left="2540" w:hanging="1440"/>
      </w:pPr>
      <w:rPr>
        <w:rFonts w:hint="default"/>
        <w:color w:val="0000FF" w:themeColor="hyperlink"/>
        <w:u w:val="single"/>
      </w:rPr>
    </w:lvl>
    <w:lvl w:ilvl="6">
      <w:start w:val="1"/>
      <w:numFmt w:val="decimal"/>
      <w:lvlText w:val="%1.%2.%3.%4.%5.%6.%7"/>
      <w:lvlJc w:val="left"/>
      <w:pPr>
        <w:ind w:left="2760" w:hanging="1440"/>
      </w:pPr>
      <w:rPr>
        <w:rFonts w:hint="default"/>
        <w:color w:val="0000FF" w:themeColor="hyperlink"/>
        <w:u w:val="single"/>
      </w:rPr>
    </w:lvl>
    <w:lvl w:ilvl="7">
      <w:start w:val="1"/>
      <w:numFmt w:val="decimal"/>
      <w:lvlText w:val="%1.%2.%3.%4.%5.%6.%7.%8"/>
      <w:lvlJc w:val="left"/>
      <w:pPr>
        <w:ind w:left="3340" w:hanging="1800"/>
      </w:pPr>
      <w:rPr>
        <w:rFonts w:hint="default"/>
        <w:color w:val="0000FF" w:themeColor="hyperlink"/>
        <w:u w:val="single"/>
      </w:rPr>
    </w:lvl>
    <w:lvl w:ilvl="8">
      <w:start w:val="1"/>
      <w:numFmt w:val="decimal"/>
      <w:lvlText w:val="%1.%2.%3.%4.%5.%6.%7.%8.%9"/>
      <w:lvlJc w:val="left"/>
      <w:pPr>
        <w:ind w:left="3920" w:hanging="2160"/>
      </w:pPr>
      <w:rPr>
        <w:rFonts w:hint="default"/>
        <w:color w:val="0000FF" w:themeColor="hyperlink"/>
        <w:u w:val="single"/>
      </w:rPr>
    </w:lvl>
  </w:abstractNum>
  <w:abstractNum w:abstractNumId="13">
    <w:nsid w:val="33E10123"/>
    <w:multiLevelType w:val="hybridMultilevel"/>
    <w:tmpl w:val="A78AD0F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nsid w:val="3B1D0551"/>
    <w:multiLevelType w:val="hybridMultilevel"/>
    <w:tmpl w:val="38BAA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BB2584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3F4E4815"/>
    <w:multiLevelType w:val="hybridMultilevel"/>
    <w:tmpl w:val="4420C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67A73EE"/>
    <w:multiLevelType w:val="hybridMultilevel"/>
    <w:tmpl w:val="697E5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B327906"/>
    <w:multiLevelType w:val="hybridMultilevel"/>
    <w:tmpl w:val="7A30F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C756D64"/>
    <w:multiLevelType w:val="hybridMultilevel"/>
    <w:tmpl w:val="45789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CDC4ACF"/>
    <w:multiLevelType w:val="hybridMultilevel"/>
    <w:tmpl w:val="15E66E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67E68F8"/>
    <w:multiLevelType w:val="hybridMultilevel"/>
    <w:tmpl w:val="94FCEE5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2">
    <w:nsid w:val="5EEF4B23"/>
    <w:multiLevelType w:val="hybridMultilevel"/>
    <w:tmpl w:val="801426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FA33674"/>
    <w:multiLevelType w:val="hybridMultilevel"/>
    <w:tmpl w:val="839C7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01F540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62727DB2"/>
    <w:multiLevelType w:val="hybridMultilevel"/>
    <w:tmpl w:val="E670D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8F722D6"/>
    <w:multiLevelType w:val="hybridMultilevel"/>
    <w:tmpl w:val="41B4F1F4"/>
    <w:lvl w:ilvl="0" w:tplc="08090001">
      <w:start w:val="1"/>
      <w:numFmt w:val="bullet"/>
      <w:lvlText w:val=""/>
      <w:lvlJc w:val="left"/>
      <w:pPr>
        <w:ind w:left="1056" w:hanging="360"/>
      </w:pPr>
      <w:rPr>
        <w:rFonts w:ascii="Symbol" w:hAnsi="Symbol" w:hint="default"/>
      </w:rPr>
    </w:lvl>
    <w:lvl w:ilvl="1" w:tplc="08090003" w:tentative="1">
      <w:start w:val="1"/>
      <w:numFmt w:val="bullet"/>
      <w:lvlText w:val="o"/>
      <w:lvlJc w:val="left"/>
      <w:pPr>
        <w:ind w:left="1776" w:hanging="360"/>
      </w:pPr>
      <w:rPr>
        <w:rFonts w:ascii="Courier New" w:hAnsi="Courier New" w:cs="Courier New" w:hint="default"/>
      </w:rPr>
    </w:lvl>
    <w:lvl w:ilvl="2" w:tplc="08090005" w:tentative="1">
      <w:start w:val="1"/>
      <w:numFmt w:val="bullet"/>
      <w:lvlText w:val=""/>
      <w:lvlJc w:val="left"/>
      <w:pPr>
        <w:ind w:left="2496" w:hanging="360"/>
      </w:pPr>
      <w:rPr>
        <w:rFonts w:ascii="Wingdings" w:hAnsi="Wingdings" w:hint="default"/>
      </w:rPr>
    </w:lvl>
    <w:lvl w:ilvl="3" w:tplc="08090001" w:tentative="1">
      <w:start w:val="1"/>
      <w:numFmt w:val="bullet"/>
      <w:lvlText w:val=""/>
      <w:lvlJc w:val="left"/>
      <w:pPr>
        <w:ind w:left="3216" w:hanging="360"/>
      </w:pPr>
      <w:rPr>
        <w:rFonts w:ascii="Symbol" w:hAnsi="Symbol" w:hint="default"/>
      </w:rPr>
    </w:lvl>
    <w:lvl w:ilvl="4" w:tplc="08090003" w:tentative="1">
      <w:start w:val="1"/>
      <w:numFmt w:val="bullet"/>
      <w:lvlText w:val="o"/>
      <w:lvlJc w:val="left"/>
      <w:pPr>
        <w:ind w:left="3936" w:hanging="360"/>
      </w:pPr>
      <w:rPr>
        <w:rFonts w:ascii="Courier New" w:hAnsi="Courier New" w:cs="Courier New" w:hint="default"/>
      </w:rPr>
    </w:lvl>
    <w:lvl w:ilvl="5" w:tplc="08090005" w:tentative="1">
      <w:start w:val="1"/>
      <w:numFmt w:val="bullet"/>
      <w:lvlText w:val=""/>
      <w:lvlJc w:val="left"/>
      <w:pPr>
        <w:ind w:left="4656" w:hanging="360"/>
      </w:pPr>
      <w:rPr>
        <w:rFonts w:ascii="Wingdings" w:hAnsi="Wingdings" w:hint="default"/>
      </w:rPr>
    </w:lvl>
    <w:lvl w:ilvl="6" w:tplc="08090001" w:tentative="1">
      <w:start w:val="1"/>
      <w:numFmt w:val="bullet"/>
      <w:lvlText w:val=""/>
      <w:lvlJc w:val="left"/>
      <w:pPr>
        <w:ind w:left="5376" w:hanging="360"/>
      </w:pPr>
      <w:rPr>
        <w:rFonts w:ascii="Symbol" w:hAnsi="Symbol" w:hint="default"/>
      </w:rPr>
    </w:lvl>
    <w:lvl w:ilvl="7" w:tplc="08090003" w:tentative="1">
      <w:start w:val="1"/>
      <w:numFmt w:val="bullet"/>
      <w:lvlText w:val="o"/>
      <w:lvlJc w:val="left"/>
      <w:pPr>
        <w:ind w:left="6096" w:hanging="360"/>
      </w:pPr>
      <w:rPr>
        <w:rFonts w:ascii="Courier New" w:hAnsi="Courier New" w:cs="Courier New" w:hint="default"/>
      </w:rPr>
    </w:lvl>
    <w:lvl w:ilvl="8" w:tplc="08090005" w:tentative="1">
      <w:start w:val="1"/>
      <w:numFmt w:val="bullet"/>
      <w:lvlText w:val=""/>
      <w:lvlJc w:val="left"/>
      <w:pPr>
        <w:ind w:left="6816" w:hanging="360"/>
      </w:pPr>
      <w:rPr>
        <w:rFonts w:ascii="Wingdings" w:hAnsi="Wingdings" w:hint="default"/>
      </w:rPr>
    </w:lvl>
  </w:abstractNum>
  <w:abstractNum w:abstractNumId="27">
    <w:nsid w:val="697874AD"/>
    <w:multiLevelType w:val="hybridMultilevel"/>
    <w:tmpl w:val="ADB23A4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8">
    <w:nsid w:val="6A574C10"/>
    <w:multiLevelType w:val="hybridMultilevel"/>
    <w:tmpl w:val="6752546E"/>
    <w:lvl w:ilvl="0" w:tplc="08090001">
      <w:start w:val="1"/>
      <w:numFmt w:val="bullet"/>
      <w:lvlText w:val=""/>
      <w:lvlJc w:val="left"/>
      <w:pPr>
        <w:ind w:left="1056" w:hanging="360"/>
      </w:pPr>
      <w:rPr>
        <w:rFonts w:ascii="Symbol" w:hAnsi="Symbol" w:hint="default"/>
      </w:rPr>
    </w:lvl>
    <w:lvl w:ilvl="1" w:tplc="08090003" w:tentative="1">
      <w:start w:val="1"/>
      <w:numFmt w:val="bullet"/>
      <w:lvlText w:val="o"/>
      <w:lvlJc w:val="left"/>
      <w:pPr>
        <w:ind w:left="1776" w:hanging="360"/>
      </w:pPr>
      <w:rPr>
        <w:rFonts w:ascii="Courier New" w:hAnsi="Courier New" w:cs="Courier New" w:hint="default"/>
      </w:rPr>
    </w:lvl>
    <w:lvl w:ilvl="2" w:tplc="08090005" w:tentative="1">
      <w:start w:val="1"/>
      <w:numFmt w:val="bullet"/>
      <w:lvlText w:val=""/>
      <w:lvlJc w:val="left"/>
      <w:pPr>
        <w:ind w:left="2496" w:hanging="360"/>
      </w:pPr>
      <w:rPr>
        <w:rFonts w:ascii="Wingdings" w:hAnsi="Wingdings" w:hint="default"/>
      </w:rPr>
    </w:lvl>
    <w:lvl w:ilvl="3" w:tplc="08090001" w:tentative="1">
      <w:start w:val="1"/>
      <w:numFmt w:val="bullet"/>
      <w:lvlText w:val=""/>
      <w:lvlJc w:val="left"/>
      <w:pPr>
        <w:ind w:left="3216" w:hanging="360"/>
      </w:pPr>
      <w:rPr>
        <w:rFonts w:ascii="Symbol" w:hAnsi="Symbol" w:hint="default"/>
      </w:rPr>
    </w:lvl>
    <w:lvl w:ilvl="4" w:tplc="08090003" w:tentative="1">
      <w:start w:val="1"/>
      <w:numFmt w:val="bullet"/>
      <w:lvlText w:val="o"/>
      <w:lvlJc w:val="left"/>
      <w:pPr>
        <w:ind w:left="3936" w:hanging="360"/>
      </w:pPr>
      <w:rPr>
        <w:rFonts w:ascii="Courier New" w:hAnsi="Courier New" w:cs="Courier New" w:hint="default"/>
      </w:rPr>
    </w:lvl>
    <w:lvl w:ilvl="5" w:tplc="08090005" w:tentative="1">
      <w:start w:val="1"/>
      <w:numFmt w:val="bullet"/>
      <w:lvlText w:val=""/>
      <w:lvlJc w:val="left"/>
      <w:pPr>
        <w:ind w:left="4656" w:hanging="360"/>
      </w:pPr>
      <w:rPr>
        <w:rFonts w:ascii="Wingdings" w:hAnsi="Wingdings" w:hint="default"/>
      </w:rPr>
    </w:lvl>
    <w:lvl w:ilvl="6" w:tplc="08090001" w:tentative="1">
      <w:start w:val="1"/>
      <w:numFmt w:val="bullet"/>
      <w:lvlText w:val=""/>
      <w:lvlJc w:val="left"/>
      <w:pPr>
        <w:ind w:left="5376" w:hanging="360"/>
      </w:pPr>
      <w:rPr>
        <w:rFonts w:ascii="Symbol" w:hAnsi="Symbol" w:hint="default"/>
      </w:rPr>
    </w:lvl>
    <w:lvl w:ilvl="7" w:tplc="08090003" w:tentative="1">
      <w:start w:val="1"/>
      <w:numFmt w:val="bullet"/>
      <w:lvlText w:val="o"/>
      <w:lvlJc w:val="left"/>
      <w:pPr>
        <w:ind w:left="6096" w:hanging="360"/>
      </w:pPr>
      <w:rPr>
        <w:rFonts w:ascii="Courier New" w:hAnsi="Courier New" w:cs="Courier New" w:hint="default"/>
      </w:rPr>
    </w:lvl>
    <w:lvl w:ilvl="8" w:tplc="08090005" w:tentative="1">
      <w:start w:val="1"/>
      <w:numFmt w:val="bullet"/>
      <w:lvlText w:val=""/>
      <w:lvlJc w:val="left"/>
      <w:pPr>
        <w:ind w:left="6816" w:hanging="360"/>
      </w:pPr>
      <w:rPr>
        <w:rFonts w:ascii="Wingdings" w:hAnsi="Wingdings" w:hint="default"/>
      </w:rPr>
    </w:lvl>
  </w:abstractNum>
  <w:abstractNum w:abstractNumId="29">
    <w:nsid w:val="6D687756"/>
    <w:multiLevelType w:val="hybridMultilevel"/>
    <w:tmpl w:val="FEBC0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2DE10FD"/>
    <w:multiLevelType w:val="hybridMultilevel"/>
    <w:tmpl w:val="CA3620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2F026C1"/>
    <w:multiLevelType w:val="hybridMultilevel"/>
    <w:tmpl w:val="51382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9004931"/>
    <w:multiLevelType w:val="hybridMultilevel"/>
    <w:tmpl w:val="3E0CA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907467E"/>
    <w:multiLevelType w:val="hybridMultilevel"/>
    <w:tmpl w:val="BAAAAA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A1A1B13"/>
    <w:multiLevelType w:val="hybridMultilevel"/>
    <w:tmpl w:val="9BF47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B780530"/>
    <w:multiLevelType w:val="hybridMultilevel"/>
    <w:tmpl w:val="6F8A6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3"/>
  </w:num>
  <w:num w:numId="2">
    <w:abstractNumId w:val="24"/>
  </w:num>
  <w:num w:numId="3">
    <w:abstractNumId w:val="15"/>
  </w:num>
  <w:num w:numId="4">
    <w:abstractNumId w:val="11"/>
  </w:num>
  <w:num w:numId="5">
    <w:abstractNumId w:val="29"/>
  </w:num>
  <w:num w:numId="6">
    <w:abstractNumId w:val="34"/>
  </w:num>
  <w:num w:numId="7">
    <w:abstractNumId w:val="17"/>
  </w:num>
  <w:num w:numId="8">
    <w:abstractNumId w:val="7"/>
  </w:num>
  <w:num w:numId="9">
    <w:abstractNumId w:val="25"/>
  </w:num>
  <w:num w:numId="10">
    <w:abstractNumId w:val="19"/>
  </w:num>
  <w:num w:numId="11">
    <w:abstractNumId w:val="31"/>
  </w:num>
  <w:num w:numId="12">
    <w:abstractNumId w:val="35"/>
  </w:num>
  <w:num w:numId="13">
    <w:abstractNumId w:val="22"/>
  </w:num>
  <w:num w:numId="14">
    <w:abstractNumId w:val="16"/>
  </w:num>
  <w:num w:numId="15">
    <w:abstractNumId w:val="14"/>
  </w:num>
  <w:num w:numId="16">
    <w:abstractNumId w:val="20"/>
  </w:num>
  <w:num w:numId="17">
    <w:abstractNumId w:val="23"/>
  </w:num>
  <w:num w:numId="18">
    <w:abstractNumId w:val="3"/>
  </w:num>
  <w:num w:numId="19">
    <w:abstractNumId w:val="1"/>
  </w:num>
  <w:num w:numId="20">
    <w:abstractNumId w:val="26"/>
  </w:num>
  <w:num w:numId="21">
    <w:abstractNumId w:val="10"/>
  </w:num>
  <w:num w:numId="22">
    <w:abstractNumId w:val="27"/>
  </w:num>
  <w:num w:numId="23">
    <w:abstractNumId w:val="8"/>
  </w:num>
  <w:num w:numId="24">
    <w:abstractNumId w:val="18"/>
  </w:num>
  <w:num w:numId="25">
    <w:abstractNumId w:val="6"/>
  </w:num>
  <w:num w:numId="26">
    <w:abstractNumId w:val="0"/>
  </w:num>
  <w:num w:numId="27">
    <w:abstractNumId w:val="32"/>
  </w:num>
  <w:num w:numId="28">
    <w:abstractNumId w:val="28"/>
  </w:num>
  <w:num w:numId="29">
    <w:abstractNumId w:val="12"/>
  </w:num>
  <w:num w:numId="30">
    <w:abstractNumId w:val="9"/>
  </w:num>
  <w:num w:numId="31">
    <w:abstractNumId w:val="21"/>
  </w:num>
  <w:num w:numId="32">
    <w:abstractNumId w:val="5"/>
  </w:num>
  <w:num w:numId="33">
    <w:abstractNumId w:val="2"/>
  </w:num>
  <w:num w:numId="34">
    <w:abstractNumId w:val="30"/>
  </w:num>
  <w:num w:numId="35">
    <w:abstractNumId w:val="13"/>
  </w:num>
  <w:num w:numId="3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defaultTabStop w:val="720"/>
  <w:evenAndOddHeaders/>
  <w:drawingGridHorizontalSpacing w:val="110"/>
  <w:displayHorizontalDrawingGridEvery w:val="2"/>
  <w:characterSpacingControl w:val="doNotCompress"/>
  <w:hdrShapeDefaults>
    <o:shapedefaults v:ext="edit" spidmax="60418">
      <o:colormenu v:ext="edit" strokecolor="none [3212]"/>
    </o:shapedefaults>
  </w:hdrShapeDefaults>
  <w:footnotePr>
    <w:footnote w:id="-1"/>
    <w:footnote w:id="0"/>
  </w:footnotePr>
  <w:endnotePr>
    <w:endnote w:id="-1"/>
    <w:endnote w:id="0"/>
  </w:endnotePr>
  <w:compat/>
  <w:rsids>
    <w:rsidRoot w:val="009A3AEC"/>
    <w:rsid w:val="000005EB"/>
    <w:rsid w:val="000020C6"/>
    <w:rsid w:val="000067FC"/>
    <w:rsid w:val="00010E7A"/>
    <w:rsid w:val="000137D8"/>
    <w:rsid w:val="00013899"/>
    <w:rsid w:val="00013A14"/>
    <w:rsid w:val="00014529"/>
    <w:rsid w:val="000163D2"/>
    <w:rsid w:val="000176B1"/>
    <w:rsid w:val="00017CED"/>
    <w:rsid w:val="00024F30"/>
    <w:rsid w:val="00034DA1"/>
    <w:rsid w:val="00036E76"/>
    <w:rsid w:val="0004203C"/>
    <w:rsid w:val="00042DB1"/>
    <w:rsid w:val="000441D9"/>
    <w:rsid w:val="000448A7"/>
    <w:rsid w:val="00045427"/>
    <w:rsid w:val="000516D8"/>
    <w:rsid w:val="000520B8"/>
    <w:rsid w:val="00057A4C"/>
    <w:rsid w:val="00061C9C"/>
    <w:rsid w:val="000637CF"/>
    <w:rsid w:val="00063E7E"/>
    <w:rsid w:val="000646BE"/>
    <w:rsid w:val="00070C3B"/>
    <w:rsid w:val="00071E84"/>
    <w:rsid w:val="00072955"/>
    <w:rsid w:val="0007444A"/>
    <w:rsid w:val="00075ABA"/>
    <w:rsid w:val="00086BF1"/>
    <w:rsid w:val="00086D39"/>
    <w:rsid w:val="000920B2"/>
    <w:rsid w:val="00093D28"/>
    <w:rsid w:val="00093F14"/>
    <w:rsid w:val="00094137"/>
    <w:rsid w:val="000979DF"/>
    <w:rsid w:val="000A319A"/>
    <w:rsid w:val="000A4CBC"/>
    <w:rsid w:val="000A5F22"/>
    <w:rsid w:val="000A6B61"/>
    <w:rsid w:val="000A7AAE"/>
    <w:rsid w:val="000B4EE2"/>
    <w:rsid w:val="000B6791"/>
    <w:rsid w:val="000B71B3"/>
    <w:rsid w:val="000B7B62"/>
    <w:rsid w:val="000C1650"/>
    <w:rsid w:val="000C2CE9"/>
    <w:rsid w:val="000C2DD6"/>
    <w:rsid w:val="000C3991"/>
    <w:rsid w:val="000C5621"/>
    <w:rsid w:val="000D00EA"/>
    <w:rsid w:val="000D228B"/>
    <w:rsid w:val="000D4071"/>
    <w:rsid w:val="000D4C5F"/>
    <w:rsid w:val="000D66D0"/>
    <w:rsid w:val="000D7FC0"/>
    <w:rsid w:val="000E25D8"/>
    <w:rsid w:val="000E3A44"/>
    <w:rsid w:val="000F0F1F"/>
    <w:rsid w:val="000F1D7C"/>
    <w:rsid w:val="000F216D"/>
    <w:rsid w:val="000F752B"/>
    <w:rsid w:val="0010006A"/>
    <w:rsid w:val="001063B0"/>
    <w:rsid w:val="00106463"/>
    <w:rsid w:val="00125602"/>
    <w:rsid w:val="00126033"/>
    <w:rsid w:val="0013249B"/>
    <w:rsid w:val="00132D43"/>
    <w:rsid w:val="00134675"/>
    <w:rsid w:val="00135990"/>
    <w:rsid w:val="00135AC5"/>
    <w:rsid w:val="0013651C"/>
    <w:rsid w:val="00137B11"/>
    <w:rsid w:val="001405FF"/>
    <w:rsid w:val="00143F07"/>
    <w:rsid w:val="0014686D"/>
    <w:rsid w:val="00146923"/>
    <w:rsid w:val="00146AFA"/>
    <w:rsid w:val="00154B65"/>
    <w:rsid w:val="00157C75"/>
    <w:rsid w:val="00160BAD"/>
    <w:rsid w:val="0016361C"/>
    <w:rsid w:val="001651FD"/>
    <w:rsid w:val="00165863"/>
    <w:rsid w:val="00170354"/>
    <w:rsid w:val="00170B24"/>
    <w:rsid w:val="00170C44"/>
    <w:rsid w:val="00175BDA"/>
    <w:rsid w:val="00177CEE"/>
    <w:rsid w:val="001828D8"/>
    <w:rsid w:val="00184A9F"/>
    <w:rsid w:val="00184DA1"/>
    <w:rsid w:val="00185614"/>
    <w:rsid w:val="00185907"/>
    <w:rsid w:val="00186CE3"/>
    <w:rsid w:val="00186FE3"/>
    <w:rsid w:val="001902DA"/>
    <w:rsid w:val="0019497C"/>
    <w:rsid w:val="00196605"/>
    <w:rsid w:val="001A0334"/>
    <w:rsid w:val="001A03B9"/>
    <w:rsid w:val="001A18DB"/>
    <w:rsid w:val="001A1CC9"/>
    <w:rsid w:val="001A3950"/>
    <w:rsid w:val="001A5ED4"/>
    <w:rsid w:val="001A7091"/>
    <w:rsid w:val="001A7C8F"/>
    <w:rsid w:val="001B1732"/>
    <w:rsid w:val="001B1A8C"/>
    <w:rsid w:val="001B4633"/>
    <w:rsid w:val="001B6B51"/>
    <w:rsid w:val="001C3712"/>
    <w:rsid w:val="001C420C"/>
    <w:rsid w:val="001C46A9"/>
    <w:rsid w:val="001C58D6"/>
    <w:rsid w:val="001C6BBE"/>
    <w:rsid w:val="001D0AFD"/>
    <w:rsid w:val="001D1554"/>
    <w:rsid w:val="001D7F74"/>
    <w:rsid w:val="001E1AC5"/>
    <w:rsid w:val="001E3B46"/>
    <w:rsid w:val="00200947"/>
    <w:rsid w:val="00200FA3"/>
    <w:rsid w:val="002020EF"/>
    <w:rsid w:val="00202210"/>
    <w:rsid w:val="0020294D"/>
    <w:rsid w:val="002029F9"/>
    <w:rsid w:val="00204DBA"/>
    <w:rsid w:val="002057F2"/>
    <w:rsid w:val="00205BD7"/>
    <w:rsid w:val="0020760B"/>
    <w:rsid w:val="002108CC"/>
    <w:rsid w:val="00211E1C"/>
    <w:rsid w:val="00213AE3"/>
    <w:rsid w:val="00216EE4"/>
    <w:rsid w:val="00221E6E"/>
    <w:rsid w:val="0022735A"/>
    <w:rsid w:val="0023605B"/>
    <w:rsid w:val="00240A99"/>
    <w:rsid w:val="00242262"/>
    <w:rsid w:val="00243B76"/>
    <w:rsid w:val="002509ED"/>
    <w:rsid w:val="00251FBA"/>
    <w:rsid w:val="00253001"/>
    <w:rsid w:val="00253BF0"/>
    <w:rsid w:val="00254DBF"/>
    <w:rsid w:val="00255049"/>
    <w:rsid w:val="00256BC4"/>
    <w:rsid w:val="00256D23"/>
    <w:rsid w:val="00257326"/>
    <w:rsid w:val="00270EA2"/>
    <w:rsid w:val="00271BBB"/>
    <w:rsid w:val="00273C87"/>
    <w:rsid w:val="00286EEB"/>
    <w:rsid w:val="00290181"/>
    <w:rsid w:val="002917CA"/>
    <w:rsid w:val="00296167"/>
    <w:rsid w:val="0029702B"/>
    <w:rsid w:val="002A1596"/>
    <w:rsid w:val="002A19EF"/>
    <w:rsid w:val="002A2E55"/>
    <w:rsid w:val="002A386C"/>
    <w:rsid w:val="002A5E17"/>
    <w:rsid w:val="002B29A8"/>
    <w:rsid w:val="002B319E"/>
    <w:rsid w:val="002B5712"/>
    <w:rsid w:val="002B585B"/>
    <w:rsid w:val="002C1A50"/>
    <w:rsid w:val="002C2DB4"/>
    <w:rsid w:val="002C3FA8"/>
    <w:rsid w:val="002C5888"/>
    <w:rsid w:val="002C588B"/>
    <w:rsid w:val="002C5C1B"/>
    <w:rsid w:val="002C76DC"/>
    <w:rsid w:val="002D22C2"/>
    <w:rsid w:val="002D2DCC"/>
    <w:rsid w:val="002D4D20"/>
    <w:rsid w:val="002D5079"/>
    <w:rsid w:val="002E2AA6"/>
    <w:rsid w:val="002E46C6"/>
    <w:rsid w:val="002E52BB"/>
    <w:rsid w:val="002E673A"/>
    <w:rsid w:val="002E6831"/>
    <w:rsid w:val="002F2EFB"/>
    <w:rsid w:val="002F31BF"/>
    <w:rsid w:val="002F4935"/>
    <w:rsid w:val="002F575A"/>
    <w:rsid w:val="003021A0"/>
    <w:rsid w:val="00304473"/>
    <w:rsid w:val="00305CCE"/>
    <w:rsid w:val="0031009B"/>
    <w:rsid w:val="00310A46"/>
    <w:rsid w:val="00312BCD"/>
    <w:rsid w:val="003145CC"/>
    <w:rsid w:val="00315E8E"/>
    <w:rsid w:val="003217FB"/>
    <w:rsid w:val="00322D43"/>
    <w:rsid w:val="00331C41"/>
    <w:rsid w:val="0033407F"/>
    <w:rsid w:val="003370E0"/>
    <w:rsid w:val="0033783F"/>
    <w:rsid w:val="003378F2"/>
    <w:rsid w:val="0034103B"/>
    <w:rsid w:val="00345703"/>
    <w:rsid w:val="00345A6E"/>
    <w:rsid w:val="0035113B"/>
    <w:rsid w:val="003517D2"/>
    <w:rsid w:val="00356909"/>
    <w:rsid w:val="00357CF2"/>
    <w:rsid w:val="00360979"/>
    <w:rsid w:val="00364EB2"/>
    <w:rsid w:val="003653B0"/>
    <w:rsid w:val="003655F6"/>
    <w:rsid w:val="00373FD9"/>
    <w:rsid w:val="0037701A"/>
    <w:rsid w:val="0038054D"/>
    <w:rsid w:val="0038109F"/>
    <w:rsid w:val="00381546"/>
    <w:rsid w:val="0038159D"/>
    <w:rsid w:val="00382EF7"/>
    <w:rsid w:val="00387BC2"/>
    <w:rsid w:val="003925FD"/>
    <w:rsid w:val="003941D3"/>
    <w:rsid w:val="003942F3"/>
    <w:rsid w:val="00394C62"/>
    <w:rsid w:val="003A2091"/>
    <w:rsid w:val="003A4D62"/>
    <w:rsid w:val="003B49F7"/>
    <w:rsid w:val="003B6DF4"/>
    <w:rsid w:val="003C049A"/>
    <w:rsid w:val="003C14DA"/>
    <w:rsid w:val="003C3BE1"/>
    <w:rsid w:val="003C4029"/>
    <w:rsid w:val="003C4663"/>
    <w:rsid w:val="003C5F4C"/>
    <w:rsid w:val="003C760E"/>
    <w:rsid w:val="003C78C0"/>
    <w:rsid w:val="003D05BE"/>
    <w:rsid w:val="003D14F4"/>
    <w:rsid w:val="003D504B"/>
    <w:rsid w:val="003D7414"/>
    <w:rsid w:val="003E3E89"/>
    <w:rsid w:val="003E3F8C"/>
    <w:rsid w:val="003E44AB"/>
    <w:rsid w:val="003E593D"/>
    <w:rsid w:val="003F151D"/>
    <w:rsid w:val="003F24FA"/>
    <w:rsid w:val="003F4467"/>
    <w:rsid w:val="00402BCC"/>
    <w:rsid w:val="00405866"/>
    <w:rsid w:val="004073E7"/>
    <w:rsid w:val="0041208E"/>
    <w:rsid w:val="00413D16"/>
    <w:rsid w:val="00422409"/>
    <w:rsid w:val="00432B59"/>
    <w:rsid w:val="00433B29"/>
    <w:rsid w:val="004363D7"/>
    <w:rsid w:val="00436D93"/>
    <w:rsid w:val="004418E7"/>
    <w:rsid w:val="00443920"/>
    <w:rsid w:val="004478EA"/>
    <w:rsid w:val="00452399"/>
    <w:rsid w:val="004534AC"/>
    <w:rsid w:val="00455672"/>
    <w:rsid w:val="00456F5D"/>
    <w:rsid w:val="00461211"/>
    <w:rsid w:val="00463291"/>
    <w:rsid w:val="004735ED"/>
    <w:rsid w:val="004754F4"/>
    <w:rsid w:val="004757B1"/>
    <w:rsid w:val="00475D4D"/>
    <w:rsid w:val="0047734C"/>
    <w:rsid w:val="00483A2B"/>
    <w:rsid w:val="0048423B"/>
    <w:rsid w:val="00486515"/>
    <w:rsid w:val="004870F7"/>
    <w:rsid w:val="004B034D"/>
    <w:rsid w:val="004B1A1C"/>
    <w:rsid w:val="004B3B2B"/>
    <w:rsid w:val="004B5269"/>
    <w:rsid w:val="004C6C24"/>
    <w:rsid w:val="004D046F"/>
    <w:rsid w:val="004D06C9"/>
    <w:rsid w:val="004D39CA"/>
    <w:rsid w:val="004D4132"/>
    <w:rsid w:val="004D5C49"/>
    <w:rsid w:val="004D6BB2"/>
    <w:rsid w:val="004D7D72"/>
    <w:rsid w:val="004E0252"/>
    <w:rsid w:val="004E065F"/>
    <w:rsid w:val="004E0B5E"/>
    <w:rsid w:val="004E25A0"/>
    <w:rsid w:val="004E33A6"/>
    <w:rsid w:val="004E3E9F"/>
    <w:rsid w:val="004F1B2E"/>
    <w:rsid w:val="004F2E09"/>
    <w:rsid w:val="004F4F82"/>
    <w:rsid w:val="004F5C82"/>
    <w:rsid w:val="004F7E84"/>
    <w:rsid w:val="00510D9A"/>
    <w:rsid w:val="00511E42"/>
    <w:rsid w:val="005137B1"/>
    <w:rsid w:val="00517971"/>
    <w:rsid w:val="00517B3D"/>
    <w:rsid w:val="00521F5F"/>
    <w:rsid w:val="00525BDA"/>
    <w:rsid w:val="00530CBC"/>
    <w:rsid w:val="00531E63"/>
    <w:rsid w:val="00534A66"/>
    <w:rsid w:val="00536943"/>
    <w:rsid w:val="00544B2F"/>
    <w:rsid w:val="00553774"/>
    <w:rsid w:val="005538A4"/>
    <w:rsid w:val="00553E65"/>
    <w:rsid w:val="00561C7E"/>
    <w:rsid w:val="00561D08"/>
    <w:rsid w:val="00561E2C"/>
    <w:rsid w:val="00564255"/>
    <w:rsid w:val="00564C59"/>
    <w:rsid w:val="005665CA"/>
    <w:rsid w:val="00566851"/>
    <w:rsid w:val="0057203A"/>
    <w:rsid w:val="00572745"/>
    <w:rsid w:val="00573B76"/>
    <w:rsid w:val="00577105"/>
    <w:rsid w:val="005774EA"/>
    <w:rsid w:val="00580FEB"/>
    <w:rsid w:val="0058135C"/>
    <w:rsid w:val="005819B2"/>
    <w:rsid w:val="00584800"/>
    <w:rsid w:val="005852B3"/>
    <w:rsid w:val="00592EC3"/>
    <w:rsid w:val="00595094"/>
    <w:rsid w:val="00595C20"/>
    <w:rsid w:val="005A0466"/>
    <w:rsid w:val="005A10C2"/>
    <w:rsid w:val="005A3F1B"/>
    <w:rsid w:val="005A7DD5"/>
    <w:rsid w:val="005B1D7C"/>
    <w:rsid w:val="005B2539"/>
    <w:rsid w:val="005C0E76"/>
    <w:rsid w:val="005C452A"/>
    <w:rsid w:val="005C57B9"/>
    <w:rsid w:val="005C6E50"/>
    <w:rsid w:val="005C7A6C"/>
    <w:rsid w:val="005D22A0"/>
    <w:rsid w:val="005D2E23"/>
    <w:rsid w:val="005D37CE"/>
    <w:rsid w:val="005D4C15"/>
    <w:rsid w:val="005D6691"/>
    <w:rsid w:val="005D7945"/>
    <w:rsid w:val="005E1C65"/>
    <w:rsid w:val="005E380A"/>
    <w:rsid w:val="005E52AD"/>
    <w:rsid w:val="005E5EEC"/>
    <w:rsid w:val="005E7A8F"/>
    <w:rsid w:val="005F0B69"/>
    <w:rsid w:val="005F262C"/>
    <w:rsid w:val="005F26E3"/>
    <w:rsid w:val="005F53D3"/>
    <w:rsid w:val="005F7575"/>
    <w:rsid w:val="00600479"/>
    <w:rsid w:val="00603A5C"/>
    <w:rsid w:val="00604ABE"/>
    <w:rsid w:val="00604C90"/>
    <w:rsid w:val="006072E6"/>
    <w:rsid w:val="0061136E"/>
    <w:rsid w:val="0061164C"/>
    <w:rsid w:val="00612476"/>
    <w:rsid w:val="0061644B"/>
    <w:rsid w:val="0061796B"/>
    <w:rsid w:val="0062134C"/>
    <w:rsid w:val="006226E3"/>
    <w:rsid w:val="00625443"/>
    <w:rsid w:val="00626F1E"/>
    <w:rsid w:val="00630E82"/>
    <w:rsid w:val="00631EF3"/>
    <w:rsid w:val="00632987"/>
    <w:rsid w:val="00634D55"/>
    <w:rsid w:val="006402BA"/>
    <w:rsid w:val="00641223"/>
    <w:rsid w:val="00641BF9"/>
    <w:rsid w:val="00647BD7"/>
    <w:rsid w:val="00653C8B"/>
    <w:rsid w:val="0065499B"/>
    <w:rsid w:val="00655EC1"/>
    <w:rsid w:val="00661FF1"/>
    <w:rsid w:val="0066534D"/>
    <w:rsid w:val="00666E44"/>
    <w:rsid w:val="0067135D"/>
    <w:rsid w:val="00674A0F"/>
    <w:rsid w:val="00675FB1"/>
    <w:rsid w:val="006832C6"/>
    <w:rsid w:val="0068365A"/>
    <w:rsid w:val="00684F22"/>
    <w:rsid w:val="0068621A"/>
    <w:rsid w:val="006863C0"/>
    <w:rsid w:val="006919E9"/>
    <w:rsid w:val="006973D5"/>
    <w:rsid w:val="006A2D7A"/>
    <w:rsid w:val="006A4416"/>
    <w:rsid w:val="006A4A15"/>
    <w:rsid w:val="006A4FEC"/>
    <w:rsid w:val="006A7C9B"/>
    <w:rsid w:val="006B0920"/>
    <w:rsid w:val="006B321C"/>
    <w:rsid w:val="006B7265"/>
    <w:rsid w:val="006C074C"/>
    <w:rsid w:val="006C45B9"/>
    <w:rsid w:val="006C66AB"/>
    <w:rsid w:val="006D0A90"/>
    <w:rsid w:val="006D2D9F"/>
    <w:rsid w:val="006D41B5"/>
    <w:rsid w:val="006D53F1"/>
    <w:rsid w:val="006E1399"/>
    <w:rsid w:val="006E35E0"/>
    <w:rsid w:val="006E4DEE"/>
    <w:rsid w:val="006E6273"/>
    <w:rsid w:val="006F1297"/>
    <w:rsid w:val="00712B40"/>
    <w:rsid w:val="007138B6"/>
    <w:rsid w:val="00717CC7"/>
    <w:rsid w:val="00722A53"/>
    <w:rsid w:val="00736E68"/>
    <w:rsid w:val="0073713C"/>
    <w:rsid w:val="007377D9"/>
    <w:rsid w:val="00737E8A"/>
    <w:rsid w:val="007405E5"/>
    <w:rsid w:val="007408DF"/>
    <w:rsid w:val="00741158"/>
    <w:rsid w:val="00743481"/>
    <w:rsid w:val="007501C1"/>
    <w:rsid w:val="0075078A"/>
    <w:rsid w:val="00752F27"/>
    <w:rsid w:val="00754126"/>
    <w:rsid w:val="00754AD5"/>
    <w:rsid w:val="00755231"/>
    <w:rsid w:val="00757D1E"/>
    <w:rsid w:val="00760B51"/>
    <w:rsid w:val="007622EF"/>
    <w:rsid w:val="00766D38"/>
    <w:rsid w:val="007678F0"/>
    <w:rsid w:val="007718BF"/>
    <w:rsid w:val="00775C7E"/>
    <w:rsid w:val="007775BF"/>
    <w:rsid w:val="007777E3"/>
    <w:rsid w:val="00780074"/>
    <w:rsid w:val="0078042F"/>
    <w:rsid w:val="00785114"/>
    <w:rsid w:val="00786BE0"/>
    <w:rsid w:val="007878EA"/>
    <w:rsid w:val="00790E28"/>
    <w:rsid w:val="00791135"/>
    <w:rsid w:val="007918C0"/>
    <w:rsid w:val="00792A33"/>
    <w:rsid w:val="007963C5"/>
    <w:rsid w:val="00797133"/>
    <w:rsid w:val="007B0D02"/>
    <w:rsid w:val="007B2EF2"/>
    <w:rsid w:val="007B33EA"/>
    <w:rsid w:val="007B5C86"/>
    <w:rsid w:val="007C0AE3"/>
    <w:rsid w:val="007C113C"/>
    <w:rsid w:val="007C50CF"/>
    <w:rsid w:val="007C781F"/>
    <w:rsid w:val="007C7F5F"/>
    <w:rsid w:val="007D05E7"/>
    <w:rsid w:val="007D2DB3"/>
    <w:rsid w:val="007D449E"/>
    <w:rsid w:val="007E04CC"/>
    <w:rsid w:val="007E0E3D"/>
    <w:rsid w:val="007E2DAD"/>
    <w:rsid w:val="007E426A"/>
    <w:rsid w:val="007E441D"/>
    <w:rsid w:val="007E4B5C"/>
    <w:rsid w:val="007E5E11"/>
    <w:rsid w:val="007E6331"/>
    <w:rsid w:val="007F1EED"/>
    <w:rsid w:val="007F2518"/>
    <w:rsid w:val="007F4C79"/>
    <w:rsid w:val="007F4FC0"/>
    <w:rsid w:val="007F5728"/>
    <w:rsid w:val="007F766F"/>
    <w:rsid w:val="00800D8A"/>
    <w:rsid w:val="008010A8"/>
    <w:rsid w:val="00805A8A"/>
    <w:rsid w:val="008079B7"/>
    <w:rsid w:val="00813E12"/>
    <w:rsid w:val="00815104"/>
    <w:rsid w:val="008157DF"/>
    <w:rsid w:val="00822B4C"/>
    <w:rsid w:val="0083093E"/>
    <w:rsid w:val="00831B16"/>
    <w:rsid w:val="00831C44"/>
    <w:rsid w:val="008321D3"/>
    <w:rsid w:val="008379D7"/>
    <w:rsid w:val="00843059"/>
    <w:rsid w:val="008433C0"/>
    <w:rsid w:val="008539A0"/>
    <w:rsid w:val="008548DF"/>
    <w:rsid w:val="00860545"/>
    <w:rsid w:val="008605DF"/>
    <w:rsid w:val="008612BD"/>
    <w:rsid w:val="00863FDE"/>
    <w:rsid w:val="00866084"/>
    <w:rsid w:val="00871DEC"/>
    <w:rsid w:val="00871E67"/>
    <w:rsid w:val="00872020"/>
    <w:rsid w:val="0087209F"/>
    <w:rsid w:val="00873D5F"/>
    <w:rsid w:val="00875E51"/>
    <w:rsid w:val="00877390"/>
    <w:rsid w:val="00881244"/>
    <w:rsid w:val="0088209B"/>
    <w:rsid w:val="00886E1E"/>
    <w:rsid w:val="008906BD"/>
    <w:rsid w:val="008923AF"/>
    <w:rsid w:val="00892655"/>
    <w:rsid w:val="00893B0D"/>
    <w:rsid w:val="008953EC"/>
    <w:rsid w:val="008A4CE3"/>
    <w:rsid w:val="008A5D71"/>
    <w:rsid w:val="008A689A"/>
    <w:rsid w:val="008A737D"/>
    <w:rsid w:val="008A7C0C"/>
    <w:rsid w:val="008B23B1"/>
    <w:rsid w:val="008B707B"/>
    <w:rsid w:val="008C3C9B"/>
    <w:rsid w:val="008C7D6F"/>
    <w:rsid w:val="008D187F"/>
    <w:rsid w:val="008E4827"/>
    <w:rsid w:val="008F4C8B"/>
    <w:rsid w:val="008F50C6"/>
    <w:rsid w:val="008F594A"/>
    <w:rsid w:val="008F5988"/>
    <w:rsid w:val="008F6241"/>
    <w:rsid w:val="008F7158"/>
    <w:rsid w:val="008F7940"/>
    <w:rsid w:val="009011CC"/>
    <w:rsid w:val="0090121F"/>
    <w:rsid w:val="00903501"/>
    <w:rsid w:val="0090527F"/>
    <w:rsid w:val="00905D2D"/>
    <w:rsid w:val="009111A4"/>
    <w:rsid w:val="00912997"/>
    <w:rsid w:val="00914F56"/>
    <w:rsid w:val="009152FA"/>
    <w:rsid w:val="0092656F"/>
    <w:rsid w:val="0092712B"/>
    <w:rsid w:val="00931A85"/>
    <w:rsid w:val="0093200A"/>
    <w:rsid w:val="00937031"/>
    <w:rsid w:val="00940A22"/>
    <w:rsid w:val="00942AF8"/>
    <w:rsid w:val="009475BF"/>
    <w:rsid w:val="00956B4A"/>
    <w:rsid w:val="00957D22"/>
    <w:rsid w:val="00961917"/>
    <w:rsid w:val="00962A96"/>
    <w:rsid w:val="00965EAA"/>
    <w:rsid w:val="00971219"/>
    <w:rsid w:val="00974C78"/>
    <w:rsid w:val="00980CEB"/>
    <w:rsid w:val="009810A6"/>
    <w:rsid w:val="009850C1"/>
    <w:rsid w:val="00985CA5"/>
    <w:rsid w:val="009865AB"/>
    <w:rsid w:val="00987440"/>
    <w:rsid w:val="009931DC"/>
    <w:rsid w:val="0099561E"/>
    <w:rsid w:val="00997564"/>
    <w:rsid w:val="00997A5D"/>
    <w:rsid w:val="009A0071"/>
    <w:rsid w:val="009A0F4B"/>
    <w:rsid w:val="009A1D74"/>
    <w:rsid w:val="009A3AEC"/>
    <w:rsid w:val="009A5D6E"/>
    <w:rsid w:val="009A7A72"/>
    <w:rsid w:val="009B46C2"/>
    <w:rsid w:val="009B55C6"/>
    <w:rsid w:val="009B64F0"/>
    <w:rsid w:val="009B71E0"/>
    <w:rsid w:val="009B7E01"/>
    <w:rsid w:val="009C1D1C"/>
    <w:rsid w:val="009C3225"/>
    <w:rsid w:val="009C376E"/>
    <w:rsid w:val="009C7BF6"/>
    <w:rsid w:val="009D04C4"/>
    <w:rsid w:val="009D093D"/>
    <w:rsid w:val="009D348B"/>
    <w:rsid w:val="009D4AA2"/>
    <w:rsid w:val="009D551A"/>
    <w:rsid w:val="009D5AE6"/>
    <w:rsid w:val="009D763E"/>
    <w:rsid w:val="009E2E61"/>
    <w:rsid w:val="009E3F2C"/>
    <w:rsid w:val="009E3FE2"/>
    <w:rsid w:val="009E6120"/>
    <w:rsid w:val="009F2195"/>
    <w:rsid w:val="009F2510"/>
    <w:rsid w:val="009F3B5C"/>
    <w:rsid w:val="009F4AEC"/>
    <w:rsid w:val="009F58D0"/>
    <w:rsid w:val="009F634A"/>
    <w:rsid w:val="00A045FF"/>
    <w:rsid w:val="00A0608E"/>
    <w:rsid w:val="00A22C4F"/>
    <w:rsid w:val="00A23B8E"/>
    <w:rsid w:val="00A240C1"/>
    <w:rsid w:val="00A25E8D"/>
    <w:rsid w:val="00A26B5F"/>
    <w:rsid w:val="00A27AA6"/>
    <w:rsid w:val="00A306F3"/>
    <w:rsid w:val="00A3330D"/>
    <w:rsid w:val="00A34891"/>
    <w:rsid w:val="00A4209A"/>
    <w:rsid w:val="00A45F19"/>
    <w:rsid w:val="00A4616F"/>
    <w:rsid w:val="00A4741C"/>
    <w:rsid w:val="00A51D82"/>
    <w:rsid w:val="00A551AB"/>
    <w:rsid w:val="00A57D7B"/>
    <w:rsid w:val="00A6100C"/>
    <w:rsid w:val="00A622BE"/>
    <w:rsid w:val="00A656AF"/>
    <w:rsid w:val="00A6582F"/>
    <w:rsid w:val="00A65BCF"/>
    <w:rsid w:val="00A65E3A"/>
    <w:rsid w:val="00A663FC"/>
    <w:rsid w:val="00A75E8D"/>
    <w:rsid w:val="00A91336"/>
    <w:rsid w:val="00A94C18"/>
    <w:rsid w:val="00A96590"/>
    <w:rsid w:val="00A97343"/>
    <w:rsid w:val="00A97489"/>
    <w:rsid w:val="00AA06DD"/>
    <w:rsid w:val="00AA4C3C"/>
    <w:rsid w:val="00AA56C9"/>
    <w:rsid w:val="00AB118C"/>
    <w:rsid w:val="00AB1EFB"/>
    <w:rsid w:val="00AB29E2"/>
    <w:rsid w:val="00AC58B5"/>
    <w:rsid w:val="00AD1DE4"/>
    <w:rsid w:val="00AD4CF5"/>
    <w:rsid w:val="00AD5CDA"/>
    <w:rsid w:val="00AE0FF8"/>
    <w:rsid w:val="00AE3439"/>
    <w:rsid w:val="00AE37AF"/>
    <w:rsid w:val="00AE5389"/>
    <w:rsid w:val="00AF4101"/>
    <w:rsid w:val="00AF5873"/>
    <w:rsid w:val="00B04E96"/>
    <w:rsid w:val="00B10382"/>
    <w:rsid w:val="00B10753"/>
    <w:rsid w:val="00B11339"/>
    <w:rsid w:val="00B12A13"/>
    <w:rsid w:val="00B1394E"/>
    <w:rsid w:val="00B17932"/>
    <w:rsid w:val="00B21A53"/>
    <w:rsid w:val="00B27AF8"/>
    <w:rsid w:val="00B316BF"/>
    <w:rsid w:val="00B3192B"/>
    <w:rsid w:val="00B349F2"/>
    <w:rsid w:val="00B35A93"/>
    <w:rsid w:val="00B36F20"/>
    <w:rsid w:val="00B36FCE"/>
    <w:rsid w:val="00B375EB"/>
    <w:rsid w:val="00B4044A"/>
    <w:rsid w:val="00B41CEB"/>
    <w:rsid w:val="00B45755"/>
    <w:rsid w:val="00B467F1"/>
    <w:rsid w:val="00B46B13"/>
    <w:rsid w:val="00B50552"/>
    <w:rsid w:val="00B52B39"/>
    <w:rsid w:val="00B53C50"/>
    <w:rsid w:val="00B55496"/>
    <w:rsid w:val="00B57AD3"/>
    <w:rsid w:val="00B57F38"/>
    <w:rsid w:val="00B60273"/>
    <w:rsid w:val="00B61A6F"/>
    <w:rsid w:val="00B641A7"/>
    <w:rsid w:val="00B666B1"/>
    <w:rsid w:val="00B7120C"/>
    <w:rsid w:val="00B73B5D"/>
    <w:rsid w:val="00B75E3A"/>
    <w:rsid w:val="00B812C6"/>
    <w:rsid w:val="00B824BF"/>
    <w:rsid w:val="00B828FA"/>
    <w:rsid w:val="00B83F10"/>
    <w:rsid w:val="00B90EF5"/>
    <w:rsid w:val="00B91C49"/>
    <w:rsid w:val="00B94056"/>
    <w:rsid w:val="00B95366"/>
    <w:rsid w:val="00B95BDB"/>
    <w:rsid w:val="00BA1840"/>
    <w:rsid w:val="00BB00E6"/>
    <w:rsid w:val="00BB5FE8"/>
    <w:rsid w:val="00BB65DF"/>
    <w:rsid w:val="00BC3964"/>
    <w:rsid w:val="00BC647B"/>
    <w:rsid w:val="00BC7341"/>
    <w:rsid w:val="00BD4DB2"/>
    <w:rsid w:val="00BD78E9"/>
    <w:rsid w:val="00BE4EEB"/>
    <w:rsid w:val="00BE6071"/>
    <w:rsid w:val="00BE7D8F"/>
    <w:rsid w:val="00BF0A04"/>
    <w:rsid w:val="00BF121F"/>
    <w:rsid w:val="00BF1F8D"/>
    <w:rsid w:val="00BF60DD"/>
    <w:rsid w:val="00C04F9B"/>
    <w:rsid w:val="00C0518B"/>
    <w:rsid w:val="00C07743"/>
    <w:rsid w:val="00C1135F"/>
    <w:rsid w:val="00C119A4"/>
    <w:rsid w:val="00C14127"/>
    <w:rsid w:val="00C16AA8"/>
    <w:rsid w:val="00C16D41"/>
    <w:rsid w:val="00C21A26"/>
    <w:rsid w:val="00C21F69"/>
    <w:rsid w:val="00C23D5B"/>
    <w:rsid w:val="00C2576A"/>
    <w:rsid w:val="00C31262"/>
    <w:rsid w:val="00C32C62"/>
    <w:rsid w:val="00C33092"/>
    <w:rsid w:val="00C33C3A"/>
    <w:rsid w:val="00C34246"/>
    <w:rsid w:val="00C44B4D"/>
    <w:rsid w:val="00C45102"/>
    <w:rsid w:val="00C55C1A"/>
    <w:rsid w:val="00C57A7E"/>
    <w:rsid w:val="00C65A43"/>
    <w:rsid w:val="00C66C6C"/>
    <w:rsid w:val="00C70802"/>
    <w:rsid w:val="00C71D96"/>
    <w:rsid w:val="00C732D4"/>
    <w:rsid w:val="00C83477"/>
    <w:rsid w:val="00C844F3"/>
    <w:rsid w:val="00C86466"/>
    <w:rsid w:val="00C9398C"/>
    <w:rsid w:val="00C95D30"/>
    <w:rsid w:val="00CA1845"/>
    <w:rsid w:val="00CA34A1"/>
    <w:rsid w:val="00CA3FB7"/>
    <w:rsid w:val="00CA45AE"/>
    <w:rsid w:val="00CA7FEB"/>
    <w:rsid w:val="00CB024C"/>
    <w:rsid w:val="00CB218C"/>
    <w:rsid w:val="00CB6C82"/>
    <w:rsid w:val="00CB7F13"/>
    <w:rsid w:val="00CC0295"/>
    <w:rsid w:val="00CC05B6"/>
    <w:rsid w:val="00CC0A13"/>
    <w:rsid w:val="00CC2D1B"/>
    <w:rsid w:val="00CC4501"/>
    <w:rsid w:val="00CC66D3"/>
    <w:rsid w:val="00CC6918"/>
    <w:rsid w:val="00CC6DDE"/>
    <w:rsid w:val="00CC71E2"/>
    <w:rsid w:val="00CD6682"/>
    <w:rsid w:val="00CD6D0F"/>
    <w:rsid w:val="00CE7E24"/>
    <w:rsid w:val="00CF0AF7"/>
    <w:rsid w:val="00CF4BEF"/>
    <w:rsid w:val="00D00AAE"/>
    <w:rsid w:val="00D04361"/>
    <w:rsid w:val="00D04412"/>
    <w:rsid w:val="00D05294"/>
    <w:rsid w:val="00D07FCE"/>
    <w:rsid w:val="00D13071"/>
    <w:rsid w:val="00D14904"/>
    <w:rsid w:val="00D16286"/>
    <w:rsid w:val="00D20888"/>
    <w:rsid w:val="00D20FB2"/>
    <w:rsid w:val="00D229F8"/>
    <w:rsid w:val="00D231A0"/>
    <w:rsid w:val="00D23ACA"/>
    <w:rsid w:val="00D23EDA"/>
    <w:rsid w:val="00D2416C"/>
    <w:rsid w:val="00D262B9"/>
    <w:rsid w:val="00D26E06"/>
    <w:rsid w:val="00D27124"/>
    <w:rsid w:val="00D27B3A"/>
    <w:rsid w:val="00D3025F"/>
    <w:rsid w:val="00D325FC"/>
    <w:rsid w:val="00D3302F"/>
    <w:rsid w:val="00D35F72"/>
    <w:rsid w:val="00D41568"/>
    <w:rsid w:val="00D4159C"/>
    <w:rsid w:val="00D417D2"/>
    <w:rsid w:val="00D42D7C"/>
    <w:rsid w:val="00D46BBF"/>
    <w:rsid w:val="00D515A4"/>
    <w:rsid w:val="00D52DA0"/>
    <w:rsid w:val="00D534C9"/>
    <w:rsid w:val="00D56F97"/>
    <w:rsid w:val="00D57F2F"/>
    <w:rsid w:val="00D6020A"/>
    <w:rsid w:val="00D63D6F"/>
    <w:rsid w:val="00D6722B"/>
    <w:rsid w:val="00D759DB"/>
    <w:rsid w:val="00D76082"/>
    <w:rsid w:val="00D802E0"/>
    <w:rsid w:val="00D82A45"/>
    <w:rsid w:val="00D8484E"/>
    <w:rsid w:val="00D90CDA"/>
    <w:rsid w:val="00D9570E"/>
    <w:rsid w:val="00D97429"/>
    <w:rsid w:val="00DA03E0"/>
    <w:rsid w:val="00DA2CA2"/>
    <w:rsid w:val="00DA5681"/>
    <w:rsid w:val="00DB03E7"/>
    <w:rsid w:val="00DB131C"/>
    <w:rsid w:val="00DB1463"/>
    <w:rsid w:val="00DB2B72"/>
    <w:rsid w:val="00DC54FD"/>
    <w:rsid w:val="00DC5831"/>
    <w:rsid w:val="00DC613E"/>
    <w:rsid w:val="00DD1AF2"/>
    <w:rsid w:val="00DD5773"/>
    <w:rsid w:val="00DD6E09"/>
    <w:rsid w:val="00DE25C8"/>
    <w:rsid w:val="00DE3C26"/>
    <w:rsid w:val="00DE6A4B"/>
    <w:rsid w:val="00DF090B"/>
    <w:rsid w:val="00DF57AC"/>
    <w:rsid w:val="00DF5ABB"/>
    <w:rsid w:val="00DF7361"/>
    <w:rsid w:val="00DF7B23"/>
    <w:rsid w:val="00E06237"/>
    <w:rsid w:val="00E06451"/>
    <w:rsid w:val="00E1154B"/>
    <w:rsid w:val="00E12AB3"/>
    <w:rsid w:val="00E130E1"/>
    <w:rsid w:val="00E1320D"/>
    <w:rsid w:val="00E14154"/>
    <w:rsid w:val="00E170DF"/>
    <w:rsid w:val="00E32294"/>
    <w:rsid w:val="00E36351"/>
    <w:rsid w:val="00E37B89"/>
    <w:rsid w:val="00E42CDC"/>
    <w:rsid w:val="00E456FE"/>
    <w:rsid w:val="00E46AF1"/>
    <w:rsid w:val="00E6284A"/>
    <w:rsid w:val="00E635F1"/>
    <w:rsid w:val="00E701D4"/>
    <w:rsid w:val="00E713E5"/>
    <w:rsid w:val="00E7321E"/>
    <w:rsid w:val="00E749F9"/>
    <w:rsid w:val="00E80E81"/>
    <w:rsid w:val="00E835D3"/>
    <w:rsid w:val="00E8639D"/>
    <w:rsid w:val="00E87587"/>
    <w:rsid w:val="00E93841"/>
    <w:rsid w:val="00E93BCE"/>
    <w:rsid w:val="00E96DD3"/>
    <w:rsid w:val="00EA7FFB"/>
    <w:rsid w:val="00EB05A6"/>
    <w:rsid w:val="00EB06FC"/>
    <w:rsid w:val="00EB0AAB"/>
    <w:rsid w:val="00EB1839"/>
    <w:rsid w:val="00EB6975"/>
    <w:rsid w:val="00EC5775"/>
    <w:rsid w:val="00EC60DC"/>
    <w:rsid w:val="00ED0388"/>
    <w:rsid w:val="00ED155E"/>
    <w:rsid w:val="00ED1BE5"/>
    <w:rsid w:val="00ED2D21"/>
    <w:rsid w:val="00ED2E5F"/>
    <w:rsid w:val="00ED364F"/>
    <w:rsid w:val="00ED5CFF"/>
    <w:rsid w:val="00ED6AB5"/>
    <w:rsid w:val="00EE1524"/>
    <w:rsid w:val="00EE3C7B"/>
    <w:rsid w:val="00EE4992"/>
    <w:rsid w:val="00EE4B62"/>
    <w:rsid w:val="00EF0BDB"/>
    <w:rsid w:val="00EF4D0F"/>
    <w:rsid w:val="00EF7DE2"/>
    <w:rsid w:val="00F02E35"/>
    <w:rsid w:val="00F04049"/>
    <w:rsid w:val="00F04A22"/>
    <w:rsid w:val="00F04B10"/>
    <w:rsid w:val="00F114C7"/>
    <w:rsid w:val="00F141B3"/>
    <w:rsid w:val="00F14794"/>
    <w:rsid w:val="00F21CE7"/>
    <w:rsid w:val="00F22A67"/>
    <w:rsid w:val="00F235AB"/>
    <w:rsid w:val="00F249D5"/>
    <w:rsid w:val="00F2611F"/>
    <w:rsid w:val="00F273F8"/>
    <w:rsid w:val="00F31519"/>
    <w:rsid w:val="00F3715B"/>
    <w:rsid w:val="00F379C5"/>
    <w:rsid w:val="00F4503A"/>
    <w:rsid w:val="00F453B1"/>
    <w:rsid w:val="00F45966"/>
    <w:rsid w:val="00F51838"/>
    <w:rsid w:val="00F5650A"/>
    <w:rsid w:val="00F57A54"/>
    <w:rsid w:val="00F60E59"/>
    <w:rsid w:val="00F61D2B"/>
    <w:rsid w:val="00F6251D"/>
    <w:rsid w:val="00F6303C"/>
    <w:rsid w:val="00F70794"/>
    <w:rsid w:val="00F75F4C"/>
    <w:rsid w:val="00F765EE"/>
    <w:rsid w:val="00F769B8"/>
    <w:rsid w:val="00F7717F"/>
    <w:rsid w:val="00F775B4"/>
    <w:rsid w:val="00F80332"/>
    <w:rsid w:val="00F814B9"/>
    <w:rsid w:val="00F8458F"/>
    <w:rsid w:val="00F86B9E"/>
    <w:rsid w:val="00F870A5"/>
    <w:rsid w:val="00F90A67"/>
    <w:rsid w:val="00F91FAE"/>
    <w:rsid w:val="00F945E3"/>
    <w:rsid w:val="00FA0DA7"/>
    <w:rsid w:val="00FA2EC3"/>
    <w:rsid w:val="00FA6477"/>
    <w:rsid w:val="00FB15D2"/>
    <w:rsid w:val="00FB1A23"/>
    <w:rsid w:val="00FB358A"/>
    <w:rsid w:val="00FB5F8F"/>
    <w:rsid w:val="00FC05B4"/>
    <w:rsid w:val="00FC1017"/>
    <w:rsid w:val="00FC3AE3"/>
    <w:rsid w:val="00FC71BD"/>
    <w:rsid w:val="00FC7A26"/>
    <w:rsid w:val="00FD269C"/>
    <w:rsid w:val="00FD3092"/>
    <w:rsid w:val="00FD3564"/>
    <w:rsid w:val="00FD6011"/>
    <w:rsid w:val="00FE18DA"/>
    <w:rsid w:val="00FE2251"/>
    <w:rsid w:val="00FE6F7F"/>
    <w:rsid w:val="00FE7085"/>
    <w:rsid w:val="00FF06D9"/>
    <w:rsid w:val="00FF06EF"/>
    <w:rsid w:val="00FF07C5"/>
    <w:rsid w:val="00FF1DF3"/>
    <w:rsid w:val="00FF29F8"/>
    <w:rsid w:val="00FF7349"/>
    <w:rsid w:val="00FF7A5A"/>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0418">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3AEC"/>
    <w:pPr>
      <w:spacing w:after="0"/>
      <w:jc w:val="both"/>
    </w:pPr>
  </w:style>
  <w:style w:type="paragraph" w:styleId="Heading1">
    <w:name w:val="heading 1"/>
    <w:basedOn w:val="Normal"/>
    <w:next w:val="Normal"/>
    <w:link w:val="Heading1Char"/>
    <w:uiPriority w:val="9"/>
    <w:qFormat/>
    <w:rsid w:val="008F7158"/>
    <w:pPr>
      <w:keepNext/>
      <w:keepLines/>
      <w:numPr>
        <w:numId w:val="4"/>
      </w:numPr>
      <w:spacing w:before="48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8F7158"/>
    <w:pPr>
      <w:keepNext/>
      <w:keepLines/>
      <w:numPr>
        <w:ilvl w:val="1"/>
        <w:numId w:val="4"/>
      </w:numPr>
      <w:spacing w:before="200"/>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3653B0"/>
    <w:pPr>
      <w:keepNext/>
      <w:keepLines/>
      <w:numPr>
        <w:ilvl w:val="2"/>
        <w:numId w:val="4"/>
      </w:numPr>
      <w:spacing w:before="200"/>
      <w:ind w:left="720"/>
      <w:outlineLvl w:val="2"/>
    </w:pPr>
    <w:rPr>
      <w:rFonts w:eastAsiaTheme="majorEastAsia" w:cstheme="majorBidi"/>
      <w:b/>
      <w:bCs/>
    </w:rPr>
  </w:style>
  <w:style w:type="paragraph" w:styleId="Heading4">
    <w:name w:val="heading 4"/>
    <w:basedOn w:val="Normal"/>
    <w:next w:val="Normal"/>
    <w:link w:val="Heading4Char"/>
    <w:uiPriority w:val="9"/>
    <w:unhideWhenUsed/>
    <w:qFormat/>
    <w:rsid w:val="001828D8"/>
    <w:pPr>
      <w:keepNext/>
      <w:keepLines/>
      <w:numPr>
        <w:ilvl w:val="3"/>
        <w:numId w:val="4"/>
      </w:numPr>
      <w:ind w:left="862" w:hanging="862"/>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8F7158"/>
    <w:pPr>
      <w:keepNext/>
      <w:keepLines/>
      <w:numPr>
        <w:ilvl w:val="4"/>
        <w:numId w:val="4"/>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F7158"/>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F7158"/>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F7158"/>
    <w:pPr>
      <w:keepNext/>
      <w:keepLines/>
      <w:numPr>
        <w:ilvl w:val="7"/>
        <w:numId w:val="4"/>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F7158"/>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7158"/>
    <w:rPr>
      <w:rFonts w:eastAsiaTheme="majorEastAsia" w:cstheme="majorBidi"/>
      <w:b/>
      <w:bCs/>
      <w:sz w:val="28"/>
      <w:szCs w:val="28"/>
    </w:rPr>
  </w:style>
  <w:style w:type="character" w:customStyle="1" w:styleId="Heading2Char">
    <w:name w:val="Heading 2 Char"/>
    <w:basedOn w:val="DefaultParagraphFont"/>
    <w:link w:val="Heading2"/>
    <w:uiPriority w:val="9"/>
    <w:rsid w:val="008F7158"/>
    <w:rPr>
      <w:rFonts w:eastAsiaTheme="majorEastAsia" w:cstheme="majorBidi"/>
      <w:b/>
      <w:bCs/>
      <w:sz w:val="24"/>
      <w:szCs w:val="26"/>
    </w:rPr>
  </w:style>
  <w:style w:type="character" w:customStyle="1" w:styleId="Heading3Char">
    <w:name w:val="Heading 3 Char"/>
    <w:basedOn w:val="DefaultParagraphFont"/>
    <w:link w:val="Heading3"/>
    <w:uiPriority w:val="9"/>
    <w:rsid w:val="003653B0"/>
    <w:rPr>
      <w:rFonts w:eastAsiaTheme="majorEastAsia" w:cstheme="majorBidi"/>
      <w:b/>
      <w:bCs/>
    </w:rPr>
  </w:style>
  <w:style w:type="character" w:customStyle="1" w:styleId="Heading4Char">
    <w:name w:val="Heading 4 Char"/>
    <w:basedOn w:val="DefaultParagraphFont"/>
    <w:link w:val="Heading4"/>
    <w:uiPriority w:val="9"/>
    <w:rsid w:val="001828D8"/>
    <w:rPr>
      <w:rFonts w:eastAsiaTheme="majorEastAsia" w:cstheme="majorBidi"/>
      <w:b/>
      <w:bCs/>
      <w:iCs/>
    </w:rPr>
  </w:style>
  <w:style w:type="character" w:customStyle="1" w:styleId="Heading5Char">
    <w:name w:val="Heading 5 Char"/>
    <w:basedOn w:val="DefaultParagraphFont"/>
    <w:link w:val="Heading5"/>
    <w:uiPriority w:val="9"/>
    <w:rsid w:val="008F715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F715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F715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F715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F7158"/>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9A3AE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3AEC"/>
    <w:rPr>
      <w:rFonts w:ascii="Tahoma" w:hAnsi="Tahoma" w:cs="Tahoma"/>
      <w:sz w:val="16"/>
      <w:szCs w:val="16"/>
    </w:rPr>
  </w:style>
  <w:style w:type="paragraph" w:styleId="TOCHeading">
    <w:name w:val="TOC Heading"/>
    <w:basedOn w:val="Heading1"/>
    <w:next w:val="Normal"/>
    <w:uiPriority w:val="39"/>
    <w:unhideWhenUsed/>
    <w:qFormat/>
    <w:rsid w:val="008F7158"/>
    <w:pPr>
      <w:jc w:val="left"/>
      <w:outlineLvl w:val="9"/>
    </w:pPr>
    <w:rPr>
      <w:rFonts w:asciiTheme="majorHAnsi" w:hAnsiTheme="majorHAnsi"/>
      <w:color w:val="365F91" w:themeColor="accent1" w:themeShade="BF"/>
      <w:lang w:val="en-US"/>
    </w:rPr>
  </w:style>
  <w:style w:type="paragraph" w:styleId="TOC1">
    <w:name w:val="toc 1"/>
    <w:basedOn w:val="Normal"/>
    <w:next w:val="Normal"/>
    <w:autoRedefine/>
    <w:uiPriority w:val="39"/>
    <w:unhideWhenUsed/>
    <w:rsid w:val="008F7158"/>
    <w:pPr>
      <w:spacing w:after="100"/>
    </w:pPr>
  </w:style>
  <w:style w:type="character" w:styleId="Hyperlink">
    <w:name w:val="Hyperlink"/>
    <w:basedOn w:val="DefaultParagraphFont"/>
    <w:uiPriority w:val="99"/>
    <w:unhideWhenUsed/>
    <w:rsid w:val="008F7158"/>
    <w:rPr>
      <w:color w:val="0000FF" w:themeColor="hyperlink"/>
      <w:u w:val="single"/>
    </w:rPr>
  </w:style>
  <w:style w:type="paragraph" w:styleId="ListParagraph">
    <w:name w:val="List Paragraph"/>
    <w:basedOn w:val="Normal"/>
    <w:uiPriority w:val="34"/>
    <w:qFormat/>
    <w:rsid w:val="008F7158"/>
    <w:pPr>
      <w:ind w:left="720"/>
      <w:contextualSpacing/>
    </w:pPr>
  </w:style>
  <w:style w:type="paragraph" w:styleId="TOC2">
    <w:name w:val="toc 2"/>
    <w:basedOn w:val="Normal"/>
    <w:next w:val="Normal"/>
    <w:autoRedefine/>
    <w:uiPriority w:val="39"/>
    <w:unhideWhenUsed/>
    <w:rsid w:val="00FF7A5A"/>
    <w:pPr>
      <w:spacing w:after="100"/>
      <w:ind w:left="220"/>
    </w:pPr>
  </w:style>
  <w:style w:type="paragraph" w:styleId="TOC3">
    <w:name w:val="toc 3"/>
    <w:basedOn w:val="Normal"/>
    <w:next w:val="Normal"/>
    <w:autoRedefine/>
    <w:uiPriority w:val="39"/>
    <w:unhideWhenUsed/>
    <w:rsid w:val="00FC7A26"/>
    <w:pPr>
      <w:spacing w:after="100"/>
      <w:ind w:left="440"/>
    </w:pPr>
  </w:style>
  <w:style w:type="paragraph" w:styleId="TOC4">
    <w:name w:val="toc 4"/>
    <w:basedOn w:val="Normal"/>
    <w:next w:val="Normal"/>
    <w:autoRedefine/>
    <w:uiPriority w:val="39"/>
    <w:unhideWhenUsed/>
    <w:rsid w:val="003370E0"/>
    <w:pPr>
      <w:spacing w:after="100"/>
      <w:ind w:left="660"/>
    </w:pPr>
  </w:style>
  <w:style w:type="paragraph" w:styleId="Caption">
    <w:name w:val="caption"/>
    <w:basedOn w:val="Normal"/>
    <w:next w:val="Normal"/>
    <w:uiPriority w:val="35"/>
    <w:unhideWhenUsed/>
    <w:qFormat/>
    <w:rsid w:val="005F26E3"/>
    <w:pPr>
      <w:spacing w:after="200" w:line="240" w:lineRule="auto"/>
    </w:pPr>
    <w:rPr>
      <w:b/>
      <w:bCs/>
      <w:color w:val="4F81BD" w:themeColor="accent1"/>
      <w:sz w:val="18"/>
      <w:szCs w:val="18"/>
    </w:rPr>
  </w:style>
  <w:style w:type="paragraph" w:styleId="NormalWeb">
    <w:name w:val="Normal (Web)"/>
    <w:basedOn w:val="Normal"/>
    <w:uiPriority w:val="99"/>
    <w:unhideWhenUsed/>
    <w:rsid w:val="005F26E3"/>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paragraph" w:styleId="Header">
    <w:name w:val="header"/>
    <w:basedOn w:val="Normal"/>
    <w:link w:val="HeaderChar"/>
    <w:uiPriority w:val="99"/>
    <w:semiHidden/>
    <w:unhideWhenUsed/>
    <w:rsid w:val="00987440"/>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987440"/>
  </w:style>
  <w:style w:type="paragraph" w:styleId="Footer">
    <w:name w:val="footer"/>
    <w:basedOn w:val="Normal"/>
    <w:link w:val="FooterChar"/>
    <w:uiPriority w:val="99"/>
    <w:unhideWhenUsed/>
    <w:rsid w:val="00987440"/>
    <w:pPr>
      <w:tabs>
        <w:tab w:val="center" w:pos="4513"/>
        <w:tab w:val="right" w:pos="9026"/>
      </w:tabs>
      <w:spacing w:line="240" w:lineRule="auto"/>
    </w:pPr>
  </w:style>
  <w:style w:type="character" w:customStyle="1" w:styleId="FooterChar">
    <w:name w:val="Footer Char"/>
    <w:basedOn w:val="DefaultParagraphFont"/>
    <w:link w:val="Footer"/>
    <w:uiPriority w:val="99"/>
    <w:rsid w:val="00987440"/>
  </w:style>
  <w:style w:type="table" w:styleId="TableGrid">
    <w:name w:val="Table Grid"/>
    <w:basedOn w:val="TableNormal"/>
    <w:uiPriority w:val="59"/>
    <w:rsid w:val="00CF0A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F0AF7"/>
    <w:pPr>
      <w:autoSpaceDE w:val="0"/>
      <w:autoSpaceDN w:val="0"/>
      <w:adjustRightInd w:val="0"/>
      <w:spacing w:after="0" w:line="240" w:lineRule="auto"/>
    </w:pPr>
    <w:rPr>
      <w:rFonts w:ascii="Arial" w:eastAsiaTheme="minorEastAsia" w:hAnsi="Arial" w:cs="Arial"/>
      <w:color w:val="000000"/>
      <w:sz w:val="24"/>
      <w:szCs w:val="24"/>
      <w:lang w:eastAsia="zh-TW"/>
    </w:rPr>
  </w:style>
  <w:style w:type="paragraph" w:styleId="Title">
    <w:name w:val="Title"/>
    <w:basedOn w:val="Normal"/>
    <w:next w:val="Normal"/>
    <w:link w:val="TitleChar"/>
    <w:autoRedefine/>
    <w:uiPriority w:val="10"/>
    <w:qFormat/>
    <w:rsid w:val="008953EC"/>
    <w:pPr>
      <w:pBdr>
        <w:bottom w:val="single" w:sz="8" w:space="4" w:color="4F81BD" w:themeColor="accent1"/>
      </w:pBdr>
      <w:spacing w:after="300" w:line="240" w:lineRule="auto"/>
      <w:contextualSpacing/>
    </w:pPr>
    <w:rPr>
      <w:rFonts w:eastAsiaTheme="majorEastAsia" w:cstheme="majorBidi"/>
      <w:b/>
      <w:spacing w:val="5"/>
      <w:kern w:val="28"/>
      <w:sz w:val="52"/>
      <w:szCs w:val="52"/>
    </w:rPr>
  </w:style>
  <w:style w:type="character" w:customStyle="1" w:styleId="TitleChar">
    <w:name w:val="Title Char"/>
    <w:basedOn w:val="DefaultParagraphFont"/>
    <w:link w:val="Title"/>
    <w:uiPriority w:val="10"/>
    <w:rsid w:val="008953EC"/>
    <w:rPr>
      <w:rFonts w:eastAsiaTheme="majorEastAsia" w:cstheme="majorBidi"/>
      <w:b/>
      <w:spacing w:val="5"/>
      <w:kern w:val="28"/>
      <w:sz w:val="52"/>
      <w:szCs w:val="52"/>
    </w:rPr>
  </w:style>
  <w:style w:type="paragraph" w:styleId="CommentText">
    <w:name w:val="annotation text"/>
    <w:basedOn w:val="Normal"/>
    <w:link w:val="CommentTextChar"/>
    <w:uiPriority w:val="99"/>
    <w:semiHidden/>
    <w:unhideWhenUsed/>
    <w:rsid w:val="008953EC"/>
    <w:pPr>
      <w:spacing w:line="240" w:lineRule="auto"/>
    </w:pPr>
    <w:rPr>
      <w:sz w:val="20"/>
      <w:szCs w:val="20"/>
    </w:rPr>
  </w:style>
  <w:style w:type="character" w:customStyle="1" w:styleId="CommentTextChar">
    <w:name w:val="Comment Text Char"/>
    <w:basedOn w:val="DefaultParagraphFont"/>
    <w:link w:val="CommentText"/>
    <w:uiPriority w:val="99"/>
    <w:semiHidden/>
    <w:rsid w:val="008953EC"/>
    <w:rPr>
      <w:sz w:val="20"/>
      <w:szCs w:val="20"/>
    </w:rPr>
  </w:style>
  <w:style w:type="character" w:customStyle="1" w:styleId="CommentSubjectChar">
    <w:name w:val="Comment Subject Char"/>
    <w:basedOn w:val="CommentTextChar"/>
    <w:link w:val="CommentSubject"/>
    <w:uiPriority w:val="99"/>
    <w:semiHidden/>
    <w:rsid w:val="008953EC"/>
    <w:rPr>
      <w:b/>
      <w:bCs/>
    </w:rPr>
  </w:style>
  <w:style w:type="paragraph" w:styleId="CommentSubject">
    <w:name w:val="annotation subject"/>
    <w:basedOn w:val="CommentText"/>
    <w:next w:val="CommentText"/>
    <w:link w:val="CommentSubjectChar"/>
    <w:uiPriority w:val="99"/>
    <w:semiHidden/>
    <w:unhideWhenUsed/>
    <w:rsid w:val="008953EC"/>
    <w:rPr>
      <w:b/>
      <w:bCs/>
    </w:rPr>
  </w:style>
  <w:style w:type="paragraph" w:styleId="TOC5">
    <w:name w:val="toc 5"/>
    <w:basedOn w:val="Normal"/>
    <w:next w:val="Normal"/>
    <w:autoRedefine/>
    <w:uiPriority w:val="39"/>
    <w:unhideWhenUsed/>
    <w:rsid w:val="00FF07C5"/>
    <w:pPr>
      <w:spacing w:after="100"/>
      <w:ind w:left="880"/>
      <w:jc w:val="left"/>
    </w:pPr>
    <w:rPr>
      <w:rFonts w:eastAsiaTheme="minorEastAsia"/>
      <w:lang w:eastAsia="en-GB"/>
    </w:rPr>
  </w:style>
  <w:style w:type="paragraph" w:styleId="TOC6">
    <w:name w:val="toc 6"/>
    <w:basedOn w:val="Normal"/>
    <w:next w:val="Normal"/>
    <w:autoRedefine/>
    <w:uiPriority w:val="39"/>
    <w:unhideWhenUsed/>
    <w:rsid w:val="00FF07C5"/>
    <w:pPr>
      <w:spacing w:after="100"/>
      <w:ind w:left="1100"/>
      <w:jc w:val="left"/>
    </w:pPr>
    <w:rPr>
      <w:rFonts w:eastAsiaTheme="minorEastAsia"/>
      <w:lang w:eastAsia="en-GB"/>
    </w:rPr>
  </w:style>
  <w:style w:type="paragraph" w:styleId="TOC7">
    <w:name w:val="toc 7"/>
    <w:basedOn w:val="Normal"/>
    <w:next w:val="Normal"/>
    <w:autoRedefine/>
    <w:uiPriority w:val="39"/>
    <w:unhideWhenUsed/>
    <w:rsid w:val="00FF07C5"/>
    <w:pPr>
      <w:spacing w:after="100"/>
      <w:ind w:left="1320"/>
      <w:jc w:val="left"/>
    </w:pPr>
    <w:rPr>
      <w:rFonts w:eastAsiaTheme="minorEastAsia"/>
      <w:lang w:eastAsia="en-GB"/>
    </w:rPr>
  </w:style>
  <w:style w:type="paragraph" w:styleId="TOC8">
    <w:name w:val="toc 8"/>
    <w:basedOn w:val="Normal"/>
    <w:next w:val="Normal"/>
    <w:autoRedefine/>
    <w:uiPriority w:val="39"/>
    <w:unhideWhenUsed/>
    <w:rsid w:val="00FF07C5"/>
    <w:pPr>
      <w:spacing w:after="100"/>
      <w:ind w:left="1540"/>
      <w:jc w:val="left"/>
    </w:pPr>
    <w:rPr>
      <w:rFonts w:eastAsiaTheme="minorEastAsia"/>
      <w:lang w:eastAsia="en-GB"/>
    </w:rPr>
  </w:style>
  <w:style w:type="paragraph" w:styleId="TOC9">
    <w:name w:val="toc 9"/>
    <w:basedOn w:val="Normal"/>
    <w:next w:val="Normal"/>
    <w:autoRedefine/>
    <w:uiPriority w:val="39"/>
    <w:unhideWhenUsed/>
    <w:rsid w:val="00FF07C5"/>
    <w:pPr>
      <w:spacing w:after="100"/>
      <w:ind w:left="1760"/>
      <w:jc w:val="left"/>
    </w:pPr>
    <w:rPr>
      <w:rFonts w:eastAsiaTheme="minorEastAsia"/>
      <w:lang w:eastAsia="en-GB"/>
    </w:rPr>
  </w:style>
  <w:style w:type="paragraph" w:styleId="TableofFigures">
    <w:name w:val="table of figures"/>
    <w:basedOn w:val="Normal"/>
    <w:next w:val="Normal"/>
    <w:uiPriority w:val="99"/>
    <w:unhideWhenUsed/>
    <w:rsid w:val="00FF07C5"/>
  </w:style>
</w:styles>
</file>

<file path=word/webSettings.xml><?xml version="1.0" encoding="utf-8"?>
<w:webSettings xmlns:r="http://schemas.openxmlformats.org/officeDocument/2006/relationships" xmlns:w="http://schemas.openxmlformats.org/wordprocessingml/2006/main">
  <w:divs>
    <w:div w:id="96022521">
      <w:bodyDiv w:val="1"/>
      <w:marLeft w:val="0"/>
      <w:marRight w:val="0"/>
      <w:marTop w:val="0"/>
      <w:marBottom w:val="0"/>
      <w:divBdr>
        <w:top w:val="none" w:sz="0" w:space="0" w:color="auto"/>
        <w:left w:val="none" w:sz="0" w:space="0" w:color="auto"/>
        <w:bottom w:val="none" w:sz="0" w:space="0" w:color="auto"/>
        <w:right w:val="none" w:sz="0" w:space="0" w:color="auto"/>
      </w:divBdr>
    </w:div>
    <w:div w:id="100802985">
      <w:bodyDiv w:val="1"/>
      <w:marLeft w:val="0"/>
      <w:marRight w:val="0"/>
      <w:marTop w:val="0"/>
      <w:marBottom w:val="0"/>
      <w:divBdr>
        <w:top w:val="none" w:sz="0" w:space="0" w:color="auto"/>
        <w:left w:val="none" w:sz="0" w:space="0" w:color="auto"/>
        <w:bottom w:val="none" w:sz="0" w:space="0" w:color="auto"/>
        <w:right w:val="none" w:sz="0" w:space="0" w:color="auto"/>
      </w:divBdr>
    </w:div>
    <w:div w:id="263614110">
      <w:bodyDiv w:val="1"/>
      <w:marLeft w:val="0"/>
      <w:marRight w:val="0"/>
      <w:marTop w:val="0"/>
      <w:marBottom w:val="0"/>
      <w:divBdr>
        <w:top w:val="none" w:sz="0" w:space="0" w:color="auto"/>
        <w:left w:val="none" w:sz="0" w:space="0" w:color="auto"/>
        <w:bottom w:val="none" w:sz="0" w:space="0" w:color="auto"/>
        <w:right w:val="none" w:sz="0" w:space="0" w:color="auto"/>
      </w:divBdr>
    </w:div>
    <w:div w:id="346177577">
      <w:bodyDiv w:val="1"/>
      <w:marLeft w:val="0"/>
      <w:marRight w:val="0"/>
      <w:marTop w:val="0"/>
      <w:marBottom w:val="0"/>
      <w:divBdr>
        <w:top w:val="none" w:sz="0" w:space="0" w:color="auto"/>
        <w:left w:val="none" w:sz="0" w:space="0" w:color="auto"/>
        <w:bottom w:val="none" w:sz="0" w:space="0" w:color="auto"/>
        <w:right w:val="none" w:sz="0" w:space="0" w:color="auto"/>
      </w:divBdr>
    </w:div>
    <w:div w:id="374427869">
      <w:bodyDiv w:val="1"/>
      <w:marLeft w:val="0"/>
      <w:marRight w:val="0"/>
      <w:marTop w:val="0"/>
      <w:marBottom w:val="0"/>
      <w:divBdr>
        <w:top w:val="none" w:sz="0" w:space="0" w:color="auto"/>
        <w:left w:val="none" w:sz="0" w:space="0" w:color="auto"/>
        <w:bottom w:val="none" w:sz="0" w:space="0" w:color="auto"/>
        <w:right w:val="none" w:sz="0" w:space="0" w:color="auto"/>
      </w:divBdr>
    </w:div>
    <w:div w:id="533032681">
      <w:bodyDiv w:val="1"/>
      <w:marLeft w:val="0"/>
      <w:marRight w:val="0"/>
      <w:marTop w:val="0"/>
      <w:marBottom w:val="0"/>
      <w:divBdr>
        <w:top w:val="none" w:sz="0" w:space="0" w:color="auto"/>
        <w:left w:val="none" w:sz="0" w:space="0" w:color="auto"/>
        <w:bottom w:val="none" w:sz="0" w:space="0" w:color="auto"/>
        <w:right w:val="none" w:sz="0" w:space="0" w:color="auto"/>
      </w:divBdr>
    </w:div>
    <w:div w:id="744455372">
      <w:bodyDiv w:val="1"/>
      <w:marLeft w:val="0"/>
      <w:marRight w:val="0"/>
      <w:marTop w:val="0"/>
      <w:marBottom w:val="0"/>
      <w:divBdr>
        <w:top w:val="none" w:sz="0" w:space="0" w:color="auto"/>
        <w:left w:val="none" w:sz="0" w:space="0" w:color="auto"/>
        <w:bottom w:val="none" w:sz="0" w:space="0" w:color="auto"/>
        <w:right w:val="none" w:sz="0" w:space="0" w:color="auto"/>
      </w:divBdr>
    </w:div>
    <w:div w:id="757946422">
      <w:bodyDiv w:val="1"/>
      <w:marLeft w:val="0"/>
      <w:marRight w:val="0"/>
      <w:marTop w:val="0"/>
      <w:marBottom w:val="0"/>
      <w:divBdr>
        <w:top w:val="none" w:sz="0" w:space="0" w:color="auto"/>
        <w:left w:val="none" w:sz="0" w:space="0" w:color="auto"/>
        <w:bottom w:val="none" w:sz="0" w:space="0" w:color="auto"/>
        <w:right w:val="none" w:sz="0" w:space="0" w:color="auto"/>
      </w:divBdr>
    </w:div>
    <w:div w:id="1050150414">
      <w:bodyDiv w:val="1"/>
      <w:marLeft w:val="0"/>
      <w:marRight w:val="0"/>
      <w:marTop w:val="0"/>
      <w:marBottom w:val="0"/>
      <w:divBdr>
        <w:top w:val="none" w:sz="0" w:space="0" w:color="auto"/>
        <w:left w:val="none" w:sz="0" w:space="0" w:color="auto"/>
        <w:bottom w:val="none" w:sz="0" w:space="0" w:color="auto"/>
        <w:right w:val="none" w:sz="0" w:space="0" w:color="auto"/>
      </w:divBdr>
    </w:div>
    <w:div w:id="1084106792">
      <w:bodyDiv w:val="1"/>
      <w:marLeft w:val="0"/>
      <w:marRight w:val="0"/>
      <w:marTop w:val="0"/>
      <w:marBottom w:val="0"/>
      <w:divBdr>
        <w:top w:val="none" w:sz="0" w:space="0" w:color="auto"/>
        <w:left w:val="none" w:sz="0" w:space="0" w:color="auto"/>
        <w:bottom w:val="none" w:sz="0" w:space="0" w:color="auto"/>
        <w:right w:val="none" w:sz="0" w:space="0" w:color="auto"/>
      </w:divBdr>
    </w:div>
    <w:div w:id="1245995083">
      <w:bodyDiv w:val="1"/>
      <w:marLeft w:val="0"/>
      <w:marRight w:val="0"/>
      <w:marTop w:val="0"/>
      <w:marBottom w:val="0"/>
      <w:divBdr>
        <w:top w:val="none" w:sz="0" w:space="0" w:color="auto"/>
        <w:left w:val="none" w:sz="0" w:space="0" w:color="auto"/>
        <w:bottom w:val="none" w:sz="0" w:space="0" w:color="auto"/>
        <w:right w:val="none" w:sz="0" w:space="0" w:color="auto"/>
      </w:divBdr>
    </w:div>
    <w:div w:id="1277954487">
      <w:bodyDiv w:val="1"/>
      <w:marLeft w:val="0"/>
      <w:marRight w:val="0"/>
      <w:marTop w:val="0"/>
      <w:marBottom w:val="0"/>
      <w:divBdr>
        <w:top w:val="none" w:sz="0" w:space="0" w:color="auto"/>
        <w:left w:val="none" w:sz="0" w:space="0" w:color="auto"/>
        <w:bottom w:val="none" w:sz="0" w:space="0" w:color="auto"/>
        <w:right w:val="none" w:sz="0" w:space="0" w:color="auto"/>
      </w:divBdr>
    </w:div>
    <w:div w:id="1304308443">
      <w:bodyDiv w:val="1"/>
      <w:marLeft w:val="0"/>
      <w:marRight w:val="0"/>
      <w:marTop w:val="0"/>
      <w:marBottom w:val="0"/>
      <w:divBdr>
        <w:top w:val="none" w:sz="0" w:space="0" w:color="auto"/>
        <w:left w:val="none" w:sz="0" w:space="0" w:color="auto"/>
        <w:bottom w:val="none" w:sz="0" w:space="0" w:color="auto"/>
        <w:right w:val="none" w:sz="0" w:space="0" w:color="auto"/>
      </w:divBdr>
    </w:div>
    <w:div w:id="1372028186">
      <w:bodyDiv w:val="1"/>
      <w:marLeft w:val="0"/>
      <w:marRight w:val="0"/>
      <w:marTop w:val="0"/>
      <w:marBottom w:val="0"/>
      <w:divBdr>
        <w:top w:val="none" w:sz="0" w:space="0" w:color="auto"/>
        <w:left w:val="none" w:sz="0" w:space="0" w:color="auto"/>
        <w:bottom w:val="none" w:sz="0" w:space="0" w:color="auto"/>
        <w:right w:val="none" w:sz="0" w:space="0" w:color="auto"/>
      </w:divBdr>
    </w:div>
    <w:div w:id="1479149680">
      <w:bodyDiv w:val="1"/>
      <w:marLeft w:val="0"/>
      <w:marRight w:val="0"/>
      <w:marTop w:val="0"/>
      <w:marBottom w:val="0"/>
      <w:divBdr>
        <w:top w:val="none" w:sz="0" w:space="0" w:color="auto"/>
        <w:left w:val="none" w:sz="0" w:space="0" w:color="auto"/>
        <w:bottom w:val="none" w:sz="0" w:space="0" w:color="auto"/>
        <w:right w:val="none" w:sz="0" w:space="0" w:color="auto"/>
      </w:divBdr>
    </w:div>
    <w:div w:id="1566452960">
      <w:bodyDiv w:val="1"/>
      <w:marLeft w:val="0"/>
      <w:marRight w:val="0"/>
      <w:marTop w:val="0"/>
      <w:marBottom w:val="0"/>
      <w:divBdr>
        <w:top w:val="none" w:sz="0" w:space="0" w:color="auto"/>
        <w:left w:val="none" w:sz="0" w:space="0" w:color="auto"/>
        <w:bottom w:val="none" w:sz="0" w:space="0" w:color="auto"/>
        <w:right w:val="none" w:sz="0" w:space="0" w:color="auto"/>
      </w:divBdr>
    </w:div>
    <w:div w:id="1592161094">
      <w:bodyDiv w:val="1"/>
      <w:marLeft w:val="0"/>
      <w:marRight w:val="0"/>
      <w:marTop w:val="0"/>
      <w:marBottom w:val="0"/>
      <w:divBdr>
        <w:top w:val="none" w:sz="0" w:space="0" w:color="auto"/>
        <w:left w:val="none" w:sz="0" w:space="0" w:color="auto"/>
        <w:bottom w:val="none" w:sz="0" w:space="0" w:color="auto"/>
        <w:right w:val="none" w:sz="0" w:space="0" w:color="auto"/>
      </w:divBdr>
    </w:div>
    <w:div w:id="1899972213">
      <w:bodyDiv w:val="1"/>
      <w:marLeft w:val="0"/>
      <w:marRight w:val="0"/>
      <w:marTop w:val="0"/>
      <w:marBottom w:val="0"/>
      <w:divBdr>
        <w:top w:val="none" w:sz="0" w:space="0" w:color="auto"/>
        <w:left w:val="none" w:sz="0" w:space="0" w:color="auto"/>
        <w:bottom w:val="none" w:sz="0" w:space="0" w:color="auto"/>
        <w:right w:val="none" w:sz="0" w:space="0" w:color="auto"/>
      </w:divBdr>
    </w:div>
    <w:div w:id="1947229029">
      <w:bodyDiv w:val="1"/>
      <w:marLeft w:val="0"/>
      <w:marRight w:val="0"/>
      <w:marTop w:val="0"/>
      <w:marBottom w:val="0"/>
      <w:divBdr>
        <w:top w:val="none" w:sz="0" w:space="0" w:color="auto"/>
        <w:left w:val="none" w:sz="0" w:space="0" w:color="auto"/>
        <w:bottom w:val="none" w:sz="0" w:space="0" w:color="auto"/>
        <w:right w:val="none" w:sz="0" w:space="0" w:color="auto"/>
      </w:divBdr>
    </w:div>
    <w:div w:id="2084058041">
      <w:bodyDiv w:val="1"/>
      <w:marLeft w:val="0"/>
      <w:marRight w:val="0"/>
      <w:marTop w:val="0"/>
      <w:marBottom w:val="0"/>
      <w:divBdr>
        <w:top w:val="none" w:sz="0" w:space="0" w:color="auto"/>
        <w:left w:val="none" w:sz="0" w:space="0" w:color="auto"/>
        <w:bottom w:val="none" w:sz="0" w:space="0" w:color="auto"/>
        <w:right w:val="none" w:sz="0" w:space="0" w:color="auto"/>
      </w:divBdr>
    </w:div>
    <w:div w:id="2087413997">
      <w:bodyDiv w:val="1"/>
      <w:marLeft w:val="0"/>
      <w:marRight w:val="0"/>
      <w:marTop w:val="0"/>
      <w:marBottom w:val="0"/>
      <w:divBdr>
        <w:top w:val="none" w:sz="0" w:space="0" w:color="auto"/>
        <w:left w:val="none" w:sz="0" w:space="0" w:color="auto"/>
        <w:bottom w:val="none" w:sz="0" w:space="0" w:color="auto"/>
        <w:right w:val="none" w:sz="0" w:space="0" w:color="auto"/>
      </w:divBdr>
    </w:div>
    <w:div w:id="2088066836">
      <w:bodyDiv w:val="1"/>
      <w:marLeft w:val="0"/>
      <w:marRight w:val="0"/>
      <w:marTop w:val="0"/>
      <w:marBottom w:val="0"/>
      <w:divBdr>
        <w:top w:val="none" w:sz="0" w:space="0" w:color="auto"/>
        <w:left w:val="none" w:sz="0" w:space="0" w:color="auto"/>
        <w:bottom w:val="none" w:sz="0" w:space="0" w:color="auto"/>
        <w:right w:val="none" w:sz="0" w:space="0" w:color="auto"/>
      </w:divBdr>
    </w:div>
    <w:div w:id="2102990184">
      <w:bodyDiv w:val="1"/>
      <w:marLeft w:val="0"/>
      <w:marRight w:val="0"/>
      <w:marTop w:val="0"/>
      <w:marBottom w:val="0"/>
      <w:divBdr>
        <w:top w:val="none" w:sz="0" w:space="0" w:color="auto"/>
        <w:left w:val="none" w:sz="0" w:space="0" w:color="auto"/>
        <w:bottom w:val="none" w:sz="0" w:space="0" w:color="auto"/>
        <w:right w:val="none" w:sz="0" w:space="0" w:color="auto"/>
      </w:divBdr>
    </w:div>
    <w:div w:id="2111967934">
      <w:bodyDiv w:val="1"/>
      <w:marLeft w:val="0"/>
      <w:marRight w:val="0"/>
      <w:marTop w:val="0"/>
      <w:marBottom w:val="0"/>
      <w:divBdr>
        <w:top w:val="none" w:sz="0" w:space="0" w:color="auto"/>
        <w:left w:val="none" w:sz="0" w:space="0" w:color="auto"/>
        <w:bottom w:val="none" w:sz="0" w:space="0" w:color="auto"/>
        <w:right w:val="none" w:sz="0" w:space="0" w:color="auto"/>
      </w:divBdr>
    </w:div>
    <w:div w:id="2141070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7.png"/><Relationship Id="rId134" Type="http://schemas.openxmlformats.org/officeDocument/2006/relationships/image" Target="media/image125.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tif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13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6F2527A-63A2-411C-AB17-E15DEC859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11000</TotalTime>
  <Pages>231</Pages>
  <Words>275725</Words>
  <Characters>1571635</Characters>
  <Application>Microsoft Office Word</Application>
  <DocSecurity>0</DocSecurity>
  <Lines>13096</Lines>
  <Paragraphs>3687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1843673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D Howard</dc:creator>
  <cp:keywords/>
  <dc:description/>
  <cp:lastModifiedBy>John D Howard</cp:lastModifiedBy>
  <cp:revision>250</cp:revision>
  <cp:lastPrinted>2019-09-26T19:35:00Z</cp:lastPrinted>
  <dcterms:created xsi:type="dcterms:W3CDTF">2018-01-19T14:11:00Z</dcterms:created>
  <dcterms:modified xsi:type="dcterms:W3CDTF">2020-03-17T10:38:00Z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82cd9e34-85bb-390f-879d-5a694d2bba41</vt:lpwstr>
  </property>
  <property fmtid="{D5CDD505-2E9C-101B-9397-08002B2CF9AE}" pid="4" name="Mendeley Citation Style_1">
    <vt:lpwstr>http://www.zotero.org/styles/harvard-cite-them-right</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